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64B" w:rsidRDefault="0000764B" w:rsidP="0000764B">
      <w:pPr>
        <w:jc w:val="center"/>
        <w:rPr>
          <w:b/>
        </w:rPr>
      </w:pPr>
      <w:r>
        <w:rPr>
          <w:b/>
        </w:rPr>
        <w:t>Do I use a P</w:t>
      </w:r>
      <w:r w:rsidRPr="0000764B">
        <w:rPr>
          <w:b/>
        </w:rPr>
        <w:t xml:space="preserve">hillips or </w:t>
      </w:r>
      <w:r>
        <w:rPr>
          <w:b/>
        </w:rPr>
        <w:t>F</w:t>
      </w:r>
      <w:r w:rsidRPr="0000764B">
        <w:rPr>
          <w:b/>
        </w:rPr>
        <w:t xml:space="preserve">lat? Utilizing </w:t>
      </w:r>
      <w:r>
        <w:rPr>
          <w:b/>
        </w:rPr>
        <w:t xml:space="preserve">an Outreach Course to Teach Basic Agricultural Mechanics </w:t>
      </w:r>
    </w:p>
    <w:p w:rsidR="0000764B" w:rsidRDefault="0000764B" w:rsidP="0000764B">
      <w:pPr>
        <w:jc w:val="center"/>
        <w:rPr>
          <w:b/>
        </w:rPr>
      </w:pPr>
    </w:p>
    <w:p w:rsidR="0000764B" w:rsidRPr="00CE471A" w:rsidRDefault="0000764B" w:rsidP="0000764B">
      <w:pPr>
        <w:pStyle w:val="NoSpacing"/>
        <w:jc w:val="center"/>
        <w:rPr>
          <w:rFonts w:ascii="Times New Roman" w:hAnsi="Times New Roman"/>
          <w:b/>
          <w:sz w:val="24"/>
          <w:szCs w:val="24"/>
        </w:rPr>
      </w:pPr>
      <w:r w:rsidRPr="00CE471A">
        <w:rPr>
          <w:rFonts w:ascii="Times New Roman" w:hAnsi="Times New Roman"/>
          <w:b/>
          <w:sz w:val="24"/>
          <w:szCs w:val="24"/>
        </w:rPr>
        <w:t>J. Joey Blackburn</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Oklahoma State University</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459 Agricultural Hall</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Stillwater, OK 74078</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joey.blackburn@okstate.edu</w:t>
      </w:r>
    </w:p>
    <w:p w:rsidR="0000764B" w:rsidRPr="008764E7" w:rsidRDefault="0000764B" w:rsidP="0000764B">
      <w:pPr>
        <w:pStyle w:val="NoSpacing"/>
        <w:jc w:val="center"/>
        <w:rPr>
          <w:rFonts w:ascii="Times New Roman" w:hAnsi="Times New Roman"/>
          <w:sz w:val="24"/>
          <w:szCs w:val="24"/>
        </w:rPr>
      </w:pPr>
    </w:p>
    <w:p w:rsidR="0000764B" w:rsidRPr="00CE471A" w:rsidRDefault="0000764B" w:rsidP="0000764B">
      <w:pPr>
        <w:pStyle w:val="NoSpacing"/>
        <w:jc w:val="center"/>
        <w:rPr>
          <w:rFonts w:ascii="Times New Roman" w:hAnsi="Times New Roman"/>
          <w:b/>
          <w:sz w:val="24"/>
          <w:szCs w:val="24"/>
        </w:rPr>
      </w:pPr>
      <w:r>
        <w:rPr>
          <w:rFonts w:ascii="Times New Roman" w:hAnsi="Times New Roman"/>
          <w:b/>
          <w:sz w:val="24"/>
          <w:szCs w:val="24"/>
        </w:rPr>
        <w:t>Jon</w:t>
      </w:r>
      <w:r w:rsidRPr="00CE471A">
        <w:rPr>
          <w:rFonts w:ascii="Times New Roman" w:hAnsi="Times New Roman"/>
          <w:b/>
          <w:sz w:val="24"/>
          <w:szCs w:val="24"/>
        </w:rPr>
        <w:t xml:space="preserve"> </w:t>
      </w:r>
      <w:r>
        <w:rPr>
          <w:rFonts w:ascii="Times New Roman" w:hAnsi="Times New Roman"/>
          <w:b/>
          <w:sz w:val="24"/>
          <w:szCs w:val="24"/>
        </w:rPr>
        <w:t>W</w:t>
      </w:r>
      <w:r w:rsidRPr="00CE471A">
        <w:rPr>
          <w:rFonts w:ascii="Times New Roman" w:hAnsi="Times New Roman"/>
          <w:b/>
          <w:sz w:val="24"/>
          <w:szCs w:val="24"/>
        </w:rPr>
        <w:t xml:space="preserve">. </w:t>
      </w:r>
      <w:r>
        <w:rPr>
          <w:rFonts w:ascii="Times New Roman" w:hAnsi="Times New Roman"/>
          <w:b/>
          <w:sz w:val="24"/>
          <w:szCs w:val="24"/>
        </w:rPr>
        <w:t>Ramsey</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Oklahoma State University</w:t>
      </w:r>
    </w:p>
    <w:p w:rsidR="0000764B" w:rsidRDefault="0000764B" w:rsidP="0000764B">
      <w:pPr>
        <w:pStyle w:val="NoSpacing"/>
        <w:jc w:val="center"/>
        <w:rPr>
          <w:rFonts w:ascii="Times New Roman" w:hAnsi="Times New Roman"/>
          <w:sz w:val="24"/>
          <w:szCs w:val="24"/>
        </w:rPr>
      </w:pPr>
      <w:r>
        <w:rPr>
          <w:rFonts w:ascii="Times New Roman" w:hAnsi="Times New Roman"/>
          <w:sz w:val="24"/>
          <w:szCs w:val="24"/>
        </w:rPr>
        <w:t>455 Agricultural Hall</w:t>
      </w:r>
    </w:p>
    <w:p w:rsidR="00EB2575" w:rsidRDefault="00EB2575" w:rsidP="0000764B">
      <w:pPr>
        <w:pStyle w:val="NoSpacing"/>
        <w:jc w:val="center"/>
        <w:rPr>
          <w:rFonts w:ascii="Times New Roman" w:hAnsi="Times New Roman"/>
          <w:sz w:val="24"/>
          <w:szCs w:val="24"/>
        </w:rPr>
      </w:pPr>
      <w:r>
        <w:rPr>
          <w:rFonts w:ascii="Times New Roman" w:hAnsi="Times New Roman"/>
          <w:sz w:val="24"/>
          <w:szCs w:val="24"/>
        </w:rPr>
        <w:t>Stillwater, OK 74078</w:t>
      </w:r>
    </w:p>
    <w:p w:rsidR="00EB2575" w:rsidRDefault="00EB2575" w:rsidP="0000764B">
      <w:pPr>
        <w:pStyle w:val="NoSpacing"/>
        <w:jc w:val="center"/>
        <w:rPr>
          <w:rFonts w:ascii="Times New Roman" w:hAnsi="Times New Roman"/>
          <w:sz w:val="24"/>
          <w:szCs w:val="24"/>
        </w:rPr>
      </w:pPr>
      <w:r>
        <w:rPr>
          <w:rFonts w:ascii="Times New Roman" w:hAnsi="Times New Roman"/>
          <w:sz w:val="24"/>
          <w:szCs w:val="24"/>
        </w:rPr>
        <w:t>jon.ramsey@okstate.edu</w:t>
      </w:r>
    </w:p>
    <w:p w:rsidR="0000764B" w:rsidRDefault="0000764B" w:rsidP="0000764B">
      <w:pPr>
        <w:jc w:val="center"/>
        <w:rPr>
          <w:b/>
        </w:rPr>
      </w:pPr>
      <w:r>
        <w:rPr>
          <w:b/>
        </w:rPr>
        <w:br w:type="page"/>
      </w:r>
    </w:p>
    <w:p w:rsidR="00A154DA" w:rsidRDefault="0000764B" w:rsidP="0000764B">
      <w:pPr>
        <w:jc w:val="center"/>
        <w:rPr>
          <w:b/>
        </w:rPr>
      </w:pPr>
      <w:r>
        <w:rPr>
          <w:b/>
        </w:rPr>
        <w:lastRenderedPageBreak/>
        <w:t>Do I use a P</w:t>
      </w:r>
      <w:r w:rsidRPr="0000764B">
        <w:rPr>
          <w:b/>
        </w:rPr>
        <w:t xml:space="preserve">hillips or </w:t>
      </w:r>
      <w:r>
        <w:rPr>
          <w:b/>
        </w:rPr>
        <w:t>F</w:t>
      </w:r>
      <w:r w:rsidRPr="0000764B">
        <w:rPr>
          <w:b/>
        </w:rPr>
        <w:t xml:space="preserve">lat? Utilizing </w:t>
      </w:r>
      <w:r>
        <w:rPr>
          <w:b/>
        </w:rPr>
        <w:t>an Outreach Course to Teach Basic Agricultural Mechanics</w:t>
      </w:r>
    </w:p>
    <w:p w:rsidR="0000764B" w:rsidRDefault="0000764B" w:rsidP="00B84400">
      <w:pPr>
        <w:spacing w:after="0" w:line="240" w:lineRule="auto"/>
        <w:jc w:val="center"/>
      </w:pPr>
      <w:r>
        <w:rPr>
          <w:b/>
        </w:rPr>
        <w:t>Introduction</w:t>
      </w:r>
    </w:p>
    <w:p w:rsidR="0000764B" w:rsidRDefault="0000764B" w:rsidP="00B84400">
      <w:pPr>
        <w:spacing w:line="240" w:lineRule="auto"/>
      </w:pPr>
      <w:r>
        <w:t xml:space="preserve">Adequate preparation in technical agriculture is a challenge teacher education programs face in ensuring that newly certified agriculture teachers are prepared to enter the teaching profession (Burris, Robinson, &amp; Terry, 2005).  </w:t>
      </w:r>
      <w:r w:rsidR="00FF34D4">
        <w:t xml:space="preserve">The area of agricultural mechanics is no exception.  Agricultural mechanics continues to be a popular course for students in school-based agriculture programs in </w:t>
      </w:r>
      <w:r w:rsidR="00B84400">
        <w:t>[State]</w:t>
      </w:r>
      <w:r w:rsidR="00FF34D4">
        <w:t xml:space="preserve">.  At </w:t>
      </w:r>
      <w:r w:rsidR="00B84400">
        <w:t>[</w:t>
      </w:r>
      <w:r w:rsidR="00FF34D4">
        <w:t>State University</w:t>
      </w:r>
      <w:r w:rsidR="00B84400">
        <w:t>]</w:t>
      </w:r>
      <w:r w:rsidR="00FF34D4">
        <w:t>, o</w:t>
      </w:r>
      <w:r>
        <w:t xml:space="preserve">nly five </w:t>
      </w:r>
      <w:r w:rsidR="00FF34D4">
        <w:t>credit</w:t>
      </w:r>
      <w:r>
        <w:t xml:space="preserve"> hours </w:t>
      </w:r>
      <w:r w:rsidR="00FF34D4">
        <w:t>of</w:t>
      </w:r>
      <w:r>
        <w:t xml:space="preserve"> agricultural mechanics</w:t>
      </w:r>
      <w:r w:rsidR="00FF34D4">
        <w:t xml:space="preserve"> are required for the agricultural education degree</w:t>
      </w:r>
      <w:r>
        <w:t xml:space="preserve">.  </w:t>
      </w:r>
      <w:r w:rsidR="00D7591B">
        <w:t>These courses prepare the pre-service teachers in topics such as: metals and welding, electricity, agricultural structures, small gas engines, and plumbing.</w:t>
      </w:r>
      <w:r w:rsidR="00FF34D4">
        <w:t xml:space="preserve">  Several of these students, however, have described frustration during the beginning of these courses.  This frustration stems from a lack of basic agricultural mechanics knowledge and skill. </w:t>
      </w:r>
      <w:r w:rsidR="00EB2575">
        <w:t xml:space="preserve"> </w:t>
      </w:r>
      <w:r w:rsidR="00FF34D4">
        <w:t>One student expressed frustration stemmed from simply not knowing the proper tools to disassemble a small engine.</w:t>
      </w:r>
      <w:r w:rsidR="00C837F2">
        <w:t xml:space="preserve">  This frustration could be implied to be a low sense of self-efficacy related to agricultural mechanics.  Burris, McLaughlin, McCulloch, </w:t>
      </w:r>
      <w:proofErr w:type="spellStart"/>
      <w:r w:rsidR="00C837F2">
        <w:t>Brashears</w:t>
      </w:r>
      <w:proofErr w:type="spellEnd"/>
      <w:r w:rsidR="00C837F2">
        <w:t xml:space="preserve">, and </w:t>
      </w:r>
      <w:proofErr w:type="spellStart"/>
      <w:r w:rsidR="00C837F2">
        <w:t>Fraze</w:t>
      </w:r>
      <w:proofErr w:type="spellEnd"/>
      <w:r w:rsidR="00C837F2">
        <w:t xml:space="preserve"> (2010) reported that first year teachers in Texas had the lowest content self-efficacy score in the area of agricultural mechanics.  Additional experiences in the agricultural mechanics laboratory could increase these students’ sense of efficacy related to agricultural mechanics (Burris, et al., 2010).  </w:t>
      </w:r>
      <w:r w:rsidR="00FF34D4">
        <w:t>Given the constraints put on student</w:t>
      </w:r>
      <w:r w:rsidR="00EB2575">
        <w:t>s</w:t>
      </w:r>
      <w:r w:rsidR="00FF34D4">
        <w:t xml:space="preserve"> to graduate </w:t>
      </w:r>
      <w:r w:rsidR="00471AC8">
        <w:t>in a timely manner</w:t>
      </w:r>
      <w:r w:rsidR="00FF34D4">
        <w:t xml:space="preserve">, agricultural education faculty at </w:t>
      </w:r>
      <w:r w:rsidR="00D03288">
        <w:t>[State University]</w:t>
      </w:r>
      <w:r w:rsidR="00FF34D4">
        <w:t xml:space="preserve"> have explored </w:t>
      </w:r>
      <w:r w:rsidR="006672C9">
        <w:t>alternative solutions to this pr</w:t>
      </w:r>
      <w:r w:rsidR="00471AC8">
        <w:t xml:space="preserve">oblem as recommended by Burris, et al. </w:t>
      </w:r>
      <w:r w:rsidR="006672C9">
        <w:t>(2005).</w:t>
      </w:r>
      <w:r w:rsidR="00C837F2">
        <w:t xml:space="preserve">  The avenue selected to increase pre-service teachers’ agricultural mechanics content knowledge was a one credit hour outreach course.</w:t>
      </w:r>
    </w:p>
    <w:p w:rsidR="006672C9" w:rsidRPr="006672C9" w:rsidRDefault="006672C9" w:rsidP="00B84400">
      <w:pPr>
        <w:spacing w:line="240" w:lineRule="auto"/>
        <w:jc w:val="center"/>
      </w:pPr>
      <w:r>
        <w:rPr>
          <w:b/>
        </w:rPr>
        <w:t>How It Works</w:t>
      </w:r>
    </w:p>
    <w:p w:rsidR="00E67792" w:rsidRDefault="00716400" w:rsidP="00B84400">
      <w:pPr>
        <w:spacing w:line="240" w:lineRule="auto"/>
      </w:pPr>
      <w:r>
        <w:t xml:space="preserve">Outreach courses at </w:t>
      </w:r>
      <w:r w:rsidR="00D03288">
        <w:t xml:space="preserve">[State University] </w:t>
      </w:r>
      <w:r>
        <w:t xml:space="preserve">are normally designed for working professionals who desire to improve </w:t>
      </w:r>
      <w:r w:rsidR="00E67792">
        <w:t xml:space="preserve">their knowledge and </w:t>
      </w:r>
      <w:r>
        <w:t xml:space="preserve">skills.  The agricultural education faculty recognized an opportunity to offer a weekend outreach course to improve basic agricultural mechanics knowledge of pre-service teachers.  To accomplish this </w:t>
      </w:r>
      <w:r w:rsidR="00BA153D">
        <w:t xml:space="preserve">goal, </w:t>
      </w:r>
      <w:r w:rsidR="00D03288">
        <w:t>[State University]</w:t>
      </w:r>
      <w:r w:rsidR="00BA153D">
        <w:t xml:space="preserve"> Agricultural Education sought approval for the course through the </w:t>
      </w:r>
      <w:r w:rsidR="00EB2575" w:rsidRPr="00B84400">
        <w:t>College of Agricultural Sciences and Natural Resources</w:t>
      </w:r>
      <w:r w:rsidR="00D03288">
        <w:t xml:space="preserve"> (CASNR)</w:t>
      </w:r>
      <w:r w:rsidR="00BA153D">
        <w:t xml:space="preserve"> </w:t>
      </w:r>
      <w:r w:rsidR="00B84400">
        <w:t>then</w:t>
      </w:r>
      <w:r w:rsidR="00BA153D">
        <w:t xml:space="preserve"> a site for the course was located.  </w:t>
      </w:r>
      <w:r w:rsidR="00E67792">
        <w:t xml:space="preserve">The agricultural education faculty determined that the best location to hold this course would be in a school-based agricultural education program within close proximity of the </w:t>
      </w:r>
      <w:r w:rsidR="00D03288">
        <w:t>[State University]</w:t>
      </w:r>
      <w:r w:rsidR="00E67792">
        <w:t xml:space="preserve"> campus.  This allow</w:t>
      </w:r>
      <w:r w:rsidR="00B84400">
        <w:t>s</w:t>
      </w:r>
      <w:r w:rsidR="00E67792">
        <w:t xml:space="preserve"> two in-service agriculture teachers to be present during the course, in addition to the </w:t>
      </w:r>
      <w:r w:rsidR="00D03288">
        <w:t>[State University]</w:t>
      </w:r>
      <w:r w:rsidR="00E67792">
        <w:t xml:space="preserve"> faculty charged with teaching the course.</w:t>
      </w:r>
    </w:p>
    <w:p w:rsidR="00D03288" w:rsidRDefault="008A232E" w:rsidP="00471AC8">
      <w:pPr>
        <w:spacing w:line="240" w:lineRule="auto"/>
      </w:pPr>
      <w:r>
        <w:t>The content of this outreach course was determined through conversations with agricultural education students currently enrolled in the agricultural mechanics courses and the Biosystems &amp; Agricultural Engineering</w:t>
      </w:r>
      <w:r w:rsidR="00066230">
        <w:t xml:space="preserve"> (BAE)</w:t>
      </w:r>
      <w:r>
        <w:t xml:space="preserve"> faculty that teach the courses.  The general consensus of the two groups was that there is a wide variety of knowledge and experiences of the students.  Some students were quite knowledgeable in agricultural mechanics, while others were experiencing the concepts for the first time.  Using this anecdotal evidence, this outreach course was designed to be </w:t>
      </w:r>
      <w:r w:rsidR="00066230">
        <w:t>a</w:t>
      </w:r>
      <w:r>
        <w:t xml:space="preserve"> leveling </w:t>
      </w:r>
      <w:r w:rsidR="00066230">
        <w:t>experience</w:t>
      </w:r>
      <w:r>
        <w:t xml:space="preserve"> for students who were not comfortable in agricultural mechanics.</w:t>
      </w:r>
    </w:p>
    <w:p w:rsidR="00471AC8" w:rsidRDefault="00471AC8" w:rsidP="00471AC8">
      <w:pPr>
        <w:spacing w:line="240" w:lineRule="auto"/>
      </w:pPr>
    </w:p>
    <w:p w:rsidR="00471AC8" w:rsidRPr="00471AC8" w:rsidRDefault="00471AC8" w:rsidP="00471AC8">
      <w:pPr>
        <w:spacing w:line="240" w:lineRule="auto"/>
      </w:pPr>
    </w:p>
    <w:p w:rsidR="00066230" w:rsidRDefault="00066230" w:rsidP="00B84400">
      <w:pPr>
        <w:spacing w:line="240" w:lineRule="auto"/>
        <w:jc w:val="center"/>
      </w:pPr>
      <w:r>
        <w:rPr>
          <w:b/>
        </w:rPr>
        <w:lastRenderedPageBreak/>
        <w:t>Results to Date</w:t>
      </w:r>
    </w:p>
    <w:p w:rsidR="00066230" w:rsidRDefault="00066230" w:rsidP="00B84400">
      <w:pPr>
        <w:spacing w:line="240" w:lineRule="auto"/>
      </w:pPr>
      <w:r>
        <w:t xml:space="preserve">The content to be taught during the outreach course was determined through conversations with BAE faculty and agricultural education students.  The priority concepts to be taught were safety in the agricultural mechanics laboratory, basic laboratory management, and small project construction.  In addition, the identification, selection, and use of common hand and power tools were taught.  </w:t>
      </w:r>
      <w:r w:rsidR="00520DF0">
        <w:t xml:space="preserve">The assessment utilized in this outreach course was authentic in nature and required the students to construct a small project that required them to utilize various hand and power tools.  The students </w:t>
      </w:r>
      <w:r w:rsidR="00400107">
        <w:t>utilized a mock rubric and peer assessment to evaluate projects.</w:t>
      </w:r>
      <w:r w:rsidR="00520DF0">
        <w:t xml:space="preserve">  This mock grading allowed the students to experience a small part of being an agriculture teacher, with the goal of increasing their content efficacy (Burris, et al., 2010).</w:t>
      </w:r>
    </w:p>
    <w:p w:rsidR="00520DF0" w:rsidRDefault="005E737C" w:rsidP="00B84400">
      <w:pPr>
        <w:spacing w:line="240" w:lineRule="auto"/>
        <w:jc w:val="center"/>
        <w:rPr>
          <w:b/>
        </w:rPr>
      </w:pPr>
      <w:r w:rsidRPr="005E737C">
        <w:rPr>
          <w:b/>
        </w:rPr>
        <w:t>Future Plans/Advice to Others</w:t>
      </w:r>
    </w:p>
    <w:p w:rsidR="00400107" w:rsidRDefault="00762EA8" w:rsidP="00B84400">
      <w:pPr>
        <w:spacing w:line="240" w:lineRule="auto"/>
      </w:pPr>
      <w:r>
        <w:t>The use of outreach courses to address student needs in areas of technical agriculture will continue to be explored.  Additional courses in mechanized agriculture will focus on the safe use of equipment</w:t>
      </w:r>
      <w:r w:rsidR="00AC31FE">
        <w:t xml:space="preserve"> and reinforce the appropriate use of personal protective equipment</w:t>
      </w:r>
      <w:r>
        <w:t xml:space="preserve"> associated with the area</w:t>
      </w:r>
      <w:r w:rsidR="00712B85">
        <w:t xml:space="preserve"> of hot metal work.  Archival data collected by the mechanized agriculture </w:t>
      </w:r>
      <w:r w:rsidR="00B84400">
        <w:t>faculty</w:t>
      </w:r>
      <w:r w:rsidR="00712B85">
        <w:t xml:space="preserve"> </w:t>
      </w:r>
      <w:r w:rsidR="00AC31FE">
        <w:t xml:space="preserve">in the department of </w:t>
      </w:r>
      <w:r w:rsidR="00B84400">
        <w:t>BAE</w:t>
      </w:r>
      <w:r w:rsidR="00AC31FE">
        <w:t xml:space="preserve"> </w:t>
      </w:r>
      <w:r w:rsidR="00712B85">
        <w:t>will be used to develop th</w:t>
      </w:r>
      <w:r w:rsidR="00901072">
        <w:t>e course content and activities for future course offerings.  The potential for outreach courses in the area of animal science will also be explored.  Animal agriculture is the focus of supervised agricultural experience programs for many agricultural education students</w:t>
      </w:r>
      <w:r w:rsidR="00AC31FE">
        <w:t xml:space="preserve">.  A focus on basic animal husbandry and livestock exhibition is needed for pre-service teachers with limited or no experience in animal agriculture.  Regarding advice to others, care should be taken to insure the curriculum and activities are </w:t>
      </w:r>
      <w:r w:rsidR="00DD5B2B">
        <w:t>comple</w:t>
      </w:r>
      <w:r w:rsidR="00AC31FE">
        <w:t xml:space="preserve">mentary to the current course offerings and that the appropriate students are targeted in terms of recruitment for the course. </w:t>
      </w:r>
    </w:p>
    <w:p w:rsidR="00AC31FE" w:rsidRDefault="00AC31FE" w:rsidP="00B84400">
      <w:pPr>
        <w:spacing w:line="240" w:lineRule="auto"/>
        <w:jc w:val="center"/>
        <w:rPr>
          <w:b/>
        </w:rPr>
      </w:pPr>
      <w:r>
        <w:rPr>
          <w:b/>
        </w:rPr>
        <w:t>Cost/Resources N</w:t>
      </w:r>
      <w:r w:rsidRPr="00AC31FE">
        <w:rPr>
          <w:b/>
        </w:rPr>
        <w:t>eeded</w:t>
      </w:r>
    </w:p>
    <w:p w:rsidR="00DD5B2B" w:rsidRDefault="00EF61A2" w:rsidP="00B84400">
      <w:pPr>
        <w:spacing w:line="240" w:lineRule="auto"/>
      </w:pPr>
      <w:r>
        <w:t xml:space="preserve">A strong relationship with stakeholders allows the department to minimize the resource allocation necessary to offer and implement outreach courses. </w:t>
      </w:r>
      <w:r w:rsidR="0060313E">
        <w:t xml:space="preserve"> </w:t>
      </w:r>
      <w:r>
        <w:t>In the case of agricultural mechanics</w:t>
      </w:r>
      <w:r w:rsidR="0060313E">
        <w:t>,</w:t>
      </w:r>
      <w:r>
        <w:t xml:space="preserve"> working with secondary agricultural teachers and </w:t>
      </w:r>
      <w:r w:rsidR="0060313E">
        <w:t xml:space="preserve">utilizing </w:t>
      </w:r>
      <w:r>
        <w:t xml:space="preserve">their programs reduces the </w:t>
      </w:r>
      <w:r w:rsidR="0060313E">
        <w:t>overhead necessary to offer such a resource intensive course.  Students enroll for on</w:t>
      </w:r>
      <w:r w:rsidR="00B84400">
        <w:t>e</w:t>
      </w:r>
      <w:r w:rsidR="0060313E">
        <w:t>-hour of credit, tuition can be used to purchase consumable materials as well as compensate the instructor.  The cost for one-hour of outreach credit is $315.00.</w:t>
      </w:r>
      <w:r w:rsidR="00DD3089">
        <w:t xml:space="preserve"> </w:t>
      </w:r>
      <w:r w:rsidR="0060313E">
        <w:t xml:space="preserve"> Two hundred and twenty six dollars are </w:t>
      </w:r>
      <w:r w:rsidR="00DD3089">
        <w:t>returned to</w:t>
      </w:r>
      <w:r w:rsidR="0060313E">
        <w:t xml:space="preserve"> </w:t>
      </w:r>
      <w:r w:rsidR="00DD3089">
        <w:t>CASNR</w:t>
      </w:r>
      <w:r w:rsidR="0060313E">
        <w:t xml:space="preserve">, the college retains $42.00 and the department receives $183.00 to be used for consumable supplies and instructor compensation. </w:t>
      </w:r>
      <w:r w:rsidR="00B84400">
        <w:t xml:space="preserve"> An enrollment of 15 students would provide $2,745.00 to facilitate the course offering.  </w:t>
      </w:r>
    </w:p>
    <w:p w:rsidR="00DD3089" w:rsidRPr="00DD3089" w:rsidRDefault="00DD3089" w:rsidP="00DD3089">
      <w:pPr>
        <w:spacing w:line="240" w:lineRule="auto"/>
        <w:jc w:val="center"/>
        <w:rPr>
          <w:b/>
        </w:rPr>
      </w:pPr>
      <w:r w:rsidRPr="00DD3089">
        <w:rPr>
          <w:b/>
        </w:rPr>
        <w:t>Cost/Resources needed for final project(s) (15 Blue Bird Houses)</w:t>
      </w:r>
    </w:p>
    <w:tbl>
      <w:tblPr>
        <w:tblStyle w:val="TableGrid"/>
        <w:tblW w:w="0" w:type="auto"/>
        <w:tblLook w:val="04A0"/>
      </w:tblPr>
      <w:tblGrid>
        <w:gridCol w:w="3192"/>
        <w:gridCol w:w="3192"/>
        <w:gridCol w:w="3192"/>
      </w:tblGrid>
      <w:tr w:rsidR="00D03288" w:rsidTr="00D03288">
        <w:tc>
          <w:tcPr>
            <w:tcW w:w="3192" w:type="dxa"/>
          </w:tcPr>
          <w:p w:rsidR="00D03288" w:rsidRDefault="00D03288" w:rsidP="00DD3089">
            <w:pPr>
              <w:jc w:val="center"/>
            </w:pPr>
            <w:r>
              <w:t>Consumable Material</w:t>
            </w:r>
          </w:p>
        </w:tc>
        <w:tc>
          <w:tcPr>
            <w:tcW w:w="3192" w:type="dxa"/>
          </w:tcPr>
          <w:p w:rsidR="00D03288" w:rsidRDefault="00D03288" w:rsidP="00DD3089">
            <w:pPr>
              <w:jc w:val="center"/>
            </w:pPr>
            <w:r>
              <w:t>Quantity</w:t>
            </w:r>
          </w:p>
        </w:tc>
        <w:tc>
          <w:tcPr>
            <w:tcW w:w="3192" w:type="dxa"/>
          </w:tcPr>
          <w:p w:rsidR="00D03288" w:rsidRDefault="00D03288" w:rsidP="00DD3089">
            <w:pPr>
              <w:jc w:val="center"/>
            </w:pPr>
            <w:r>
              <w:t>Cost</w:t>
            </w:r>
          </w:p>
        </w:tc>
      </w:tr>
      <w:tr w:rsidR="00D03288" w:rsidTr="00D03288">
        <w:tc>
          <w:tcPr>
            <w:tcW w:w="3192" w:type="dxa"/>
          </w:tcPr>
          <w:p w:rsidR="00D03288" w:rsidRDefault="008408D5" w:rsidP="00B84400">
            <w:r>
              <w:t>1” x 6” boards</w:t>
            </w:r>
          </w:p>
        </w:tc>
        <w:tc>
          <w:tcPr>
            <w:tcW w:w="3192" w:type="dxa"/>
          </w:tcPr>
          <w:p w:rsidR="00D03288" w:rsidRDefault="000F09E1" w:rsidP="00B84400">
            <w:r>
              <w:t>10</w:t>
            </w:r>
            <w:r w:rsidR="008408D5">
              <w:t xml:space="preserve"> </w:t>
            </w:r>
          </w:p>
        </w:tc>
        <w:tc>
          <w:tcPr>
            <w:tcW w:w="3192" w:type="dxa"/>
          </w:tcPr>
          <w:p w:rsidR="00D03288" w:rsidRDefault="00DD3089" w:rsidP="00DD3089">
            <w:pPr>
              <w:jc w:val="center"/>
            </w:pPr>
            <w:r>
              <w:t>$</w:t>
            </w:r>
            <w:r w:rsidR="008408D5">
              <w:t>60.00</w:t>
            </w:r>
          </w:p>
        </w:tc>
      </w:tr>
      <w:tr w:rsidR="00D03288" w:rsidTr="00D03288">
        <w:tc>
          <w:tcPr>
            <w:tcW w:w="3192" w:type="dxa"/>
          </w:tcPr>
          <w:p w:rsidR="00D03288" w:rsidRDefault="008408D5" w:rsidP="00B84400">
            <w:r>
              <w:t>1” x 8” boards</w:t>
            </w:r>
          </w:p>
        </w:tc>
        <w:tc>
          <w:tcPr>
            <w:tcW w:w="3192" w:type="dxa"/>
          </w:tcPr>
          <w:p w:rsidR="00D03288" w:rsidRDefault="000F09E1" w:rsidP="000F09E1">
            <w:r>
              <w:t>1</w:t>
            </w:r>
          </w:p>
        </w:tc>
        <w:tc>
          <w:tcPr>
            <w:tcW w:w="3192" w:type="dxa"/>
          </w:tcPr>
          <w:p w:rsidR="00D03288" w:rsidRDefault="00DD3089" w:rsidP="00DD3089">
            <w:pPr>
              <w:jc w:val="center"/>
            </w:pPr>
            <w:r>
              <w:t>$</w:t>
            </w:r>
            <w:r w:rsidR="008408D5">
              <w:t>40.00</w:t>
            </w:r>
          </w:p>
        </w:tc>
      </w:tr>
      <w:tr w:rsidR="00D03288" w:rsidTr="00D03288">
        <w:tc>
          <w:tcPr>
            <w:tcW w:w="3192" w:type="dxa"/>
          </w:tcPr>
          <w:p w:rsidR="00D03288" w:rsidRDefault="008408D5" w:rsidP="00B84400">
            <w:r>
              <w:t>5d nails</w:t>
            </w:r>
          </w:p>
        </w:tc>
        <w:tc>
          <w:tcPr>
            <w:tcW w:w="3192" w:type="dxa"/>
          </w:tcPr>
          <w:p w:rsidR="00D03288" w:rsidRDefault="008408D5" w:rsidP="008408D5">
            <w:r>
              <w:t xml:space="preserve">1 box </w:t>
            </w:r>
          </w:p>
        </w:tc>
        <w:tc>
          <w:tcPr>
            <w:tcW w:w="3192" w:type="dxa"/>
          </w:tcPr>
          <w:p w:rsidR="00D03288" w:rsidRDefault="00DD3089" w:rsidP="00DD3089">
            <w:pPr>
              <w:jc w:val="center"/>
            </w:pPr>
            <w:r>
              <w:t>$</w:t>
            </w:r>
            <w:r w:rsidR="008408D5">
              <w:t>30.00</w:t>
            </w:r>
          </w:p>
        </w:tc>
      </w:tr>
      <w:tr w:rsidR="00D03288" w:rsidTr="00D03288">
        <w:tc>
          <w:tcPr>
            <w:tcW w:w="3192" w:type="dxa"/>
          </w:tcPr>
          <w:p w:rsidR="00D03288" w:rsidRDefault="008408D5" w:rsidP="00B84400">
            <w:r>
              <w:t>Paint Brushes</w:t>
            </w:r>
          </w:p>
        </w:tc>
        <w:tc>
          <w:tcPr>
            <w:tcW w:w="3192" w:type="dxa"/>
          </w:tcPr>
          <w:p w:rsidR="00D03288" w:rsidRDefault="008408D5" w:rsidP="00B84400">
            <w:r>
              <w:t>15</w:t>
            </w:r>
          </w:p>
        </w:tc>
        <w:tc>
          <w:tcPr>
            <w:tcW w:w="3192" w:type="dxa"/>
          </w:tcPr>
          <w:p w:rsidR="00D03288" w:rsidRDefault="00DD3089" w:rsidP="00DD3089">
            <w:pPr>
              <w:jc w:val="center"/>
            </w:pPr>
            <w:r>
              <w:t>$</w:t>
            </w:r>
            <w:r w:rsidR="008408D5">
              <w:t>60.00</w:t>
            </w:r>
          </w:p>
        </w:tc>
      </w:tr>
      <w:tr w:rsidR="00D03288" w:rsidTr="00D03288">
        <w:tc>
          <w:tcPr>
            <w:tcW w:w="3192" w:type="dxa"/>
          </w:tcPr>
          <w:p w:rsidR="00D03288" w:rsidRDefault="008408D5" w:rsidP="00B84400">
            <w:r>
              <w:t>Single Strand Wire 16 gauge</w:t>
            </w:r>
          </w:p>
        </w:tc>
        <w:tc>
          <w:tcPr>
            <w:tcW w:w="3192" w:type="dxa"/>
          </w:tcPr>
          <w:p w:rsidR="00D03288" w:rsidRDefault="008408D5" w:rsidP="00B84400">
            <w:r>
              <w:t>10’</w:t>
            </w:r>
          </w:p>
        </w:tc>
        <w:tc>
          <w:tcPr>
            <w:tcW w:w="3192" w:type="dxa"/>
          </w:tcPr>
          <w:p w:rsidR="00D03288" w:rsidRDefault="00DD3089" w:rsidP="00DD3089">
            <w:pPr>
              <w:jc w:val="center"/>
            </w:pPr>
            <w:r>
              <w:t>$42.00</w:t>
            </w:r>
          </w:p>
        </w:tc>
      </w:tr>
    </w:tbl>
    <w:p w:rsidR="006672C9" w:rsidRDefault="006672C9">
      <w:r>
        <w:br w:type="page"/>
      </w:r>
    </w:p>
    <w:p w:rsidR="006672C9" w:rsidRPr="00471AC8" w:rsidRDefault="00D7591B" w:rsidP="00471AC8">
      <w:pPr>
        <w:spacing w:line="240" w:lineRule="auto"/>
        <w:jc w:val="center"/>
        <w:rPr>
          <w:b/>
        </w:rPr>
      </w:pPr>
      <w:r>
        <w:rPr>
          <w:b/>
        </w:rPr>
        <w:lastRenderedPageBreak/>
        <w:t>References</w:t>
      </w:r>
    </w:p>
    <w:p w:rsidR="00C837F2" w:rsidRPr="00C837F2" w:rsidRDefault="00C837F2" w:rsidP="00D7591B">
      <w:pPr>
        <w:spacing w:line="240" w:lineRule="auto"/>
        <w:ind w:left="720" w:hanging="720"/>
      </w:pPr>
      <w:r>
        <w:t xml:space="preserve">Burris, S., McLaughlin, E. K., McCulloch, A., </w:t>
      </w:r>
      <w:proofErr w:type="spellStart"/>
      <w:r>
        <w:t>Brashears</w:t>
      </w:r>
      <w:proofErr w:type="spellEnd"/>
      <w:r>
        <w:t xml:space="preserve">, T., &amp; </w:t>
      </w:r>
      <w:proofErr w:type="spellStart"/>
      <w:r>
        <w:t>Fraze</w:t>
      </w:r>
      <w:proofErr w:type="spellEnd"/>
      <w:r>
        <w:t xml:space="preserve">, S. (2010). </w:t>
      </w:r>
      <w:proofErr w:type="gramStart"/>
      <w:r>
        <w:t>A comparison of first and fifth year agriculture teachers on personal teaching efficacy, general teaching efficacy and content efficacy.</w:t>
      </w:r>
      <w:proofErr w:type="gramEnd"/>
      <w:r>
        <w:t xml:space="preserve"> </w:t>
      </w:r>
      <w:r>
        <w:rPr>
          <w:i/>
        </w:rPr>
        <w:t>Journal of Agricultural Education, 51</w:t>
      </w:r>
      <w:r>
        <w:t xml:space="preserve">(1), 22–31. </w:t>
      </w:r>
      <w:proofErr w:type="gramStart"/>
      <w:r>
        <w:t>doi</w:t>
      </w:r>
      <w:proofErr w:type="gramEnd"/>
      <w:r>
        <w:t>: 10.5032/jae.2010.01022</w:t>
      </w:r>
    </w:p>
    <w:p w:rsidR="00D7591B" w:rsidRPr="00D7591B" w:rsidRDefault="00D7591B" w:rsidP="00D7591B">
      <w:pPr>
        <w:spacing w:line="240" w:lineRule="auto"/>
        <w:ind w:left="720" w:hanging="720"/>
      </w:pPr>
      <w:r>
        <w:t xml:space="preserve">Burris, S., Robinson, J. S., &amp; Terry, R., Jr. (2005). </w:t>
      </w:r>
      <w:proofErr w:type="gramStart"/>
      <w:r>
        <w:t>Preparation of pre-service teachers in agricultural mechanics.</w:t>
      </w:r>
      <w:proofErr w:type="gramEnd"/>
      <w:r>
        <w:t xml:space="preserve"> </w:t>
      </w:r>
      <w:r>
        <w:rPr>
          <w:i/>
        </w:rPr>
        <w:t>Journal of Agricultural Education, 46</w:t>
      </w:r>
      <w:r>
        <w:t xml:space="preserve">(3), 23–34. </w:t>
      </w:r>
      <w:proofErr w:type="gramStart"/>
      <w:r>
        <w:t>doi</w:t>
      </w:r>
      <w:proofErr w:type="gramEnd"/>
      <w:r>
        <w:t>: 10.5032/jae.2005.03023</w:t>
      </w:r>
    </w:p>
    <w:sectPr w:rsidR="00D7591B" w:rsidRPr="00D7591B" w:rsidSect="00A154D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764B"/>
    <w:rsid w:val="0000764B"/>
    <w:rsid w:val="00066230"/>
    <w:rsid w:val="000F09E1"/>
    <w:rsid w:val="00106D97"/>
    <w:rsid w:val="001B285E"/>
    <w:rsid w:val="00400107"/>
    <w:rsid w:val="00471AC8"/>
    <w:rsid w:val="00513A81"/>
    <w:rsid w:val="00520DF0"/>
    <w:rsid w:val="005E737C"/>
    <w:rsid w:val="0060313E"/>
    <w:rsid w:val="006672C9"/>
    <w:rsid w:val="00712B85"/>
    <w:rsid w:val="00716400"/>
    <w:rsid w:val="00762EA8"/>
    <w:rsid w:val="00833790"/>
    <w:rsid w:val="008408D5"/>
    <w:rsid w:val="00861A09"/>
    <w:rsid w:val="008A232E"/>
    <w:rsid w:val="00901072"/>
    <w:rsid w:val="00A154DA"/>
    <w:rsid w:val="00AC31FE"/>
    <w:rsid w:val="00B84400"/>
    <w:rsid w:val="00BA153D"/>
    <w:rsid w:val="00C837F2"/>
    <w:rsid w:val="00D03288"/>
    <w:rsid w:val="00D7591B"/>
    <w:rsid w:val="00DD3089"/>
    <w:rsid w:val="00DD5B2B"/>
    <w:rsid w:val="00E67792"/>
    <w:rsid w:val="00E910C0"/>
    <w:rsid w:val="00EB2575"/>
    <w:rsid w:val="00EF61A2"/>
    <w:rsid w:val="00F733F9"/>
    <w:rsid w:val="00FD0023"/>
    <w:rsid w:val="00FF34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764B"/>
    <w:pPr>
      <w:spacing w:after="0" w:line="240" w:lineRule="auto"/>
    </w:pPr>
    <w:rPr>
      <w:rFonts w:ascii="Calibri" w:eastAsia="Times New Roman" w:hAnsi="Calibri"/>
      <w:sz w:val="22"/>
      <w:szCs w:val="22"/>
      <w:lang w:bidi="en-US"/>
    </w:rPr>
  </w:style>
  <w:style w:type="table" w:styleId="TableGrid">
    <w:name w:val="Table Grid"/>
    <w:basedOn w:val="TableNormal"/>
    <w:uiPriority w:val="59"/>
    <w:rsid w:val="00D03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4</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Oklahoma State University</Company>
  <LinksUpToDate>false</LinksUpToDate>
  <CharactersWithSpaces>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blackjj</dc:creator>
  <cp:keywords/>
  <dc:description/>
  <cp:lastModifiedBy>Joey</cp:lastModifiedBy>
  <cp:revision>10</cp:revision>
  <dcterms:created xsi:type="dcterms:W3CDTF">2011-10-25T17:22:00Z</dcterms:created>
  <dcterms:modified xsi:type="dcterms:W3CDTF">2011-10-29T01:42:00Z</dcterms:modified>
</cp:coreProperties>
</file>