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A80A24" w14:textId="77777777" w:rsidR="008560FF" w:rsidRPr="00AD6080" w:rsidRDefault="008560FF" w:rsidP="00AD6080">
      <w:pPr>
        <w:jc w:val="right"/>
        <w:rPr>
          <w:rFonts w:eastAsia="ArialMT"/>
        </w:rPr>
      </w:pPr>
      <w:r w:rsidRPr="00AD6080">
        <w:rPr>
          <w:rFonts w:eastAsia="ArialMT"/>
        </w:rPr>
        <w:t>RESEARCH</w:t>
      </w:r>
    </w:p>
    <w:p w14:paraId="109A0BC8" w14:textId="77777777" w:rsidR="00AD6080" w:rsidRPr="00AD6080" w:rsidRDefault="00AD6080" w:rsidP="00AD6080">
      <w:pPr>
        <w:jc w:val="center"/>
        <w:rPr>
          <w:rFonts w:eastAsia="ArialMT"/>
        </w:rPr>
      </w:pPr>
    </w:p>
    <w:p w14:paraId="00C29F26" w14:textId="77777777" w:rsidR="001269A0" w:rsidRPr="00AD6080" w:rsidRDefault="009162F7" w:rsidP="001269A0">
      <w:pPr>
        <w:jc w:val="center"/>
        <w:rPr>
          <w:b/>
        </w:rPr>
      </w:pPr>
      <w:r>
        <w:rPr>
          <w:rFonts w:eastAsia="ArialMT"/>
          <w:b/>
        </w:rPr>
        <w:t>Student Perceptions of Agricultural Advocacy – A Mixed Methods Study</w:t>
      </w:r>
    </w:p>
    <w:p w14:paraId="45601DB7" w14:textId="77777777" w:rsidR="008560FF" w:rsidRPr="00AD6080" w:rsidRDefault="008560FF" w:rsidP="00AD6080">
      <w:pPr>
        <w:autoSpaceDE w:val="0"/>
        <w:autoSpaceDN w:val="0"/>
        <w:adjustRightInd w:val="0"/>
        <w:jc w:val="center"/>
        <w:rPr>
          <w:bCs/>
        </w:rPr>
      </w:pPr>
    </w:p>
    <w:p w14:paraId="617A77EA" w14:textId="77777777" w:rsidR="00186ACC" w:rsidRDefault="00186ACC" w:rsidP="00AD6080">
      <w:pPr>
        <w:autoSpaceDE w:val="0"/>
        <w:autoSpaceDN w:val="0"/>
        <w:adjustRightInd w:val="0"/>
        <w:jc w:val="center"/>
        <w:rPr>
          <w:bCs/>
        </w:rPr>
      </w:pPr>
    </w:p>
    <w:p w14:paraId="325733C9" w14:textId="77777777" w:rsidR="00186ACC" w:rsidRDefault="00186ACC" w:rsidP="00AD6080">
      <w:pPr>
        <w:autoSpaceDE w:val="0"/>
        <w:autoSpaceDN w:val="0"/>
        <w:adjustRightInd w:val="0"/>
        <w:jc w:val="center"/>
        <w:rPr>
          <w:bCs/>
        </w:rPr>
      </w:pPr>
    </w:p>
    <w:p w14:paraId="1360D611" w14:textId="5C2D903D" w:rsidR="008560FF" w:rsidRPr="00AD6080" w:rsidRDefault="00A471B1" w:rsidP="00AD6080">
      <w:pPr>
        <w:autoSpaceDE w:val="0"/>
        <w:autoSpaceDN w:val="0"/>
        <w:adjustRightInd w:val="0"/>
        <w:jc w:val="center"/>
        <w:rPr>
          <w:bCs/>
        </w:rPr>
      </w:pPr>
      <w:r>
        <w:rPr>
          <w:bCs/>
        </w:rPr>
        <w:t xml:space="preserve">Mr. </w:t>
      </w:r>
      <w:r w:rsidR="008560FF" w:rsidRPr="00AD6080">
        <w:rPr>
          <w:bCs/>
        </w:rPr>
        <w:t>Chaney Mosley</w:t>
      </w:r>
    </w:p>
    <w:p w14:paraId="05010E4A" w14:textId="77777777" w:rsidR="008560FF" w:rsidRPr="00AD6080" w:rsidRDefault="008560FF" w:rsidP="00AD6080">
      <w:pPr>
        <w:autoSpaceDE w:val="0"/>
        <w:autoSpaceDN w:val="0"/>
        <w:adjustRightInd w:val="0"/>
        <w:jc w:val="center"/>
        <w:rPr>
          <w:bCs/>
        </w:rPr>
      </w:pPr>
      <w:r w:rsidRPr="00AD6080">
        <w:rPr>
          <w:bCs/>
        </w:rPr>
        <w:t>Virginia Tech</w:t>
      </w:r>
    </w:p>
    <w:p w14:paraId="148DE4A2" w14:textId="77777777" w:rsidR="008560FF" w:rsidRPr="00AD6080" w:rsidRDefault="008560FF" w:rsidP="00AD6080">
      <w:pPr>
        <w:autoSpaceDE w:val="0"/>
        <w:autoSpaceDN w:val="0"/>
        <w:adjustRightInd w:val="0"/>
        <w:jc w:val="center"/>
        <w:rPr>
          <w:bCs/>
        </w:rPr>
      </w:pPr>
      <w:r w:rsidRPr="00AD6080">
        <w:rPr>
          <w:bCs/>
        </w:rPr>
        <w:t>2270 Litton Reaves Hall</w:t>
      </w:r>
    </w:p>
    <w:p w14:paraId="2288D3B9" w14:textId="77777777" w:rsidR="008560FF" w:rsidRPr="00376E34" w:rsidRDefault="008560FF" w:rsidP="00AD6080">
      <w:pPr>
        <w:autoSpaceDE w:val="0"/>
        <w:autoSpaceDN w:val="0"/>
        <w:adjustRightInd w:val="0"/>
        <w:jc w:val="center"/>
        <w:rPr>
          <w:bCs/>
          <w:lang w:val="es-MX"/>
        </w:rPr>
      </w:pPr>
      <w:r w:rsidRPr="00376E34">
        <w:rPr>
          <w:bCs/>
          <w:lang w:val="es-MX"/>
        </w:rPr>
        <w:t>Blacksburg, VA  24061</w:t>
      </w:r>
    </w:p>
    <w:p w14:paraId="762F34DF" w14:textId="77777777" w:rsidR="008560FF" w:rsidRPr="00376E34" w:rsidRDefault="008560FF" w:rsidP="00AD6080">
      <w:pPr>
        <w:autoSpaceDE w:val="0"/>
        <w:autoSpaceDN w:val="0"/>
        <w:adjustRightInd w:val="0"/>
        <w:jc w:val="center"/>
        <w:rPr>
          <w:bCs/>
          <w:lang w:val="es-MX"/>
        </w:rPr>
      </w:pPr>
      <w:r w:rsidRPr="00376E34">
        <w:rPr>
          <w:bCs/>
          <w:lang w:val="es-MX"/>
        </w:rPr>
        <w:t>540-231-6836</w:t>
      </w:r>
    </w:p>
    <w:p w14:paraId="0C0C58F5" w14:textId="738BE76F" w:rsidR="008560FF" w:rsidRPr="001E1CFD" w:rsidRDefault="00B4029E" w:rsidP="00AD6080">
      <w:pPr>
        <w:autoSpaceDE w:val="0"/>
        <w:autoSpaceDN w:val="0"/>
        <w:adjustRightInd w:val="0"/>
        <w:jc w:val="center"/>
        <w:rPr>
          <w:bCs/>
          <w:color w:val="auto"/>
          <w:lang w:val="es-MX"/>
        </w:rPr>
      </w:pPr>
      <w:hyperlink r:id="rId8" w:history="1">
        <w:r w:rsidR="00E64C48" w:rsidRPr="001E1CFD">
          <w:rPr>
            <w:rStyle w:val="Hyperlink"/>
            <w:bCs/>
            <w:color w:val="auto"/>
            <w:u w:val="none"/>
            <w:lang w:val="es-MX"/>
          </w:rPr>
          <w:t>cmosley@vt.edu</w:t>
        </w:r>
      </w:hyperlink>
    </w:p>
    <w:p w14:paraId="2C4F373C" w14:textId="77777777" w:rsidR="00E64C48" w:rsidRDefault="00E64C48" w:rsidP="00AD6080">
      <w:pPr>
        <w:autoSpaceDE w:val="0"/>
        <w:autoSpaceDN w:val="0"/>
        <w:adjustRightInd w:val="0"/>
        <w:jc w:val="center"/>
        <w:rPr>
          <w:bCs/>
          <w:lang w:val="es-MX"/>
        </w:rPr>
      </w:pPr>
    </w:p>
    <w:p w14:paraId="36CFE04E" w14:textId="77777777" w:rsidR="00E64C48" w:rsidRPr="006465E1" w:rsidRDefault="00E64C48" w:rsidP="00E64C48">
      <w:pPr>
        <w:jc w:val="center"/>
        <w:rPr>
          <w:noProof/>
          <w:lang w:val="es-MX"/>
        </w:rPr>
      </w:pPr>
      <w:r w:rsidRPr="006465E1">
        <w:rPr>
          <w:noProof/>
          <w:lang w:val="es-MX"/>
        </w:rPr>
        <w:t>Ms. Keyana Ellis</w:t>
      </w:r>
    </w:p>
    <w:p w14:paraId="5FDCDFE8" w14:textId="1B3E1185" w:rsidR="00E64C48" w:rsidRPr="006465E1" w:rsidRDefault="00E64C48" w:rsidP="00E64C48">
      <w:pPr>
        <w:jc w:val="center"/>
        <w:rPr>
          <w:noProof/>
        </w:rPr>
      </w:pPr>
      <w:r w:rsidRPr="006465E1">
        <w:rPr>
          <w:noProof/>
        </w:rPr>
        <w:t xml:space="preserve">Virginia </w:t>
      </w:r>
      <w:r w:rsidR="003E71ED">
        <w:rPr>
          <w:noProof/>
        </w:rPr>
        <w:t>Tech</w:t>
      </w:r>
    </w:p>
    <w:p w14:paraId="3786C3BD" w14:textId="77777777" w:rsidR="00E64C48" w:rsidRPr="006465E1" w:rsidRDefault="00E64C48" w:rsidP="00E64C48">
      <w:pPr>
        <w:autoSpaceDE w:val="0"/>
        <w:autoSpaceDN w:val="0"/>
        <w:adjustRightInd w:val="0"/>
        <w:jc w:val="center"/>
        <w:rPr>
          <w:bCs/>
        </w:rPr>
      </w:pPr>
      <w:r w:rsidRPr="006465E1">
        <w:rPr>
          <w:bCs/>
        </w:rPr>
        <w:t>2270 Litton Reaves Hall</w:t>
      </w:r>
    </w:p>
    <w:p w14:paraId="480FF82F" w14:textId="77777777" w:rsidR="00E64C48" w:rsidRPr="006465E1" w:rsidRDefault="00E64C48" w:rsidP="00E64C48">
      <w:pPr>
        <w:autoSpaceDE w:val="0"/>
        <w:autoSpaceDN w:val="0"/>
        <w:adjustRightInd w:val="0"/>
        <w:jc w:val="center"/>
        <w:rPr>
          <w:bCs/>
        </w:rPr>
      </w:pPr>
      <w:r w:rsidRPr="006465E1">
        <w:rPr>
          <w:bCs/>
        </w:rPr>
        <w:t>Blacksburg, VA  24061</w:t>
      </w:r>
    </w:p>
    <w:p w14:paraId="27B10AB4" w14:textId="77777777" w:rsidR="00E64C48" w:rsidRPr="006465E1" w:rsidRDefault="00E64C48" w:rsidP="00E64C48">
      <w:pPr>
        <w:autoSpaceDE w:val="0"/>
        <w:autoSpaceDN w:val="0"/>
        <w:adjustRightInd w:val="0"/>
        <w:jc w:val="center"/>
        <w:rPr>
          <w:bCs/>
        </w:rPr>
      </w:pPr>
      <w:r w:rsidRPr="006465E1">
        <w:rPr>
          <w:bCs/>
        </w:rPr>
        <w:t>540-231-6836</w:t>
      </w:r>
    </w:p>
    <w:p w14:paraId="4DF456E2" w14:textId="77777777" w:rsidR="00E64C48" w:rsidRPr="006465E1" w:rsidRDefault="00E64C48" w:rsidP="00E64C48">
      <w:pPr>
        <w:autoSpaceDE w:val="0"/>
        <w:autoSpaceDN w:val="0"/>
        <w:adjustRightInd w:val="0"/>
        <w:jc w:val="center"/>
        <w:rPr>
          <w:bCs/>
        </w:rPr>
      </w:pPr>
      <w:r w:rsidRPr="006465E1">
        <w:rPr>
          <w:bCs/>
        </w:rPr>
        <w:t>keyellis@vt.edu</w:t>
      </w:r>
    </w:p>
    <w:p w14:paraId="3040C68C" w14:textId="77777777" w:rsidR="009162F7" w:rsidRDefault="009162F7" w:rsidP="00E64C48">
      <w:pPr>
        <w:autoSpaceDE w:val="0"/>
        <w:autoSpaceDN w:val="0"/>
        <w:adjustRightInd w:val="0"/>
        <w:rPr>
          <w:bCs/>
          <w:lang w:val="es-MX"/>
        </w:rPr>
      </w:pPr>
    </w:p>
    <w:p w14:paraId="0184244E" w14:textId="77777777" w:rsidR="00E64C48" w:rsidRPr="006465E1" w:rsidRDefault="00E64C48" w:rsidP="00E64C48">
      <w:pPr>
        <w:jc w:val="center"/>
        <w:rPr>
          <w:noProof/>
        </w:rPr>
      </w:pPr>
      <w:r w:rsidRPr="006465E1">
        <w:rPr>
          <w:noProof/>
        </w:rPr>
        <w:t>Dr. Eric Kaufman</w:t>
      </w:r>
    </w:p>
    <w:p w14:paraId="45716E39" w14:textId="2A3EC35B" w:rsidR="00E64C48" w:rsidRPr="006465E1" w:rsidRDefault="00E64C48" w:rsidP="00E64C48">
      <w:pPr>
        <w:jc w:val="center"/>
        <w:rPr>
          <w:noProof/>
        </w:rPr>
      </w:pPr>
      <w:r w:rsidRPr="006465E1">
        <w:rPr>
          <w:noProof/>
        </w:rPr>
        <w:t xml:space="preserve">Virginia </w:t>
      </w:r>
      <w:r w:rsidR="003E71ED">
        <w:rPr>
          <w:noProof/>
        </w:rPr>
        <w:t>Tech</w:t>
      </w:r>
    </w:p>
    <w:p w14:paraId="2B9E48CA" w14:textId="77777777" w:rsidR="00E64C48" w:rsidRPr="006465E1" w:rsidRDefault="00E64C48" w:rsidP="00E64C48">
      <w:pPr>
        <w:autoSpaceDE w:val="0"/>
        <w:autoSpaceDN w:val="0"/>
        <w:adjustRightInd w:val="0"/>
        <w:jc w:val="center"/>
        <w:rPr>
          <w:bCs/>
        </w:rPr>
      </w:pPr>
      <w:r w:rsidRPr="006465E1">
        <w:rPr>
          <w:bCs/>
        </w:rPr>
        <w:t>2270 Litton Reaves Hall</w:t>
      </w:r>
    </w:p>
    <w:p w14:paraId="725B48A5" w14:textId="77777777" w:rsidR="00E64C48" w:rsidRPr="006465E1" w:rsidRDefault="00E64C48" w:rsidP="00E64C48">
      <w:pPr>
        <w:autoSpaceDE w:val="0"/>
        <w:autoSpaceDN w:val="0"/>
        <w:adjustRightInd w:val="0"/>
        <w:jc w:val="center"/>
        <w:rPr>
          <w:bCs/>
        </w:rPr>
      </w:pPr>
      <w:r w:rsidRPr="006465E1">
        <w:rPr>
          <w:bCs/>
        </w:rPr>
        <w:t>Blacksburg, VA  24061</w:t>
      </w:r>
    </w:p>
    <w:p w14:paraId="32FEC4EC" w14:textId="77777777" w:rsidR="00E64C48" w:rsidRPr="006465E1" w:rsidRDefault="00E64C48" w:rsidP="00E64C48">
      <w:pPr>
        <w:autoSpaceDE w:val="0"/>
        <w:autoSpaceDN w:val="0"/>
        <w:adjustRightInd w:val="0"/>
        <w:jc w:val="center"/>
        <w:rPr>
          <w:bCs/>
        </w:rPr>
      </w:pPr>
      <w:r w:rsidRPr="006465E1">
        <w:rPr>
          <w:bCs/>
        </w:rPr>
        <w:t>540-231-6258</w:t>
      </w:r>
    </w:p>
    <w:p w14:paraId="72D5699F" w14:textId="77777777" w:rsidR="00E64C48" w:rsidRPr="006465E1" w:rsidRDefault="00E64C48" w:rsidP="00E64C48">
      <w:pPr>
        <w:autoSpaceDE w:val="0"/>
        <w:autoSpaceDN w:val="0"/>
        <w:adjustRightInd w:val="0"/>
        <w:jc w:val="center"/>
        <w:rPr>
          <w:bCs/>
        </w:rPr>
      </w:pPr>
      <w:r w:rsidRPr="006465E1">
        <w:rPr>
          <w:bCs/>
        </w:rPr>
        <w:t>ekaufman@vt.edu</w:t>
      </w:r>
    </w:p>
    <w:p w14:paraId="63D86907" w14:textId="7FE14E42" w:rsidR="008560FF" w:rsidRPr="008D0732" w:rsidRDefault="008560FF" w:rsidP="00AD6080">
      <w:pPr>
        <w:autoSpaceDE w:val="0"/>
        <w:autoSpaceDN w:val="0"/>
        <w:adjustRightInd w:val="0"/>
        <w:jc w:val="center"/>
        <w:rPr>
          <w:bCs/>
          <w:color w:val="auto"/>
        </w:rPr>
      </w:pPr>
    </w:p>
    <w:p w14:paraId="00420C23" w14:textId="77777777" w:rsidR="008560FF" w:rsidRPr="00AD6080" w:rsidRDefault="008560FF" w:rsidP="009162F7">
      <w:pPr>
        <w:autoSpaceDE w:val="0"/>
        <w:autoSpaceDN w:val="0"/>
        <w:adjustRightInd w:val="0"/>
        <w:rPr>
          <w:bCs/>
        </w:rPr>
      </w:pPr>
    </w:p>
    <w:p w14:paraId="00D83EFC" w14:textId="77777777" w:rsidR="008560FF" w:rsidRPr="00AD6080" w:rsidRDefault="008560FF" w:rsidP="00AD6080">
      <w:pPr>
        <w:autoSpaceDE w:val="0"/>
        <w:autoSpaceDN w:val="0"/>
        <w:adjustRightInd w:val="0"/>
        <w:jc w:val="center"/>
        <w:rPr>
          <w:bCs/>
        </w:rPr>
      </w:pPr>
    </w:p>
    <w:p w14:paraId="02F4F9BB" w14:textId="77777777" w:rsidR="008560FF" w:rsidRPr="00AD6080" w:rsidRDefault="008560FF" w:rsidP="00AD6080">
      <w:pPr>
        <w:autoSpaceDE w:val="0"/>
        <w:autoSpaceDN w:val="0"/>
        <w:adjustRightInd w:val="0"/>
        <w:jc w:val="center"/>
        <w:rPr>
          <w:bCs/>
        </w:rPr>
      </w:pPr>
    </w:p>
    <w:p w14:paraId="0B1D34EB" w14:textId="77777777" w:rsidR="00DA50BE" w:rsidRPr="00AD6080" w:rsidRDefault="00DA50BE" w:rsidP="00AD6080">
      <w:pPr>
        <w:rPr>
          <w:rFonts w:eastAsia="ArialMT"/>
        </w:rPr>
      </w:pPr>
      <w:r w:rsidRPr="00AD6080">
        <w:rPr>
          <w:rFonts w:eastAsia="ArialMT"/>
        </w:rPr>
        <w:br w:type="page"/>
      </w:r>
    </w:p>
    <w:p w14:paraId="7A83DA16" w14:textId="77777777" w:rsidR="00AD6080" w:rsidRDefault="009162F7" w:rsidP="009162F7">
      <w:pPr>
        <w:autoSpaceDE w:val="0"/>
        <w:autoSpaceDN w:val="0"/>
        <w:adjustRightInd w:val="0"/>
        <w:jc w:val="center"/>
        <w:rPr>
          <w:rFonts w:eastAsia="ArialMT"/>
          <w:b/>
        </w:rPr>
      </w:pPr>
      <w:r>
        <w:rPr>
          <w:rFonts w:eastAsia="ArialMT"/>
          <w:b/>
        </w:rPr>
        <w:lastRenderedPageBreak/>
        <w:t>Student Perceptions of Agricultural Advocacy – A Mixed Methods Study</w:t>
      </w:r>
    </w:p>
    <w:p w14:paraId="2F52701A" w14:textId="77777777" w:rsidR="009162F7" w:rsidRPr="00AD6080" w:rsidRDefault="009162F7" w:rsidP="009162F7">
      <w:pPr>
        <w:autoSpaceDE w:val="0"/>
        <w:autoSpaceDN w:val="0"/>
        <w:adjustRightInd w:val="0"/>
        <w:jc w:val="center"/>
      </w:pPr>
    </w:p>
    <w:p w14:paraId="08A35237" w14:textId="77777777" w:rsidR="009A673C" w:rsidRPr="002D6081" w:rsidRDefault="00AD6080" w:rsidP="00D60121">
      <w:pPr>
        <w:autoSpaceDE w:val="0"/>
        <w:autoSpaceDN w:val="0"/>
        <w:adjustRightInd w:val="0"/>
        <w:jc w:val="center"/>
      </w:pPr>
      <w:r w:rsidRPr="002D6081">
        <w:rPr>
          <w:b/>
        </w:rPr>
        <w:t>Introduction/Need for research</w:t>
      </w:r>
    </w:p>
    <w:p w14:paraId="190E549E" w14:textId="2485248C" w:rsidR="00DA120D" w:rsidRDefault="006967EE" w:rsidP="00AC2CB9">
      <w:r>
        <w:t>Production agriculture is a controversial subject</w:t>
      </w:r>
      <w:r w:rsidR="00BC5FAD" w:rsidRPr="006465E1">
        <w:t xml:space="preserve"> (Fraser, 2001). </w:t>
      </w:r>
      <w:r w:rsidR="00BC5FAD">
        <w:t xml:space="preserve"> </w:t>
      </w:r>
      <w:r w:rsidR="00BC5FAD" w:rsidRPr="006465E1">
        <w:t>Fraser (2001) suggests that disagreements about the ethics involved with production agriculture often manifest in the form of emotion</w:t>
      </w:r>
      <w:r w:rsidR="00A00879">
        <w:t xml:space="preserve">ally charged claims that </w:t>
      </w:r>
      <w:r w:rsidR="00E908DE">
        <w:t>neither</w:t>
      </w:r>
      <w:r w:rsidR="00A00879">
        <w:t xml:space="preserve"> fully nor </w:t>
      </w:r>
      <w:r w:rsidR="00BC5FAD" w:rsidRPr="006465E1">
        <w:t>accur</w:t>
      </w:r>
      <w:r w:rsidR="008C0CB0">
        <w:t xml:space="preserve">ately represent </w:t>
      </w:r>
      <w:r w:rsidR="00E908DE">
        <w:t>the agriculture</w:t>
      </w:r>
      <w:r w:rsidR="00BC5FAD" w:rsidRPr="006465E1">
        <w:t xml:space="preserve"> industry. </w:t>
      </w:r>
      <w:r w:rsidR="00AC2CB9">
        <w:t xml:space="preserve"> </w:t>
      </w:r>
      <w:r w:rsidR="00BC5FAD" w:rsidRPr="006465E1">
        <w:t xml:space="preserve">Agriculturists must learn to recognize and use </w:t>
      </w:r>
      <w:r w:rsidR="003E71ED">
        <w:t xml:space="preserve">advocacy and </w:t>
      </w:r>
      <w:r w:rsidR="00BC5FAD" w:rsidRPr="006465E1">
        <w:t>persuasive techniques</w:t>
      </w:r>
      <w:r w:rsidR="00AC2CB9">
        <w:t xml:space="preserve"> in response to inaccurate statements</w:t>
      </w:r>
      <w:r w:rsidR="00BC5FAD" w:rsidRPr="006465E1">
        <w:t xml:space="preserve">.  Advocacy involves “pleading a cause, or encouraging someone to support, speak, or write in favor of a particular behavior or action” (Johnson &amp; </w:t>
      </w:r>
      <w:proofErr w:type="spellStart"/>
      <w:r w:rsidR="00BC5FAD" w:rsidRPr="006465E1">
        <w:t>Mappin</w:t>
      </w:r>
      <w:proofErr w:type="spellEnd"/>
      <w:r w:rsidR="00BC5FAD" w:rsidRPr="006465E1">
        <w:t xml:space="preserve">, 2005, p. 2). </w:t>
      </w:r>
      <w:r w:rsidR="005B2633">
        <w:t xml:space="preserve"> </w:t>
      </w:r>
      <w:r w:rsidR="00BC5FAD" w:rsidRPr="006465E1">
        <w:t xml:space="preserve">As new </w:t>
      </w:r>
      <w:r w:rsidR="00B5553A">
        <w:t xml:space="preserve">online </w:t>
      </w:r>
      <w:r>
        <w:t xml:space="preserve">social </w:t>
      </w:r>
      <w:r w:rsidR="002F36D4">
        <w:t>networking</w:t>
      </w:r>
      <w:r>
        <w:t xml:space="preserve"> </w:t>
      </w:r>
      <w:r w:rsidR="00B5553A">
        <w:t xml:space="preserve">sites </w:t>
      </w:r>
      <w:r w:rsidR="000E21FF">
        <w:t xml:space="preserve">and technology intensive media </w:t>
      </w:r>
      <w:r>
        <w:t>emerge</w:t>
      </w:r>
      <w:r w:rsidR="00BC5FAD" w:rsidRPr="006465E1">
        <w:t xml:space="preserve">, </w:t>
      </w:r>
      <w:r w:rsidR="003E71ED">
        <w:t xml:space="preserve">opportunities to </w:t>
      </w:r>
      <w:r w:rsidR="00BC5FAD" w:rsidRPr="006465E1">
        <w:t xml:space="preserve">increase the possible audience </w:t>
      </w:r>
      <w:r w:rsidR="00B44583">
        <w:t>for agricultural advocacy</w:t>
      </w:r>
      <w:r w:rsidR="00BC5FAD" w:rsidRPr="006465E1">
        <w:t xml:space="preserve"> </w:t>
      </w:r>
      <w:r w:rsidR="003E71ED">
        <w:t xml:space="preserve">are </w:t>
      </w:r>
      <w:r w:rsidR="00B44583">
        <w:t>expanded</w:t>
      </w:r>
      <w:r w:rsidR="003E71ED">
        <w:t xml:space="preserve"> </w:t>
      </w:r>
      <w:r w:rsidR="00BC5FAD" w:rsidRPr="006465E1">
        <w:t>(Hon, 2006).</w:t>
      </w:r>
      <w:r w:rsidR="002F36D4" w:rsidRPr="002F36D4">
        <w:t xml:space="preserve"> </w:t>
      </w:r>
      <w:r w:rsidR="00E908DE">
        <w:t>While</w:t>
      </w:r>
      <w:r w:rsidR="00BC5FAD" w:rsidRPr="006465E1">
        <w:t xml:space="preserve"> activists increase efforts to displace modern production agriculture, a sense of urgency is created for </w:t>
      </w:r>
      <w:r w:rsidR="00E908DE" w:rsidRPr="006465E1">
        <w:t xml:space="preserve">the future workforce </w:t>
      </w:r>
      <w:r w:rsidR="00E908DE">
        <w:t xml:space="preserve">of </w:t>
      </w:r>
      <w:r w:rsidR="00BC5FAD" w:rsidRPr="006465E1">
        <w:t>the a</w:t>
      </w:r>
      <w:r w:rsidR="00E908DE">
        <w:t>gricultural industry</w:t>
      </w:r>
      <w:r w:rsidR="00BC5FAD" w:rsidRPr="006465E1">
        <w:t xml:space="preserve"> to develop the skills</w:t>
      </w:r>
      <w:r>
        <w:t xml:space="preserve"> needed for effective advocacy.  </w:t>
      </w:r>
      <w:r w:rsidR="00B44583">
        <w:t xml:space="preserve">However, opportunities to engage undergraduate students in learning advocacy skills are both limited and underdeveloped. </w:t>
      </w:r>
      <w:r w:rsidR="009226EA" w:rsidRPr="00C27D3A">
        <w:t>The need for</w:t>
      </w:r>
      <w:r w:rsidR="008C0CB0">
        <w:t xml:space="preserve"> research</w:t>
      </w:r>
      <w:r w:rsidR="00B44583">
        <w:t xml:space="preserve"> </w:t>
      </w:r>
      <w:r w:rsidR="000314C5">
        <w:t>concerning</w:t>
      </w:r>
      <w:r w:rsidR="00B44583">
        <w:t xml:space="preserve"> </w:t>
      </w:r>
      <w:r w:rsidR="005A372F">
        <w:t xml:space="preserve">advocacy </w:t>
      </w:r>
      <w:r w:rsidR="008C0CB0">
        <w:t>is</w:t>
      </w:r>
      <w:r w:rsidR="009226EA" w:rsidRPr="00C27D3A">
        <w:t xml:space="preserve"> </w:t>
      </w:r>
      <w:r w:rsidR="00CB3AA2" w:rsidRPr="00C27D3A">
        <w:t>broad.</w:t>
      </w:r>
      <w:r w:rsidR="00E64C48" w:rsidRPr="00C27D3A">
        <w:t xml:space="preserve">  </w:t>
      </w:r>
      <w:r w:rsidR="009226EA" w:rsidRPr="00C27D3A">
        <w:t xml:space="preserve">First, </w:t>
      </w:r>
      <w:r w:rsidR="00CB3AA2" w:rsidRPr="00C27D3A">
        <w:rPr>
          <w:color w:val="auto"/>
        </w:rPr>
        <w:t xml:space="preserve">the </w:t>
      </w:r>
      <w:r w:rsidR="003E71ED">
        <w:rPr>
          <w:color w:val="auto"/>
        </w:rPr>
        <w:t xml:space="preserve">2011-2015 </w:t>
      </w:r>
      <w:r w:rsidR="00CB3AA2" w:rsidRPr="00C27D3A">
        <w:rPr>
          <w:color w:val="auto"/>
        </w:rPr>
        <w:t xml:space="preserve">National Research </w:t>
      </w:r>
      <w:r w:rsidR="00C27D3A" w:rsidRPr="00C27D3A">
        <w:rPr>
          <w:color w:val="auto"/>
        </w:rPr>
        <w:t>Agenda</w:t>
      </w:r>
      <w:r w:rsidR="00C27D3A" w:rsidRPr="00C27D3A">
        <w:t xml:space="preserve"> identifies</w:t>
      </w:r>
      <w:r w:rsidR="00EE6389" w:rsidRPr="00C27D3A">
        <w:t xml:space="preserve"> </w:t>
      </w:r>
      <w:r w:rsidR="00EE6389" w:rsidRPr="00C27D3A">
        <w:rPr>
          <w:color w:val="auto"/>
        </w:rPr>
        <w:t>public and policy maker understanding of agriculture and natural resources as the top priority research area for those employed in food and agricultural systems (</w:t>
      </w:r>
      <w:proofErr w:type="spellStart"/>
      <w:r w:rsidR="00EE6389" w:rsidRPr="00C27D3A">
        <w:rPr>
          <w:color w:val="auto"/>
        </w:rPr>
        <w:t>Doerfert</w:t>
      </w:r>
      <w:proofErr w:type="spellEnd"/>
      <w:r w:rsidR="00EE6389" w:rsidRPr="00C27D3A">
        <w:rPr>
          <w:color w:val="auto"/>
        </w:rPr>
        <w:t xml:space="preserve">, 2011). </w:t>
      </w:r>
      <w:r w:rsidR="00EE6389" w:rsidRPr="00C27D3A">
        <w:t xml:space="preserve"> </w:t>
      </w:r>
      <w:r w:rsidR="009226EA" w:rsidRPr="00C27D3A">
        <w:rPr>
          <w:color w:val="auto"/>
        </w:rPr>
        <w:t>S</w:t>
      </w:r>
      <w:r w:rsidR="00C27D3A" w:rsidRPr="00C27D3A">
        <w:rPr>
          <w:color w:val="auto"/>
        </w:rPr>
        <w:t xml:space="preserve">econd, as the industry </w:t>
      </w:r>
      <w:r>
        <w:rPr>
          <w:color w:val="auto"/>
        </w:rPr>
        <w:t>and</w:t>
      </w:r>
      <w:r w:rsidR="00C27D3A" w:rsidRPr="00C27D3A">
        <w:rPr>
          <w:color w:val="auto"/>
        </w:rPr>
        <w:t xml:space="preserve"> skills nee</w:t>
      </w:r>
      <w:r w:rsidR="00C27D3A">
        <w:rPr>
          <w:color w:val="auto"/>
        </w:rPr>
        <w:t>ded to work in the</w:t>
      </w:r>
      <w:r w:rsidR="00C27D3A" w:rsidRPr="00C27D3A">
        <w:rPr>
          <w:color w:val="auto"/>
        </w:rPr>
        <w:t xml:space="preserve"> industry </w:t>
      </w:r>
      <w:r>
        <w:rPr>
          <w:color w:val="auto"/>
        </w:rPr>
        <w:t>evolve</w:t>
      </w:r>
      <w:r w:rsidR="00C27D3A" w:rsidRPr="00C27D3A">
        <w:rPr>
          <w:color w:val="auto"/>
        </w:rPr>
        <w:t>, the</w:t>
      </w:r>
      <w:r w:rsidR="00C27D3A">
        <w:rPr>
          <w:color w:val="auto"/>
        </w:rPr>
        <w:t xml:space="preserve"> </w:t>
      </w:r>
      <w:r>
        <w:rPr>
          <w:color w:val="auto"/>
        </w:rPr>
        <w:t>agricultural workforce</w:t>
      </w:r>
      <w:r w:rsidR="00C27D3A">
        <w:rPr>
          <w:color w:val="auto"/>
        </w:rPr>
        <w:t xml:space="preserve"> must develop </w:t>
      </w:r>
      <w:r>
        <w:rPr>
          <w:color w:val="auto"/>
        </w:rPr>
        <w:t xml:space="preserve">advocacy skills </w:t>
      </w:r>
      <w:r w:rsidR="00C27D3A">
        <w:rPr>
          <w:color w:val="auto"/>
        </w:rPr>
        <w:t>to remain globally competitive (</w:t>
      </w:r>
      <w:r w:rsidR="00C27D3A" w:rsidRPr="00C27D3A">
        <w:rPr>
          <w:rFonts w:ascii="Times" w:hAnsi="Times" w:cs="Times"/>
          <w:color w:val="auto"/>
        </w:rPr>
        <w:t>Department of Agriculture, Fisheries, and Forestry</w:t>
      </w:r>
      <w:r w:rsidR="00C27D3A">
        <w:rPr>
          <w:rFonts w:ascii="Times" w:hAnsi="Times" w:cs="Times"/>
          <w:color w:val="auto"/>
        </w:rPr>
        <w:t xml:space="preserve"> [DAFF], 2009).  </w:t>
      </w:r>
      <w:r w:rsidR="00C27D3A" w:rsidRPr="00851F15">
        <w:rPr>
          <w:rFonts w:ascii="Times" w:hAnsi="Times" w:cs="Times"/>
          <w:color w:val="auto"/>
        </w:rPr>
        <w:t>Thi</w:t>
      </w:r>
      <w:r w:rsidR="008C0CB0">
        <w:rPr>
          <w:rFonts w:ascii="Times" w:hAnsi="Times" w:cs="Times"/>
          <w:color w:val="auto"/>
        </w:rPr>
        <w:t>rd,</w:t>
      </w:r>
      <w:r w:rsidR="00851F15">
        <w:rPr>
          <w:rFonts w:ascii="Times" w:hAnsi="Times" w:cs="Century"/>
          <w:color w:val="auto"/>
        </w:rPr>
        <w:t xml:space="preserve"> agricultural educators </w:t>
      </w:r>
      <w:r>
        <w:rPr>
          <w:rFonts w:ascii="Times" w:hAnsi="Times" w:cs="Century"/>
          <w:color w:val="auto"/>
        </w:rPr>
        <w:t>should</w:t>
      </w:r>
      <w:r w:rsidR="00851F15">
        <w:rPr>
          <w:rFonts w:ascii="Times" w:hAnsi="Times" w:cs="Century"/>
          <w:color w:val="auto"/>
        </w:rPr>
        <w:t xml:space="preserve"> be familiar with student perce</w:t>
      </w:r>
      <w:r w:rsidR="00073BE1">
        <w:rPr>
          <w:rFonts w:ascii="Times" w:hAnsi="Times" w:cs="Century"/>
          <w:color w:val="auto"/>
        </w:rPr>
        <w:t>ptions of advocacy in order to develop advocacy based curriculum</w:t>
      </w:r>
      <w:r w:rsidR="008C0CB0">
        <w:rPr>
          <w:rFonts w:ascii="Times" w:hAnsi="Times" w:cs="Century"/>
          <w:color w:val="auto"/>
        </w:rPr>
        <w:t>.</w:t>
      </w:r>
      <w:r w:rsidR="008C0CB0">
        <w:rPr>
          <w:color w:val="auto"/>
        </w:rPr>
        <w:t xml:space="preserve">  </w:t>
      </w:r>
      <w:r w:rsidR="00164C95">
        <w:t>Finally, though</w:t>
      </w:r>
      <w:r w:rsidR="00E908DE">
        <w:t xml:space="preserve"> the</w:t>
      </w:r>
      <w:r w:rsidR="00164C95">
        <w:t xml:space="preserve"> need for research </w:t>
      </w:r>
      <w:r>
        <w:t>is evident</w:t>
      </w:r>
      <w:r w:rsidR="00164C95">
        <w:t>, a search</w:t>
      </w:r>
      <w:r w:rsidR="00E908DE">
        <w:t xml:space="preserve"> for articles with advocacy as the primary subject</w:t>
      </w:r>
      <w:r w:rsidR="00164C95">
        <w:t xml:space="preserve"> in the Journal of Agricultural Educa</w:t>
      </w:r>
      <w:r w:rsidR="00557260">
        <w:t>tion</w:t>
      </w:r>
      <w:r w:rsidR="000314C5">
        <w:t xml:space="preserve"> </w:t>
      </w:r>
      <w:r w:rsidR="00557260">
        <w:t xml:space="preserve">and other </w:t>
      </w:r>
      <w:r w:rsidR="00537DEC">
        <w:t>a</w:t>
      </w:r>
      <w:r w:rsidR="00AC664C">
        <w:t>gricultural discipline journals</w:t>
      </w:r>
      <w:r w:rsidR="00E908DE">
        <w:t xml:space="preserve"> </w:t>
      </w:r>
      <w:r w:rsidR="00164C95">
        <w:t xml:space="preserve">yielded zero results. </w:t>
      </w:r>
      <w:r>
        <w:t xml:space="preserve"> </w:t>
      </w:r>
      <w:r w:rsidR="00E908DE">
        <w:t>The purpose of this study was to explore student perceptions of agricultural advocacy.  T</w:t>
      </w:r>
      <w:r w:rsidR="008C0CB0">
        <w:t xml:space="preserve">he researchers aimed to </w:t>
      </w:r>
      <w:r w:rsidR="001E1CFD">
        <w:t>determine whether or not students pursuing a degree in agriculture held the same attitu</w:t>
      </w:r>
      <w:r w:rsidR="00AC664C">
        <w:t>des toward animal agriculture,</w:t>
      </w:r>
      <w:r w:rsidR="00482F98">
        <w:t xml:space="preserve"> </w:t>
      </w:r>
      <w:r w:rsidR="00880A34">
        <w:t xml:space="preserve">and </w:t>
      </w:r>
      <w:r w:rsidR="008C0CB0">
        <w:t xml:space="preserve">assess student definitions of advocacy, student perceptions of effective advocacy skills, and student opinions </w:t>
      </w:r>
      <w:r w:rsidR="00482F98">
        <w:t>of</w:t>
      </w:r>
      <w:r w:rsidR="008C0CB0">
        <w:t xml:space="preserve"> the importa</w:t>
      </w:r>
      <w:r w:rsidR="00537DEC">
        <w:t>nce of advocacy in agricultural careers.</w:t>
      </w:r>
      <w:r w:rsidR="00164C95">
        <w:t xml:space="preserve">  </w:t>
      </w:r>
    </w:p>
    <w:p w14:paraId="1B5D4643" w14:textId="77777777" w:rsidR="00AC2CB9" w:rsidRPr="00AD6080" w:rsidRDefault="00AC2CB9" w:rsidP="00AC2CB9"/>
    <w:p w14:paraId="55D0E16D" w14:textId="5FC811ED" w:rsidR="009A673C" w:rsidRDefault="00BC5FAD" w:rsidP="00D60121">
      <w:pPr>
        <w:autoSpaceDE w:val="0"/>
        <w:autoSpaceDN w:val="0"/>
        <w:adjustRightInd w:val="0"/>
        <w:jc w:val="center"/>
      </w:pPr>
      <w:r>
        <w:rPr>
          <w:b/>
        </w:rPr>
        <w:t>Theoretical</w:t>
      </w:r>
      <w:r w:rsidR="00AD6080" w:rsidRPr="00AD6080">
        <w:rPr>
          <w:b/>
        </w:rPr>
        <w:t xml:space="preserve"> Framework</w:t>
      </w:r>
    </w:p>
    <w:p w14:paraId="424A99C7" w14:textId="1CD63FF4" w:rsidR="00376C81" w:rsidRPr="00CB3AA2" w:rsidRDefault="00BC5FAD" w:rsidP="00AD6080">
      <w:r w:rsidRPr="00CB3AA2">
        <w:t xml:space="preserve">This study was grounded in </w:t>
      </w:r>
      <w:proofErr w:type="spellStart"/>
      <w:r w:rsidRPr="00CB3AA2">
        <w:t>Festinger’s</w:t>
      </w:r>
      <w:proofErr w:type="spellEnd"/>
      <w:r w:rsidRPr="00CB3AA2">
        <w:t xml:space="preserve"> (1957) cognitive dissonance theory.  According to </w:t>
      </w:r>
      <w:proofErr w:type="spellStart"/>
      <w:r w:rsidRPr="00CB3AA2">
        <w:t>Festinger</w:t>
      </w:r>
      <w:proofErr w:type="spellEnd"/>
      <w:r w:rsidRPr="00CB3AA2">
        <w:t xml:space="preserve"> (1957), people desire consistency among individual concepts including attitudes, behaviors, beliefs, values, and opinions. Cognitive dissonance theory suggests that dissonance occurs when information is presented that contradicts with one’s held concepts</w:t>
      </w:r>
      <w:r w:rsidR="006967EE">
        <w:t>, thus motivating an individual</w:t>
      </w:r>
      <w:r w:rsidRPr="00CB3AA2">
        <w:t xml:space="preserve"> to action. </w:t>
      </w:r>
      <w:r w:rsidR="00880A34">
        <w:t xml:space="preserve"> A</w:t>
      </w:r>
      <w:r w:rsidRPr="00CB3AA2">
        <w:t xml:space="preserve">ction can take the form </w:t>
      </w:r>
      <w:r w:rsidR="00880A34">
        <w:t>of additional inquiry, or</w:t>
      </w:r>
      <w:r w:rsidRPr="00CB3AA2">
        <w:t xml:space="preserve"> can cause </w:t>
      </w:r>
      <w:proofErr w:type="gramStart"/>
      <w:r w:rsidR="00880A34">
        <w:t xml:space="preserve">individuals </w:t>
      </w:r>
      <w:r w:rsidRPr="00CB3AA2">
        <w:t xml:space="preserve"> to</w:t>
      </w:r>
      <w:proofErr w:type="gramEnd"/>
      <w:r w:rsidRPr="00CB3AA2">
        <w:t xml:space="preserve"> formulate an appropriate response to justify their existing worldview.  </w:t>
      </w:r>
      <w:r w:rsidR="00295D0B">
        <w:t xml:space="preserve">Thus, </w:t>
      </w:r>
      <w:r w:rsidR="000A7E55">
        <w:t xml:space="preserve">bias, opposition, and analyses in </w:t>
      </w:r>
      <w:r w:rsidR="00295D0B">
        <w:t>c</w:t>
      </w:r>
      <w:r w:rsidRPr="00CB3AA2">
        <w:t>ognitive dissonance presents an opportunity for learning (</w:t>
      </w:r>
      <w:proofErr w:type="spellStart"/>
      <w:r w:rsidRPr="00CB3AA2">
        <w:t>Gorski</w:t>
      </w:r>
      <w:proofErr w:type="spellEnd"/>
      <w:r w:rsidRPr="00CB3AA2">
        <w:t>, 2009).</w:t>
      </w:r>
      <w:r w:rsidR="00630DB4">
        <w:t xml:space="preserve">  In this study, cognitive dissonance was introduced to</w:t>
      </w:r>
      <w:r w:rsidR="00880A34">
        <w:t xml:space="preserve"> provoke student</w:t>
      </w:r>
      <w:r w:rsidR="00607AC8">
        <w:t xml:space="preserve"> to reflect</w:t>
      </w:r>
      <w:r w:rsidR="00880A34">
        <w:t>ion</w:t>
      </w:r>
      <w:r w:rsidR="00630DB4">
        <w:t xml:space="preserve"> on advocacy.</w:t>
      </w:r>
      <w:r w:rsidR="00CB3AA2" w:rsidRPr="00CB3AA2">
        <w:t xml:space="preserve"> </w:t>
      </w:r>
    </w:p>
    <w:p w14:paraId="117ECF33" w14:textId="77777777" w:rsidR="001A4F7F" w:rsidRDefault="001A4F7F" w:rsidP="00D60121">
      <w:pPr>
        <w:autoSpaceDE w:val="0"/>
        <w:autoSpaceDN w:val="0"/>
        <w:adjustRightInd w:val="0"/>
        <w:jc w:val="center"/>
        <w:rPr>
          <w:b/>
        </w:rPr>
      </w:pPr>
    </w:p>
    <w:p w14:paraId="42FA4AA6" w14:textId="77777777" w:rsidR="009A673C" w:rsidRDefault="00AD6080" w:rsidP="00D60121">
      <w:pPr>
        <w:autoSpaceDE w:val="0"/>
        <w:autoSpaceDN w:val="0"/>
        <w:adjustRightInd w:val="0"/>
        <w:jc w:val="center"/>
        <w:rPr>
          <w:b/>
        </w:rPr>
      </w:pPr>
      <w:r w:rsidRPr="0017412B">
        <w:rPr>
          <w:b/>
        </w:rPr>
        <w:t>Methodology</w:t>
      </w:r>
    </w:p>
    <w:p w14:paraId="56FA28CB" w14:textId="3E2A2790" w:rsidR="00F6465B" w:rsidRDefault="00305F78" w:rsidP="00630DB4">
      <w:pPr>
        <w:autoSpaceDE w:val="0"/>
        <w:autoSpaceDN w:val="0"/>
        <w:adjustRightInd w:val="0"/>
      </w:pPr>
      <w:r>
        <w:t>P</w:t>
      </w:r>
      <w:r w:rsidR="00F6465B">
        <w:t>articipants w</w:t>
      </w:r>
      <w:r w:rsidR="001A4F7F">
        <w:t>ere undergraduate students (</w:t>
      </w:r>
      <w:r w:rsidR="007F1EB9">
        <w:rPr>
          <w:i/>
        </w:rPr>
        <w:t>n</w:t>
      </w:r>
      <w:r w:rsidR="005D1816">
        <w:rPr>
          <w:i/>
        </w:rPr>
        <w:t xml:space="preserve"> </w:t>
      </w:r>
      <w:r w:rsidR="001A4F7F">
        <w:t>=</w:t>
      </w:r>
      <w:r w:rsidR="005D1816">
        <w:t xml:space="preserve"> </w:t>
      </w:r>
      <w:r w:rsidR="00A145FD">
        <w:t>15</w:t>
      </w:r>
      <w:r w:rsidR="00F6465B">
        <w:t>) enrolled in an oral communications c</w:t>
      </w:r>
      <w:r w:rsidR="001A4F7F">
        <w:t xml:space="preserve">ourse </w:t>
      </w:r>
      <w:r w:rsidR="00F6465B">
        <w:t>for agriculture majors.  The mixed methods approach</w:t>
      </w:r>
      <w:r w:rsidR="00D80F1F">
        <w:t xml:space="preserve"> was a sequential exploratory study with a quantitative</w:t>
      </w:r>
      <w:r w:rsidR="00D80F1F">
        <w:sym w:font="Wingdings" w:char="F0E0"/>
      </w:r>
      <w:r w:rsidR="00D80F1F">
        <w:t>qualitative two-strand design of inquiry (</w:t>
      </w:r>
      <w:proofErr w:type="spellStart"/>
      <w:r w:rsidR="00D80F1F">
        <w:t>Teddlie</w:t>
      </w:r>
      <w:proofErr w:type="spellEnd"/>
      <w:r w:rsidR="00D80F1F">
        <w:t xml:space="preserve"> &amp; </w:t>
      </w:r>
      <w:proofErr w:type="spellStart"/>
      <w:r w:rsidR="00D80F1F">
        <w:t>Tashakkori</w:t>
      </w:r>
      <w:proofErr w:type="spellEnd"/>
      <w:r w:rsidR="00D80F1F">
        <w:t xml:space="preserve">, 2009).  </w:t>
      </w:r>
      <w:r w:rsidR="00D80F1F" w:rsidRPr="006465E1">
        <w:t xml:space="preserve">First, the Animal Attitudes Scale (AAS) (Herzog, </w:t>
      </w:r>
      <w:proofErr w:type="spellStart"/>
      <w:r w:rsidR="00D80F1F" w:rsidRPr="006465E1">
        <w:t>Betchart</w:t>
      </w:r>
      <w:proofErr w:type="spellEnd"/>
      <w:r w:rsidR="00D80F1F" w:rsidRPr="006465E1">
        <w:t xml:space="preserve">, &amp; Pittman, 1991) </w:t>
      </w:r>
      <w:r w:rsidR="00D80F1F">
        <w:t>was</w:t>
      </w:r>
      <w:r w:rsidR="001E1CFD">
        <w:t xml:space="preserve"> administered to determine</w:t>
      </w:r>
      <w:r w:rsidR="00D80F1F" w:rsidRPr="006465E1">
        <w:t xml:space="preserve"> attitudes toward animal rights and animal welfare. </w:t>
      </w:r>
      <w:r w:rsidR="006943A1">
        <w:t xml:space="preserve"> </w:t>
      </w:r>
      <w:r w:rsidR="00D80F1F" w:rsidRPr="006465E1">
        <w:t xml:space="preserve">The AAS, assesses individual differences in attitudes toward the treatment of animals through a 20-item </w:t>
      </w:r>
      <w:proofErr w:type="spellStart"/>
      <w:r w:rsidR="00D80F1F" w:rsidRPr="006465E1">
        <w:t>Likert</w:t>
      </w:r>
      <w:proofErr w:type="spellEnd"/>
      <w:r w:rsidR="00D80F1F" w:rsidRPr="006465E1">
        <w:t>-ty</w:t>
      </w:r>
      <w:r w:rsidR="006943A1">
        <w:t xml:space="preserve">pe </w:t>
      </w:r>
      <w:r w:rsidR="006943A1">
        <w:lastRenderedPageBreak/>
        <w:t>instrument</w:t>
      </w:r>
      <w:proofErr w:type="gramStart"/>
      <w:r w:rsidR="00151AE4">
        <w:t>;</w:t>
      </w:r>
      <w:proofErr w:type="gramEnd"/>
      <w:r w:rsidR="00151AE4">
        <w:t xml:space="preserve"> </w:t>
      </w:r>
      <w:proofErr w:type="spellStart"/>
      <w:r w:rsidR="00151AE4" w:rsidRPr="001C0B8B">
        <w:rPr>
          <w:rFonts w:eastAsia="ArialMT"/>
        </w:rPr>
        <w:t>Cron</w:t>
      </w:r>
      <w:r w:rsidR="00E35127">
        <w:rPr>
          <w:rFonts w:eastAsia="ArialMT"/>
        </w:rPr>
        <w:t>bach’s</w:t>
      </w:r>
      <w:proofErr w:type="spellEnd"/>
      <w:r w:rsidR="00E35127">
        <w:rPr>
          <w:rFonts w:eastAsia="ArialMT"/>
        </w:rPr>
        <w:t xml:space="preserve"> alpha =</w:t>
      </w:r>
      <w:r w:rsidR="005D1816">
        <w:rPr>
          <w:rFonts w:eastAsia="ArialMT"/>
        </w:rPr>
        <w:t xml:space="preserve"> </w:t>
      </w:r>
      <w:r w:rsidR="00E35127">
        <w:rPr>
          <w:rFonts w:eastAsia="ArialMT"/>
        </w:rPr>
        <w:t>0.93</w:t>
      </w:r>
      <w:r w:rsidR="006943A1">
        <w:t>.  Student scores we</w:t>
      </w:r>
      <w:r w:rsidR="00D80F1F" w:rsidRPr="006465E1">
        <w:t xml:space="preserve">re assessed on the </w:t>
      </w:r>
      <w:r w:rsidR="006943A1">
        <w:t>AAS to determine whether they he</w:t>
      </w:r>
      <w:r w:rsidR="00D80F1F" w:rsidRPr="006465E1">
        <w:t xml:space="preserve">ld attitudes consistent with animal rights or animal welfare.  Based on the results, students </w:t>
      </w:r>
      <w:r w:rsidR="00D80F1F">
        <w:t>were</w:t>
      </w:r>
      <w:r w:rsidR="00D80F1F" w:rsidRPr="006465E1">
        <w:t xml:space="preserve"> then assigned to one of two groups </w:t>
      </w:r>
      <w:r w:rsidR="006943A1">
        <w:t xml:space="preserve">- </w:t>
      </w:r>
      <w:r w:rsidR="00D80F1F" w:rsidRPr="006465E1">
        <w:t>animal rights</w:t>
      </w:r>
      <w:r w:rsidR="006943A1">
        <w:t xml:space="preserve"> (</w:t>
      </w:r>
      <w:r w:rsidR="007F1EB9">
        <w:rPr>
          <w:i/>
        </w:rPr>
        <w:t>n</w:t>
      </w:r>
      <w:r w:rsidR="005D1816">
        <w:rPr>
          <w:i/>
        </w:rPr>
        <w:t xml:space="preserve"> </w:t>
      </w:r>
      <w:r w:rsidR="006943A1">
        <w:t>=</w:t>
      </w:r>
      <w:r w:rsidR="005D1816">
        <w:t xml:space="preserve"> </w:t>
      </w:r>
      <w:r w:rsidR="006943A1">
        <w:t>8)</w:t>
      </w:r>
      <w:r w:rsidR="00D80F1F" w:rsidRPr="006465E1">
        <w:t xml:space="preserve"> or animal welfare</w:t>
      </w:r>
      <w:r w:rsidR="006943A1">
        <w:t xml:space="preserve"> (</w:t>
      </w:r>
      <w:r w:rsidR="007F1EB9">
        <w:rPr>
          <w:i/>
        </w:rPr>
        <w:t>n</w:t>
      </w:r>
      <w:r w:rsidR="005D1816">
        <w:rPr>
          <w:i/>
        </w:rPr>
        <w:t xml:space="preserve"> </w:t>
      </w:r>
      <w:r w:rsidR="006943A1">
        <w:t>=</w:t>
      </w:r>
      <w:r w:rsidR="005D1816">
        <w:t xml:space="preserve"> </w:t>
      </w:r>
      <w:r w:rsidR="006943A1">
        <w:t>7</w:t>
      </w:r>
      <w:r w:rsidR="00D80F1F" w:rsidRPr="006465E1">
        <w:t>) for the purpose of viewing a short video that advocate</w:t>
      </w:r>
      <w:r w:rsidR="00D80F1F">
        <w:t>d</w:t>
      </w:r>
      <w:r w:rsidR="00D80F1F" w:rsidRPr="006465E1">
        <w:t xml:space="preserve"> for issues opposite the viewpoin</w:t>
      </w:r>
      <w:r w:rsidR="00612266">
        <w:t>t of the student.  For example,</w:t>
      </w:r>
      <w:r w:rsidR="00992E22">
        <w:t xml:space="preserve"> </w:t>
      </w:r>
      <w:r w:rsidR="00D80F1F" w:rsidRPr="006465E1">
        <w:t>students whose scores on the AAS indicate</w:t>
      </w:r>
      <w:r w:rsidR="006943A1">
        <w:t>d</w:t>
      </w:r>
      <w:r w:rsidR="00D80F1F" w:rsidRPr="006465E1">
        <w:t xml:space="preserve"> attitudes in line with animal rights watch</w:t>
      </w:r>
      <w:r w:rsidR="00F6465B">
        <w:t>ed</w:t>
      </w:r>
      <w:r w:rsidR="00D80F1F" w:rsidRPr="006465E1">
        <w:t xml:space="preserve"> a video </w:t>
      </w:r>
      <w:r w:rsidR="00F6465B">
        <w:t>advocating</w:t>
      </w:r>
      <w:r w:rsidR="00D80F1F" w:rsidRPr="006465E1">
        <w:t xml:space="preserve"> </w:t>
      </w:r>
      <w:r w:rsidR="00AC664C">
        <w:t xml:space="preserve">for </w:t>
      </w:r>
      <w:r w:rsidR="00D80F1F" w:rsidRPr="006465E1">
        <w:t>animal welfare</w:t>
      </w:r>
      <w:r w:rsidR="00612266">
        <w:t xml:space="preserve"> </w:t>
      </w:r>
      <w:r w:rsidR="00D80F1F" w:rsidRPr="006465E1">
        <w:t xml:space="preserve">through persuasive methods. </w:t>
      </w:r>
      <w:r w:rsidR="005D1816">
        <w:t>S</w:t>
      </w:r>
      <w:r w:rsidR="00D80F1F" w:rsidRPr="006465E1">
        <w:t>tudents in the animal welfare group watch</w:t>
      </w:r>
      <w:r w:rsidR="006943A1">
        <w:t>ed</w:t>
      </w:r>
      <w:r w:rsidR="00992E22">
        <w:t xml:space="preserve"> a video</w:t>
      </w:r>
      <w:r w:rsidR="00033B2B">
        <w:t xml:space="preserve"> </w:t>
      </w:r>
      <w:r w:rsidR="00D80F1F" w:rsidRPr="006465E1">
        <w:t xml:space="preserve">advocating for animal rights in the same manner. </w:t>
      </w:r>
      <w:r w:rsidR="00F6465B">
        <w:t xml:space="preserve"> </w:t>
      </w:r>
      <w:r w:rsidR="00D80F1F" w:rsidRPr="006465E1">
        <w:t xml:space="preserve">After watching the video, students </w:t>
      </w:r>
      <w:r w:rsidR="00F6465B">
        <w:t xml:space="preserve">provided written responses to 11 open ended questions </w:t>
      </w:r>
      <w:r w:rsidR="00880A34">
        <w:t>r</w:t>
      </w:r>
      <w:r w:rsidR="005D1816">
        <w:t>egarding agricultural advocacy.</w:t>
      </w:r>
      <w:r w:rsidR="00880A34">
        <w:t xml:space="preserve"> </w:t>
      </w:r>
      <w:r w:rsidR="00F6465B">
        <w:t xml:space="preserve"> </w:t>
      </w:r>
      <w:r w:rsidR="00880A34">
        <w:t xml:space="preserve">According to </w:t>
      </w:r>
      <w:proofErr w:type="spellStart"/>
      <w:r w:rsidR="00880A34">
        <w:t>Bogdan</w:t>
      </w:r>
      <w:proofErr w:type="spellEnd"/>
      <w:r w:rsidR="00880A34">
        <w:t xml:space="preserve"> </w:t>
      </w:r>
      <w:r w:rsidR="005D1816">
        <w:t>and</w:t>
      </w:r>
      <w:r w:rsidR="00880A34">
        <w:t xml:space="preserve"> </w:t>
      </w:r>
      <w:proofErr w:type="spellStart"/>
      <w:r w:rsidR="00880A34">
        <w:t>Biklen</w:t>
      </w:r>
      <w:proofErr w:type="spellEnd"/>
      <w:r w:rsidR="00880A34">
        <w:t xml:space="preserve"> (2003),</w:t>
      </w:r>
      <w:r w:rsidR="00F6465B">
        <w:t xml:space="preserve"> participants may express opinions more freely with open-ended questions than int</w:t>
      </w:r>
      <w:r w:rsidR="00B57557">
        <w:t>erviews</w:t>
      </w:r>
      <w:r w:rsidR="007F1EB9">
        <w:t>, deeming</w:t>
      </w:r>
      <w:r w:rsidR="00880A34">
        <w:t xml:space="preserve"> thi</w:t>
      </w:r>
      <w:r w:rsidR="007F1EB9">
        <w:t>s method of data collection fitting</w:t>
      </w:r>
      <w:r w:rsidR="00880A34">
        <w:t xml:space="preserve">.  </w:t>
      </w:r>
      <w:r w:rsidR="006943A1">
        <w:t xml:space="preserve">Qualitative data were analyzed using </w:t>
      </w:r>
      <w:r w:rsidR="009B57EE">
        <w:t>constant comparative analysis</w:t>
      </w:r>
      <w:r w:rsidR="00AF2CF4">
        <w:t>,</w:t>
      </w:r>
      <w:r w:rsidR="009B57EE">
        <w:t xml:space="preserve"> </w:t>
      </w:r>
      <w:r w:rsidR="00AF2CF4">
        <w:t>while</w:t>
      </w:r>
      <w:r w:rsidR="009B57EE">
        <w:t xml:space="preserve"> inter-rater reliability was established because the researchers coded responses separately, thus increasing confidence in the </w:t>
      </w:r>
      <w:r w:rsidR="00A145FD">
        <w:t xml:space="preserve">emergent </w:t>
      </w:r>
      <w:r w:rsidR="009B57EE">
        <w:t xml:space="preserve">themes (Bernard </w:t>
      </w:r>
      <w:r w:rsidR="005D1816">
        <w:t>&amp;</w:t>
      </w:r>
      <w:r w:rsidR="009B57EE">
        <w:t xml:space="preserve"> Ryan, 2010).  </w:t>
      </w:r>
    </w:p>
    <w:p w14:paraId="5DC61396" w14:textId="77777777" w:rsidR="006943A1" w:rsidRDefault="006943A1" w:rsidP="00E21C7F"/>
    <w:p w14:paraId="25B452AF" w14:textId="615243D6" w:rsidR="00AD6080" w:rsidRDefault="00AD6080" w:rsidP="00AD6080">
      <w:pPr>
        <w:autoSpaceDE w:val="0"/>
        <w:autoSpaceDN w:val="0"/>
        <w:adjustRightInd w:val="0"/>
        <w:jc w:val="center"/>
        <w:rPr>
          <w:b/>
        </w:rPr>
      </w:pPr>
      <w:r w:rsidRPr="00AD6080">
        <w:rPr>
          <w:b/>
        </w:rPr>
        <w:t>Results</w:t>
      </w:r>
      <w:r w:rsidR="00033B2B">
        <w:rPr>
          <w:b/>
        </w:rPr>
        <w:t>/</w:t>
      </w:r>
      <w:r w:rsidR="00AC2CB9">
        <w:rPr>
          <w:b/>
        </w:rPr>
        <w:t>Findings</w:t>
      </w:r>
    </w:p>
    <w:p w14:paraId="48DCC0E6" w14:textId="24157E91" w:rsidR="009B57EE" w:rsidRDefault="00E35127" w:rsidP="00AD6080">
      <w:pPr>
        <w:rPr>
          <w:rFonts w:eastAsia="ArialMT"/>
        </w:rPr>
      </w:pPr>
      <w:r w:rsidRPr="00E35127">
        <w:rPr>
          <w:rFonts w:eastAsia="Times New Roman"/>
        </w:rPr>
        <w:t>Using the results from the AAS, an independent-samples t-test was conducted to compare attitude</w:t>
      </w:r>
      <w:r w:rsidR="00612266">
        <w:rPr>
          <w:rFonts w:eastAsia="Times New Roman"/>
        </w:rPr>
        <w:t>s</w:t>
      </w:r>
      <w:r w:rsidRPr="00E35127">
        <w:rPr>
          <w:rFonts w:eastAsia="Times New Roman"/>
        </w:rPr>
        <w:t xml:space="preserve"> toward the treatment of animals in those who support animal rights and those who support animal welfare.  There was a significant difference in the scores for the animal rights group (</w:t>
      </w:r>
      <w:r w:rsidRPr="00A44C34">
        <w:rPr>
          <w:rFonts w:eastAsia="Times New Roman"/>
          <w:i/>
        </w:rPr>
        <w:t>M</w:t>
      </w:r>
      <w:r w:rsidR="00BB077C">
        <w:rPr>
          <w:rFonts w:eastAsia="Times New Roman"/>
        </w:rPr>
        <w:t xml:space="preserve"> </w:t>
      </w:r>
      <w:r w:rsidRPr="00E35127">
        <w:rPr>
          <w:rFonts w:eastAsia="Times New Roman"/>
        </w:rPr>
        <w:t xml:space="preserve">= 50.38, </w:t>
      </w:r>
      <w:r w:rsidRPr="00A44C34">
        <w:rPr>
          <w:rFonts w:eastAsia="Times New Roman"/>
          <w:i/>
        </w:rPr>
        <w:t>SD</w:t>
      </w:r>
      <w:r w:rsidR="00BB077C">
        <w:rPr>
          <w:rFonts w:eastAsia="Times New Roman"/>
        </w:rPr>
        <w:t xml:space="preserve"> </w:t>
      </w:r>
      <w:r w:rsidRPr="00E35127">
        <w:rPr>
          <w:rFonts w:eastAsia="Times New Roman"/>
        </w:rPr>
        <w:t>=</w:t>
      </w:r>
      <w:r w:rsidR="00BB077C">
        <w:rPr>
          <w:rFonts w:eastAsia="Times New Roman"/>
        </w:rPr>
        <w:t xml:space="preserve"> </w:t>
      </w:r>
      <w:r w:rsidRPr="00E35127">
        <w:rPr>
          <w:rFonts w:eastAsia="Times New Roman"/>
        </w:rPr>
        <w:t>8.62) and the animal welfare group (</w:t>
      </w:r>
      <w:r w:rsidRPr="00A44C34">
        <w:rPr>
          <w:rFonts w:eastAsia="Times New Roman"/>
          <w:i/>
        </w:rPr>
        <w:t>M</w:t>
      </w:r>
      <w:r w:rsidR="00BB077C">
        <w:rPr>
          <w:rFonts w:eastAsia="Times New Roman"/>
        </w:rPr>
        <w:t xml:space="preserve"> </w:t>
      </w:r>
      <w:r w:rsidRPr="00E35127">
        <w:rPr>
          <w:rFonts w:eastAsia="Times New Roman"/>
        </w:rPr>
        <w:t>=</w:t>
      </w:r>
      <w:r w:rsidR="00BB077C">
        <w:rPr>
          <w:rFonts w:eastAsia="Times New Roman"/>
        </w:rPr>
        <w:t xml:space="preserve"> </w:t>
      </w:r>
      <w:r w:rsidRPr="00E35127">
        <w:rPr>
          <w:rFonts w:eastAsia="Times New Roman"/>
        </w:rPr>
        <w:t xml:space="preserve">73.43, </w:t>
      </w:r>
      <w:r w:rsidRPr="00A44C34">
        <w:rPr>
          <w:rFonts w:eastAsia="Times New Roman"/>
          <w:i/>
        </w:rPr>
        <w:t>SD</w:t>
      </w:r>
      <w:r w:rsidR="00BB077C">
        <w:rPr>
          <w:rFonts w:eastAsia="Times New Roman"/>
        </w:rPr>
        <w:t xml:space="preserve"> </w:t>
      </w:r>
      <w:r w:rsidRPr="00E35127">
        <w:rPr>
          <w:rFonts w:eastAsia="Times New Roman"/>
        </w:rPr>
        <w:t>=</w:t>
      </w:r>
      <w:r w:rsidR="00BB077C">
        <w:rPr>
          <w:rFonts w:eastAsia="Times New Roman"/>
        </w:rPr>
        <w:t xml:space="preserve"> </w:t>
      </w:r>
      <w:r w:rsidRPr="00E35127">
        <w:rPr>
          <w:rFonts w:eastAsia="Times New Roman"/>
        </w:rPr>
        <w:t xml:space="preserve">8.30); </w:t>
      </w:r>
      <w:proofErr w:type="gramStart"/>
      <w:r w:rsidRPr="00BB077C">
        <w:rPr>
          <w:rFonts w:eastAsia="Times New Roman"/>
          <w:i/>
        </w:rPr>
        <w:t>t</w:t>
      </w:r>
      <w:r w:rsidRPr="00E35127">
        <w:rPr>
          <w:rFonts w:eastAsia="Times New Roman"/>
        </w:rPr>
        <w:t>(</w:t>
      </w:r>
      <w:proofErr w:type="gramEnd"/>
      <w:r w:rsidRPr="00E35127">
        <w:rPr>
          <w:rFonts w:eastAsia="Times New Roman"/>
        </w:rPr>
        <w:t>13)</w:t>
      </w:r>
      <w:r w:rsidR="00BB077C">
        <w:rPr>
          <w:rFonts w:eastAsia="Times New Roman"/>
        </w:rPr>
        <w:t xml:space="preserve"> </w:t>
      </w:r>
      <w:r w:rsidRPr="00E35127">
        <w:rPr>
          <w:rFonts w:eastAsia="Times New Roman"/>
        </w:rPr>
        <w:t xml:space="preserve">= 5.26, </w:t>
      </w:r>
      <w:r w:rsidRPr="007F1EB9">
        <w:rPr>
          <w:rFonts w:eastAsia="Times New Roman"/>
          <w:i/>
        </w:rPr>
        <w:t>p</w:t>
      </w:r>
      <w:r w:rsidRPr="00E35127">
        <w:rPr>
          <w:rFonts w:eastAsia="Times New Roman"/>
        </w:rPr>
        <w:t xml:space="preserve"> = 0.0002.</w:t>
      </w:r>
      <w:r>
        <w:rPr>
          <w:rFonts w:eastAsia="ArialMT"/>
        </w:rPr>
        <w:t xml:space="preserve">  </w:t>
      </w:r>
      <w:r w:rsidR="00BB077C">
        <w:rPr>
          <w:rFonts w:eastAsia="ArialMT"/>
        </w:rPr>
        <w:t xml:space="preserve">Based on the </w:t>
      </w:r>
      <w:r w:rsidR="009258B7">
        <w:rPr>
          <w:rFonts w:eastAsia="ArialMT"/>
        </w:rPr>
        <w:t>qua</w:t>
      </w:r>
      <w:r w:rsidR="00880A34">
        <w:rPr>
          <w:rFonts w:eastAsia="ArialMT"/>
        </w:rPr>
        <w:t>litative</w:t>
      </w:r>
      <w:r w:rsidR="009258B7">
        <w:rPr>
          <w:rFonts w:eastAsia="ArialMT"/>
        </w:rPr>
        <w:t xml:space="preserve"> </w:t>
      </w:r>
      <w:r w:rsidR="00BB077C">
        <w:rPr>
          <w:rFonts w:eastAsia="ArialMT"/>
        </w:rPr>
        <w:t>data</w:t>
      </w:r>
      <w:r w:rsidR="009258B7">
        <w:rPr>
          <w:rFonts w:eastAsia="ArialMT"/>
        </w:rPr>
        <w:t xml:space="preserve"> </w:t>
      </w:r>
      <w:r w:rsidR="00BB077C">
        <w:rPr>
          <w:rFonts w:eastAsia="ArialMT"/>
        </w:rPr>
        <w:t xml:space="preserve">analysis </w:t>
      </w:r>
      <w:r w:rsidR="009258B7">
        <w:rPr>
          <w:rFonts w:eastAsia="ArialMT"/>
        </w:rPr>
        <w:t xml:space="preserve">regarding student perceptions of agricultural advocacy, </w:t>
      </w:r>
      <w:r w:rsidR="00334522">
        <w:rPr>
          <w:rFonts w:eastAsia="ArialMT"/>
        </w:rPr>
        <w:t>two</w:t>
      </w:r>
      <w:r w:rsidR="009258B7">
        <w:rPr>
          <w:rFonts w:eastAsia="ArialMT"/>
        </w:rPr>
        <w:t xml:space="preserve"> primary themes emerged: </w:t>
      </w:r>
      <w:r w:rsidR="00880A34">
        <w:rPr>
          <w:rFonts w:eastAsia="ArialMT"/>
        </w:rPr>
        <w:t xml:space="preserve">(1) </w:t>
      </w:r>
      <w:r w:rsidR="00334522" w:rsidRPr="00880A34">
        <w:rPr>
          <w:rFonts w:eastAsia="ArialMT"/>
        </w:rPr>
        <w:t>Awareness of advocacy</w:t>
      </w:r>
      <w:r w:rsidR="00880A34">
        <w:rPr>
          <w:rFonts w:eastAsia="ArialMT"/>
        </w:rPr>
        <w:t xml:space="preserve"> - </w:t>
      </w:r>
      <w:r w:rsidR="00334522">
        <w:rPr>
          <w:rFonts w:eastAsia="ArialMT"/>
        </w:rPr>
        <w:t xml:space="preserve">(a) definitions of advocacy, (b) limited knowledge/preparation in coursework, (c) need for combining persuasive techniques; and </w:t>
      </w:r>
      <w:r w:rsidR="00880A34">
        <w:rPr>
          <w:rFonts w:eastAsia="ArialMT"/>
        </w:rPr>
        <w:t xml:space="preserve">(2) </w:t>
      </w:r>
      <w:r w:rsidR="00334522" w:rsidRPr="00880A34">
        <w:rPr>
          <w:rFonts w:eastAsia="ArialMT"/>
        </w:rPr>
        <w:t>Value of advocacy</w:t>
      </w:r>
      <w:r w:rsidR="00880A34">
        <w:rPr>
          <w:rFonts w:eastAsia="ArialMT"/>
        </w:rPr>
        <w:t xml:space="preserve"> -</w:t>
      </w:r>
      <w:r w:rsidR="00334522">
        <w:rPr>
          <w:rFonts w:eastAsia="ArialMT"/>
        </w:rPr>
        <w:t xml:space="preserve"> (a) </w:t>
      </w:r>
      <w:r w:rsidR="009258B7">
        <w:rPr>
          <w:rFonts w:eastAsia="ArialMT"/>
        </w:rPr>
        <w:t xml:space="preserve">strengthened </w:t>
      </w:r>
      <w:r w:rsidR="006146DD">
        <w:rPr>
          <w:rFonts w:eastAsia="ArialMT"/>
        </w:rPr>
        <w:t xml:space="preserve">argument, </w:t>
      </w:r>
      <w:r w:rsidR="009258B7">
        <w:rPr>
          <w:rFonts w:eastAsia="ArialMT"/>
        </w:rPr>
        <w:t>cri</w:t>
      </w:r>
      <w:r w:rsidR="00334522">
        <w:rPr>
          <w:rFonts w:eastAsia="ArialMT"/>
        </w:rPr>
        <w:t>tical thinking</w:t>
      </w:r>
      <w:r w:rsidR="006146DD">
        <w:rPr>
          <w:rFonts w:eastAsia="ArialMT"/>
        </w:rPr>
        <w:t xml:space="preserve"> and </w:t>
      </w:r>
      <w:r w:rsidR="00A51F83">
        <w:rPr>
          <w:rFonts w:eastAsia="ArialMT"/>
        </w:rPr>
        <w:t>literacy</w:t>
      </w:r>
      <w:r w:rsidR="006146DD">
        <w:rPr>
          <w:rFonts w:eastAsia="ArialMT"/>
        </w:rPr>
        <w:t xml:space="preserve"> skills</w:t>
      </w:r>
      <w:r w:rsidR="00880A34">
        <w:rPr>
          <w:rFonts w:eastAsia="ArialMT"/>
        </w:rPr>
        <w:t xml:space="preserve"> and (b)</w:t>
      </w:r>
      <w:r w:rsidR="009258B7">
        <w:rPr>
          <w:rFonts w:eastAsia="ArialMT"/>
        </w:rPr>
        <w:t xml:space="preserve"> importance of advocacy skills in professional futures.</w:t>
      </w:r>
      <w:r w:rsidR="006D673C">
        <w:rPr>
          <w:rFonts w:eastAsia="ArialMT"/>
        </w:rPr>
        <w:t xml:space="preserve"> </w:t>
      </w:r>
    </w:p>
    <w:p w14:paraId="2E2FA3B4" w14:textId="77777777" w:rsidR="006D673C" w:rsidRDefault="006D673C" w:rsidP="00AD6080">
      <w:pPr>
        <w:rPr>
          <w:rFonts w:eastAsia="ArialMT"/>
        </w:rPr>
      </w:pPr>
    </w:p>
    <w:p w14:paraId="7584493E" w14:textId="77777777" w:rsidR="00AD6080" w:rsidRPr="00AD6080" w:rsidRDefault="00AD6080" w:rsidP="00AD6080">
      <w:pPr>
        <w:jc w:val="center"/>
        <w:rPr>
          <w:rFonts w:eastAsia="ArialMT"/>
          <w:b/>
        </w:rPr>
      </w:pPr>
      <w:r w:rsidRPr="00AD6080">
        <w:rPr>
          <w:b/>
        </w:rPr>
        <w:t>Conclusions</w:t>
      </w:r>
    </w:p>
    <w:p w14:paraId="140704F8" w14:textId="056761A3" w:rsidR="00992E22" w:rsidRPr="00992E22" w:rsidRDefault="00BB0E3E" w:rsidP="00992E22">
      <w:pPr>
        <w:rPr>
          <w:rFonts w:eastAsia="ArialMT"/>
        </w:rPr>
      </w:pPr>
      <w:r>
        <w:rPr>
          <w:rFonts w:eastAsia="ArialMT"/>
        </w:rPr>
        <w:t xml:space="preserve">By introducing cognitive dissonance through advocacy materials from differing viewpoints, students </w:t>
      </w:r>
      <w:r w:rsidR="00CC25C0">
        <w:rPr>
          <w:rFonts w:eastAsia="ArialMT"/>
        </w:rPr>
        <w:t xml:space="preserve">were </w:t>
      </w:r>
      <w:r>
        <w:t>empowered to ex</w:t>
      </w:r>
      <w:r w:rsidR="00E908DE">
        <w:t>perience advocacy in action and</w:t>
      </w:r>
      <w:r w:rsidR="00CE1C1E">
        <w:t xml:space="preserve"> </w:t>
      </w:r>
      <w:r>
        <w:t>reflect on effective advocacy skills</w:t>
      </w:r>
      <w:r>
        <w:rPr>
          <w:rFonts w:eastAsia="ArialMT"/>
        </w:rPr>
        <w:t xml:space="preserve">. </w:t>
      </w:r>
      <w:r w:rsidRPr="00D03381">
        <w:t xml:space="preserve"> </w:t>
      </w:r>
      <w:r w:rsidR="00992E22" w:rsidRPr="00992E22">
        <w:rPr>
          <w:rFonts w:eastAsia="ArialMT"/>
        </w:rPr>
        <w:t>Results indicate</w:t>
      </w:r>
      <w:r w:rsidR="00880A34">
        <w:rPr>
          <w:rFonts w:eastAsia="ArialMT"/>
        </w:rPr>
        <w:t>d</w:t>
      </w:r>
      <w:r w:rsidR="00992E22" w:rsidRPr="00992E22">
        <w:rPr>
          <w:rFonts w:eastAsia="ArialMT"/>
        </w:rPr>
        <w:t xml:space="preserve"> differences regarding student attitudes towards animal practices; not all undergraduate </w:t>
      </w:r>
      <w:r w:rsidR="00E908DE">
        <w:rPr>
          <w:rFonts w:eastAsia="ArialMT"/>
        </w:rPr>
        <w:t xml:space="preserve">agriculture </w:t>
      </w:r>
      <w:r w:rsidR="00992E22" w:rsidRPr="00992E22">
        <w:rPr>
          <w:rFonts w:eastAsia="ArialMT"/>
        </w:rPr>
        <w:t xml:space="preserve">students </w:t>
      </w:r>
      <w:r w:rsidR="00CC25C0">
        <w:rPr>
          <w:rFonts w:eastAsia="ArialMT"/>
        </w:rPr>
        <w:t xml:space="preserve">have similar </w:t>
      </w:r>
      <w:r w:rsidR="00992E22" w:rsidRPr="00992E22">
        <w:rPr>
          <w:rFonts w:eastAsia="ArialMT"/>
        </w:rPr>
        <w:t xml:space="preserve">attitudes about animal agriculture. Variance regarding student definitions of advocacy suggests that instruction of advocacy at the undergraduate level is limited and underlines misunderstandings about proper components, influence, and use of advocacy in agriculture. Participants suggest the need to combine emotion, personal stories, as well as images as effective advocacy techniques for this age group. Finally, students agree that advocacy skills in the agriculture industry will be necessary as a future agricultural professional; however, students do not feel prepared to </w:t>
      </w:r>
      <w:r>
        <w:rPr>
          <w:rFonts w:eastAsia="ArialMT"/>
        </w:rPr>
        <w:t>advocate effectively.</w:t>
      </w:r>
    </w:p>
    <w:p w14:paraId="3DEABA87" w14:textId="77777777" w:rsidR="002F54C0" w:rsidRDefault="002F54C0" w:rsidP="00AD6080">
      <w:pPr>
        <w:rPr>
          <w:rFonts w:eastAsia="ArialMT"/>
        </w:rPr>
      </w:pPr>
    </w:p>
    <w:p w14:paraId="016FDA42" w14:textId="1C025F9F" w:rsidR="00AD6080" w:rsidRPr="00565E80" w:rsidRDefault="00AC2CB9" w:rsidP="00F46A53">
      <w:pPr>
        <w:widowControl w:val="0"/>
        <w:autoSpaceDE w:val="0"/>
        <w:autoSpaceDN w:val="0"/>
        <w:adjustRightInd w:val="0"/>
        <w:jc w:val="center"/>
        <w:rPr>
          <w:rFonts w:ascii="Times" w:hAnsi="Times" w:cs="Times"/>
          <w:b/>
          <w:color w:val="auto"/>
        </w:rPr>
      </w:pPr>
      <w:r w:rsidRPr="00AC2CB9">
        <w:rPr>
          <w:rFonts w:ascii="Times" w:hAnsi="Times" w:cs="Calibri"/>
          <w:b/>
          <w:color w:val="auto"/>
        </w:rPr>
        <w:t>Implications/Recommendations/Impact on Profession</w:t>
      </w:r>
    </w:p>
    <w:p w14:paraId="7D1B2726" w14:textId="39A62141" w:rsidR="00295D0B" w:rsidRDefault="00CA096F" w:rsidP="00F46A53">
      <w:pPr>
        <w:rPr>
          <w:rFonts w:eastAsia="ArialMT"/>
        </w:rPr>
      </w:pPr>
      <w:r>
        <w:rPr>
          <w:rFonts w:eastAsia="ArialMT"/>
        </w:rPr>
        <w:t xml:space="preserve">Implications of this study are </w:t>
      </w:r>
      <w:r w:rsidR="00186ACC">
        <w:rPr>
          <w:rFonts w:eastAsia="ArialMT"/>
        </w:rPr>
        <w:t>important to</w:t>
      </w:r>
      <w:r w:rsidR="009B57F1">
        <w:rPr>
          <w:rFonts w:eastAsia="ArialMT"/>
        </w:rPr>
        <w:t xml:space="preserve"> </w:t>
      </w:r>
      <w:r>
        <w:rPr>
          <w:rFonts w:eastAsia="ArialMT"/>
        </w:rPr>
        <w:t xml:space="preserve">agricultural education. </w:t>
      </w:r>
      <w:r w:rsidR="00513894">
        <w:rPr>
          <w:rFonts w:eastAsia="ArialMT"/>
        </w:rPr>
        <w:t>Enhanced curriculum development is necessary to engage students in critical thinking, literacy,</w:t>
      </w:r>
      <w:r w:rsidR="00BE4CD7">
        <w:rPr>
          <w:rFonts w:eastAsia="ArialMT"/>
        </w:rPr>
        <w:t xml:space="preserve"> and advocacy skill development;</w:t>
      </w:r>
      <w:r w:rsidR="00513894">
        <w:rPr>
          <w:rFonts w:eastAsia="ArialMT"/>
        </w:rPr>
        <w:t xml:space="preserve"> </w:t>
      </w:r>
      <w:r w:rsidR="0021753A">
        <w:rPr>
          <w:rFonts w:eastAsia="ArialMT"/>
        </w:rPr>
        <w:t>e</w:t>
      </w:r>
      <w:r w:rsidR="00BE4CD7">
        <w:rPr>
          <w:rFonts w:eastAsia="ArialMT"/>
        </w:rPr>
        <w:t xml:space="preserve">mphasis should be placed on both traditional </w:t>
      </w:r>
      <w:r w:rsidR="00186ACC">
        <w:rPr>
          <w:rFonts w:eastAsia="ArialMT"/>
        </w:rPr>
        <w:t>and</w:t>
      </w:r>
      <w:r w:rsidR="00BE4CD7">
        <w:rPr>
          <w:rFonts w:eastAsia="ArialMT"/>
        </w:rPr>
        <w:t xml:space="preserve"> mo</w:t>
      </w:r>
      <w:r w:rsidR="00186ACC">
        <w:rPr>
          <w:rFonts w:eastAsia="ArialMT"/>
        </w:rPr>
        <w:t>dern technological models of advocacy</w:t>
      </w:r>
      <w:r w:rsidR="0021753A">
        <w:rPr>
          <w:rFonts w:eastAsia="ArialMT"/>
        </w:rPr>
        <w:t xml:space="preserve">.  Further </w:t>
      </w:r>
      <w:r w:rsidR="00D649CE">
        <w:rPr>
          <w:rFonts w:eastAsia="ArialMT"/>
        </w:rPr>
        <w:t xml:space="preserve">investigation </w:t>
      </w:r>
      <w:r w:rsidR="00186ACC">
        <w:rPr>
          <w:rFonts w:eastAsia="ArialMT"/>
        </w:rPr>
        <w:t xml:space="preserve">with a larger audience </w:t>
      </w:r>
      <w:r w:rsidR="00D649CE">
        <w:rPr>
          <w:rFonts w:eastAsia="ArialMT"/>
        </w:rPr>
        <w:t xml:space="preserve">is </w:t>
      </w:r>
      <w:r w:rsidR="00186ACC">
        <w:rPr>
          <w:rFonts w:eastAsia="ArialMT"/>
        </w:rPr>
        <w:t>recommended to expand the findings of the current study</w:t>
      </w:r>
      <w:r w:rsidR="00305F78">
        <w:rPr>
          <w:rFonts w:eastAsia="ArialMT"/>
        </w:rPr>
        <w:t>.</w:t>
      </w:r>
      <w:r>
        <w:rPr>
          <w:rFonts w:eastAsia="ArialMT"/>
        </w:rPr>
        <w:t xml:space="preserve"> </w:t>
      </w:r>
      <w:r w:rsidR="00295D0B" w:rsidRPr="00295D0B">
        <w:rPr>
          <w:rFonts w:eastAsia="ArialMT"/>
        </w:rPr>
        <w:t>As agricultural educators aim to equip students with advocacy skills, care should be taken to n</w:t>
      </w:r>
      <w:r w:rsidR="00B57557">
        <w:rPr>
          <w:rFonts w:eastAsia="ArialMT"/>
        </w:rPr>
        <w:t xml:space="preserve">ot impose certain </w:t>
      </w:r>
      <w:r w:rsidR="00186ACC">
        <w:rPr>
          <w:rFonts w:eastAsia="ArialMT"/>
        </w:rPr>
        <w:t>view</w:t>
      </w:r>
      <w:r w:rsidR="00C423EC">
        <w:rPr>
          <w:rFonts w:eastAsia="ArialMT"/>
        </w:rPr>
        <w:t>s</w:t>
      </w:r>
      <w:r w:rsidR="00186ACC">
        <w:rPr>
          <w:rFonts w:eastAsia="ArialMT"/>
        </w:rPr>
        <w:t>, but</w:t>
      </w:r>
      <w:r w:rsidR="00C423EC">
        <w:rPr>
          <w:rFonts w:eastAsia="ArialMT"/>
        </w:rPr>
        <w:t xml:space="preserve"> </w:t>
      </w:r>
      <w:r w:rsidR="00B57557">
        <w:rPr>
          <w:rFonts w:eastAsia="ArialMT"/>
        </w:rPr>
        <w:t xml:space="preserve">to </w:t>
      </w:r>
      <w:r w:rsidR="00C423EC">
        <w:rPr>
          <w:rFonts w:eastAsia="ArialMT"/>
        </w:rPr>
        <w:t xml:space="preserve">enhance </w:t>
      </w:r>
      <w:r w:rsidR="00186ACC">
        <w:rPr>
          <w:rFonts w:eastAsia="ArialMT"/>
        </w:rPr>
        <w:t>individual</w:t>
      </w:r>
      <w:r w:rsidR="00C423EC">
        <w:rPr>
          <w:rFonts w:eastAsia="ArialMT"/>
        </w:rPr>
        <w:t xml:space="preserve"> perspectives</w:t>
      </w:r>
      <w:r w:rsidR="00BE4CD7">
        <w:rPr>
          <w:rFonts w:eastAsia="ArialMT"/>
        </w:rPr>
        <w:t>.</w:t>
      </w:r>
      <w:r w:rsidR="008248D4">
        <w:rPr>
          <w:rFonts w:eastAsia="ArialMT"/>
        </w:rPr>
        <w:t xml:space="preserve"> </w:t>
      </w:r>
      <w:r w:rsidR="00295D0B" w:rsidRPr="00295D0B">
        <w:rPr>
          <w:rFonts w:eastAsia="ArialMT"/>
        </w:rPr>
        <w:t xml:space="preserve">With increased focus on teaching advocacy, agricultural educators must become more engaged in </w:t>
      </w:r>
      <w:r w:rsidR="00A93FCB">
        <w:rPr>
          <w:rFonts w:eastAsia="ArialMT"/>
        </w:rPr>
        <w:t>issues and help</w:t>
      </w:r>
      <w:r w:rsidR="00295D0B" w:rsidRPr="00295D0B">
        <w:rPr>
          <w:rFonts w:eastAsia="ArialMT"/>
        </w:rPr>
        <w:t xml:space="preserve"> </w:t>
      </w:r>
      <w:r w:rsidR="007F1EB9">
        <w:rPr>
          <w:rFonts w:eastAsia="ArialMT"/>
        </w:rPr>
        <w:t>the</w:t>
      </w:r>
      <w:r w:rsidR="00A93FCB">
        <w:rPr>
          <w:rFonts w:eastAsia="ArialMT"/>
        </w:rPr>
        <w:t xml:space="preserve"> </w:t>
      </w:r>
      <w:r w:rsidR="00295D0B" w:rsidRPr="00295D0B">
        <w:rPr>
          <w:color w:val="auto"/>
        </w:rPr>
        <w:t>public and policy make</w:t>
      </w:r>
      <w:r w:rsidR="0021753A">
        <w:rPr>
          <w:color w:val="auto"/>
        </w:rPr>
        <w:t>rs</w:t>
      </w:r>
      <w:r w:rsidR="00821414">
        <w:rPr>
          <w:color w:val="auto"/>
        </w:rPr>
        <w:t xml:space="preserve"> </w:t>
      </w:r>
      <w:r w:rsidR="00295D0B" w:rsidRPr="00295D0B">
        <w:rPr>
          <w:color w:val="auto"/>
        </w:rPr>
        <w:t xml:space="preserve">understand </w:t>
      </w:r>
      <w:r w:rsidR="00E72955">
        <w:rPr>
          <w:color w:val="auto"/>
        </w:rPr>
        <w:t xml:space="preserve">the full gamut of </w:t>
      </w:r>
      <w:r w:rsidR="00295D0B" w:rsidRPr="00295D0B">
        <w:rPr>
          <w:color w:val="auto"/>
        </w:rPr>
        <w:t>agriculture.</w:t>
      </w:r>
    </w:p>
    <w:p w14:paraId="2167673F" w14:textId="0A965C6F" w:rsidR="003515D7" w:rsidRPr="00AD6080" w:rsidRDefault="00295D0B" w:rsidP="00AD6080">
      <w:pPr>
        <w:jc w:val="center"/>
        <w:rPr>
          <w:b/>
        </w:rPr>
      </w:pPr>
      <w:r>
        <w:rPr>
          <w:b/>
        </w:rPr>
        <w:lastRenderedPageBreak/>
        <w:t>R</w:t>
      </w:r>
      <w:r w:rsidR="003515D7" w:rsidRPr="00AD6080">
        <w:rPr>
          <w:b/>
        </w:rPr>
        <w:t>eferenc</w:t>
      </w:r>
      <w:bookmarkStart w:id="0" w:name="_GoBack"/>
      <w:bookmarkEnd w:id="0"/>
      <w:r w:rsidR="003515D7" w:rsidRPr="00AD6080">
        <w:rPr>
          <w:b/>
        </w:rPr>
        <w:t>es</w:t>
      </w:r>
    </w:p>
    <w:p w14:paraId="18F50CD3" w14:textId="77777777" w:rsidR="00D7363B" w:rsidRDefault="00D7363B" w:rsidP="00E908DE">
      <w:pPr>
        <w:rPr>
          <w:color w:val="auto"/>
        </w:rPr>
      </w:pPr>
    </w:p>
    <w:p w14:paraId="488F8EA8" w14:textId="77777777" w:rsidR="00565E80" w:rsidRPr="00D7363B" w:rsidRDefault="00565E80" w:rsidP="00186ACC">
      <w:pPr>
        <w:ind w:left="720" w:hanging="720"/>
        <w:rPr>
          <w:color w:val="auto"/>
        </w:rPr>
      </w:pPr>
      <w:proofErr w:type="gramStart"/>
      <w:r w:rsidRPr="00D7363B">
        <w:rPr>
          <w:color w:val="auto"/>
        </w:rPr>
        <w:t>Bernard, H. R. &amp; Ryan, G. (2010).</w:t>
      </w:r>
      <w:proofErr w:type="gramEnd"/>
      <w:r w:rsidRPr="00D7363B">
        <w:rPr>
          <w:color w:val="auto"/>
        </w:rPr>
        <w:t xml:space="preserve"> </w:t>
      </w:r>
      <w:r w:rsidRPr="00D7363B">
        <w:rPr>
          <w:i/>
          <w:color w:val="auto"/>
        </w:rPr>
        <w:t>Analyzing qualitative data – Systematic approaches</w:t>
      </w:r>
      <w:r w:rsidRPr="00D7363B">
        <w:rPr>
          <w:color w:val="auto"/>
        </w:rPr>
        <w:t>. Washington, D.C.:  Sage.</w:t>
      </w:r>
    </w:p>
    <w:p w14:paraId="0BF9A78A" w14:textId="77777777" w:rsidR="00D7363B" w:rsidRDefault="00D7363B" w:rsidP="00186ACC">
      <w:pPr>
        <w:ind w:left="720" w:hanging="720"/>
        <w:rPr>
          <w:color w:val="auto"/>
        </w:rPr>
      </w:pPr>
    </w:p>
    <w:p w14:paraId="28987BA4" w14:textId="7EEC205A" w:rsidR="00565E80" w:rsidRPr="00D7363B" w:rsidRDefault="00565E80" w:rsidP="00186ACC">
      <w:pPr>
        <w:ind w:left="720" w:hanging="720"/>
        <w:rPr>
          <w:color w:val="auto"/>
        </w:rPr>
      </w:pPr>
      <w:proofErr w:type="spellStart"/>
      <w:r w:rsidRPr="00D7363B">
        <w:rPr>
          <w:color w:val="auto"/>
        </w:rPr>
        <w:t>Bogdan</w:t>
      </w:r>
      <w:proofErr w:type="spellEnd"/>
      <w:r w:rsidRPr="00D7363B">
        <w:rPr>
          <w:color w:val="auto"/>
        </w:rPr>
        <w:t xml:space="preserve">, R., &amp; </w:t>
      </w:r>
      <w:proofErr w:type="spellStart"/>
      <w:r w:rsidRPr="00D7363B">
        <w:rPr>
          <w:color w:val="auto"/>
        </w:rPr>
        <w:t>Biklen</w:t>
      </w:r>
      <w:proofErr w:type="spellEnd"/>
      <w:r w:rsidRPr="00D7363B">
        <w:rPr>
          <w:color w:val="auto"/>
        </w:rPr>
        <w:t xml:space="preserve">, S. (2003). </w:t>
      </w:r>
      <w:r w:rsidRPr="00D7363B">
        <w:rPr>
          <w:i/>
          <w:color w:val="auto"/>
        </w:rPr>
        <w:t>Qualitative research for education: An introduction to theory and methods</w:t>
      </w:r>
      <w:r w:rsidRPr="00D7363B">
        <w:rPr>
          <w:color w:val="auto"/>
        </w:rPr>
        <w:t xml:space="preserve">. Boston: </w:t>
      </w:r>
      <w:proofErr w:type="spellStart"/>
      <w:r w:rsidRPr="00D7363B">
        <w:rPr>
          <w:color w:val="auto"/>
        </w:rPr>
        <w:t>Allyn</w:t>
      </w:r>
      <w:proofErr w:type="spellEnd"/>
      <w:r w:rsidRPr="00D7363B">
        <w:rPr>
          <w:color w:val="auto"/>
        </w:rPr>
        <w:t xml:space="preserve"> and Bacon.</w:t>
      </w:r>
    </w:p>
    <w:p w14:paraId="39D73B68" w14:textId="77777777" w:rsidR="00D7363B" w:rsidRDefault="00D7363B" w:rsidP="00186ACC">
      <w:pPr>
        <w:widowControl w:val="0"/>
        <w:autoSpaceDE w:val="0"/>
        <w:autoSpaceDN w:val="0"/>
        <w:adjustRightInd w:val="0"/>
        <w:rPr>
          <w:color w:val="auto"/>
        </w:rPr>
      </w:pPr>
    </w:p>
    <w:p w14:paraId="39C4E794" w14:textId="3819CB6A" w:rsidR="00565E80" w:rsidRPr="00D7363B" w:rsidRDefault="00565E80" w:rsidP="00186ACC">
      <w:pPr>
        <w:widowControl w:val="0"/>
        <w:autoSpaceDE w:val="0"/>
        <w:autoSpaceDN w:val="0"/>
        <w:adjustRightInd w:val="0"/>
        <w:ind w:left="720" w:hanging="720"/>
        <w:rPr>
          <w:iCs/>
          <w:color w:val="auto"/>
        </w:rPr>
      </w:pPr>
      <w:proofErr w:type="gramStart"/>
      <w:r w:rsidRPr="00D7363B">
        <w:rPr>
          <w:color w:val="auto"/>
        </w:rPr>
        <w:t>Department of Agriculture, Fisheries, and Forestry.</w:t>
      </w:r>
      <w:proofErr w:type="gramEnd"/>
      <w:r w:rsidRPr="00D7363B">
        <w:rPr>
          <w:color w:val="auto"/>
        </w:rPr>
        <w:t xml:space="preserve"> (2009)</w:t>
      </w:r>
      <w:proofErr w:type="gramStart"/>
      <w:r w:rsidRPr="00D7363B">
        <w:rPr>
          <w:color w:val="auto"/>
        </w:rPr>
        <w:t xml:space="preserve">. </w:t>
      </w:r>
      <w:r w:rsidRPr="00D7363B">
        <w:rPr>
          <w:i/>
          <w:iCs/>
          <w:color w:val="auto"/>
        </w:rPr>
        <w:t>Workforce, training and skills issues in agriculture.</w:t>
      </w:r>
      <w:proofErr w:type="gramEnd"/>
      <w:r w:rsidRPr="00D7363B">
        <w:rPr>
          <w:i/>
          <w:iCs/>
          <w:color w:val="auto"/>
        </w:rPr>
        <w:t xml:space="preserve"> </w:t>
      </w:r>
      <w:r w:rsidRPr="00D7363B">
        <w:rPr>
          <w:iCs/>
          <w:color w:val="auto"/>
        </w:rPr>
        <w:t xml:space="preserve">Retrieved from </w:t>
      </w:r>
      <w:hyperlink r:id="rId9" w:history="1">
        <w:r w:rsidR="00B4029E" w:rsidRPr="00B4029E">
          <w:rPr>
            <w:rStyle w:val="Hyperlink"/>
            <w:iCs/>
            <w:color w:val="auto"/>
            <w:u w:val="none"/>
          </w:rPr>
          <w:t>www.daff.gov.au/__data/assets/pdf_file/0011/ 1530020/work-train-skills.pdf</w:t>
        </w:r>
      </w:hyperlink>
    </w:p>
    <w:p w14:paraId="110ED868" w14:textId="77777777" w:rsidR="00D7363B" w:rsidRDefault="00D7363B" w:rsidP="00186ACC">
      <w:pPr>
        <w:widowControl w:val="0"/>
        <w:autoSpaceDE w:val="0"/>
        <w:autoSpaceDN w:val="0"/>
        <w:adjustRightInd w:val="0"/>
        <w:ind w:left="720" w:hanging="720"/>
        <w:rPr>
          <w:color w:val="auto"/>
        </w:rPr>
      </w:pPr>
    </w:p>
    <w:p w14:paraId="7B55BCC7" w14:textId="2E7A9186" w:rsidR="00D7363B" w:rsidRPr="00D7363B" w:rsidRDefault="00D7363B" w:rsidP="00186ACC">
      <w:pPr>
        <w:widowControl w:val="0"/>
        <w:autoSpaceDE w:val="0"/>
        <w:autoSpaceDN w:val="0"/>
        <w:adjustRightInd w:val="0"/>
        <w:ind w:left="720" w:hanging="720"/>
        <w:rPr>
          <w:color w:val="auto"/>
        </w:rPr>
      </w:pPr>
      <w:proofErr w:type="spellStart"/>
      <w:proofErr w:type="gramStart"/>
      <w:r w:rsidRPr="00D7363B">
        <w:rPr>
          <w:color w:val="auto"/>
        </w:rPr>
        <w:t>Doerfert</w:t>
      </w:r>
      <w:proofErr w:type="spellEnd"/>
      <w:r w:rsidRPr="00D7363B">
        <w:rPr>
          <w:color w:val="auto"/>
        </w:rPr>
        <w:t>, D. L. (Ed.) (2011).</w:t>
      </w:r>
      <w:proofErr w:type="gramEnd"/>
      <w:r w:rsidRPr="00D7363B">
        <w:rPr>
          <w:color w:val="auto"/>
        </w:rPr>
        <w:t xml:space="preserve"> </w:t>
      </w:r>
      <w:r w:rsidRPr="00D7363B">
        <w:rPr>
          <w:i/>
          <w:iCs/>
          <w:color w:val="auto"/>
        </w:rPr>
        <w:t>National research agenda: American Association for Agricultural Educ</w:t>
      </w:r>
      <w:r w:rsidR="00B4029E">
        <w:rPr>
          <w:i/>
          <w:iCs/>
          <w:color w:val="auto"/>
        </w:rPr>
        <w:t>at</w:t>
      </w:r>
      <w:r w:rsidRPr="00D7363B">
        <w:rPr>
          <w:i/>
          <w:iCs/>
          <w:color w:val="auto"/>
        </w:rPr>
        <w:t xml:space="preserve">ion’s research priority areas for 2011-2015. </w:t>
      </w:r>
      <w:r w:rsidRPr="00D7363B">
        <w:rPr>
          <w:color w:val="auto"/>
        </w:rPr>
        <w:t>Lubbock, TX: Texas Tech University, Department of Agricultural Education and Communications.</w:t>
      </w:r>
    </w:p>
    <w:p w14:paraId="0190B62C" w14:textId="77777777" w:rsidR="00D7363B" w:rsidRDefault="00D7363B" w:rsidP="00186ACC">
      <w:pPr>
        <w:ind w:left="720" w:hanging="720"/>
        <w:rPr>
          <w:color w:val="auto"/>
        </w:rPr>
      </w:pPr>
    </w:p>
    <w:p w14:paraId="51F4E5B7" w14:textId="6FE56F96" w:rsidR="00565E80" w:rsidRPr="00D7363B" w:rsidRDefault="00565E80" w:rsidP="00186ACC">
      <w:pPr>
        <w:ind w:left="720" w:hanging="720"/>
        <w:rPr>
          <w:color w:val="auto"/>
        </w:rPr>
      </w:pPr>
      <w:proofErr w:type="spellStart"/>
      <w:r w:rsidRPr="00D7363B">
        <w:rPr>
          <w:color w:val="auto"/>
        </w:rPr>
        <w:t>Festinger</w:t>
      </w:r>
      <w:proofErr w:type="spellEnd"/>
      <w:r w:rsidRPr="00D7363B">
        <w:rPr>
          <w:color w:val="auto"/>
        </w:rPr>
        <w:t xml:space="preserve">, L. (1957). </w:t>
      </w:r>
      <w:proofErr w:type="gramStart"/>
      <w:r w:rsidRPr="00D7363B">
        <w:rPr>
          <w:i/>
          <w:iCs/>
          <w:color w:val="auto"/>
        </w:rPr>
        <w:t>A theory of cognitive dissonance</w:t>
      </w:r>
      <w:r w:rsidRPr="00D7363B">
        <w:rPr>
          <w:color w:val="auto"/>
        </w:rPr>
        <w:t>.</w:t>
      </w:r>
      <w:proofErr w:type="gramEnd"/>
      <w:r w:rsidRPr="00D7363B">
        <w:rPr>
          <w:color w:val="auto"/>
        </w:rPr>
        <w:t xml:space="preserve"> Stanford, CA: Stanford University Press.</w:t>
      </w:r>
    </w:p>
    <w:p w14:paraId="27A965CA" w14:textId="77777777" w:rsidR="00D7363B" w:rsidRDefault="00D7363B" w:rsidP="00186ACC">
      <w:pPr>
        <w:ind w:left="720" w:hanging="720"/>
        <w:rPr>
          <w:color w:val="auto"/>
        </w:rPr>
      </w:pPr>
    </w:p>
    <w:p w14:paraId="352552C1" w14:textId="77777777" w:rsidR="00D7363B" w:rsidRPr="00D7363B" w:rsidRDefault="00D7363B" w:rsidP="00186ACC">
      <w:pPr>
        <w:ind w:left="720" w:hanging="720"/>
        <w:rPr>
          <w:color w:val="auto"/>
        </w:rPr>
      </w:pPr>
      <w:r w:rsidRPr="00D7363B">
        <w:rPr>
          <w:color w:val="auto"/>
        </w:rPr>
        <w:t xml:space="preserve">Fraser, D. (2001). The “new perception” of animal agriculture: legless cows, featherless chickens, and a need for genuine analysis. </w:t>
      </w:r>
      <w:r w:rsidRPr="00D7363B">
        <w:rPr>
          <w:i/>
          <w:color w:val="auto"/>
        </w:rPr>
        <w:t>Journal of Animal Science, 79</w:t>
      </w:r>
      <w:r w:rsidRPr="00D7363B">
        <w:rPr>
          <w:color w:val="auto"/>
        </w:rPr>
        <w:t>, 634-641.</w:t>
      </w:r>
    </w:p>
    <w:p w14:paraId="28B2CBE1" w14:textId="77777777" w:rsidR="00D7363B" w:rsidRDefault="00D7363B" w:rsidP="00186ACC">
      <w:pPr>
        <w:ind w:left="720" w:hanging="720"/>
        <w:rPr>
          <w:color w:val="auto"/>
        </w:rPr>
      </w:pPr>
    </w:p>
    <w:p w14:paraId="3A376840" w14:textId="77777777" w:rsidR="00D7363B" w:rsidRPr="00D7363B" w:rsidRDefault="00D7363B" w:rsidP="00186ACC">
      <w:pPr>
        <w:ind w:left="720" w:hanging="720"/>
        <w:rPr>
          <w:color w:val="auto"/>
        </w:rPr>
      </w:pPr>
      <w:proofErr w:type="spellStart"/>
      <w:r w:rsidRPr="00D7363B">
        <w:rPr>
          <w:color w:val="auto"/>
        </w:rPr>
        <w:t>Gorski</w:t>
      </w:r>
      <w:proofErr w:type="spellEnd"/>
      <w:r w:rsidRPr="00D7363B">
        <w:rPr>
          <w:color w:val="auto"/>
        </w:rPr>
        <w:t xml:space="preserve">, P. C. (2009). </w:t>
      </w:r>
      <w:r w:rsidRPr="00D7363B">
        <w:rPr>
          <w:i/>
          <w:iCs/>
          <w:color w:val="auto"/>
        </w:rPr>
        <w:t>Cognitive dissonance: A critical tool in social justice teaching</w:t>
      </w:r>
      <w:r w:rsidRPr="00D7363B">
        <w:rPr>
          <w:color w:val="auto"/>
        </w:rPr>
        <w:t xml:space="preserve">. Fairfax, VA: </w:t>
      </w:r>
      <w:proofErr w:type="spellStart"/>
      <w:r w:rsidRPr="00D7363B">
        <w:rPr>
          <w:color w:val="auto"/>
        </w:rPr>
        <w:t>EdChange</w:t>
      </w:r>
      <w:proofErr w:type="spellEnd"/>
      <w:r w:rsidRPr="00D7363B">
        <w:rPr>
          <w:color w:val="auto"/>
        </w:rPr>
        <w:t xml:space="preserve">. Retrieved from </w:t>
      </w:r>
      <w:hyperlink r:id="rId10" w:history="1">
        <w:r w:rsidRPr="00D7363B">
          <w:rPr>
            <w:rStyle w:val="Hyperlink"/>
            <w:color w:val="auto"/>
            <w:u w:val="none"/>
          </w:rPr>
          <w:t>http://www.edchange.net/publications/cognitive-dissonance.pdf</w:t>
        </w:r>
      </w:hyperlink>
      <w:r w:rsidRPr="00D7363B">
        <w:rPr>
          <w:color w:val="auto"/>
        </w:rPr>
        <w:t xml:space="preserve"> </w:t>
      </w:r>
    </w:p>
    <w:p w14:paraId="6E443F61" w14:textId="77777777" w:rsidR="00D7363B" w:rsidRDefault="00D7363B" w:rsidP="00186ACC">
      <w:pPr>
        <w:autoSpaceDE w:val="0"/>
        <w:autoSpaceDN w:val="0"/>
        <w:adjustRightInd w:val="0"/>
        <w:ind w:left="720" w:hanging="720"/>
        <w:rPr>
          <w:color w:val="auto"/>
        </w:rPr>
      </w:pPr>
    </w:p>
    <w:p w14:paraId="3B1D8C3A" w14:textId="46D807A1" w:rsidR="00565E80" w:rsidRPr="00D7363B" w:rsidRDefault="00565E80" w:rsidP="00186ACC">
      <w:pPr>
        <w:autoSpaceDE w:val="0"/>
        <w:autoSpaceDN w:val="0"/>
        <w:adjustRightInd w:val="0"/>
        <w:ind w:left="720" w:hanging="720"/>
        <w:rPr>
          <w:color w:val="auto"/>
        </w:rPr>
      </w:pPr>
      <w:r w:rsidRPr="00D7363B">
        <w:rPr>
          <w:color w:val="auto"/>
        </w:rPr>
        <w:t xml:space="preserve">Herzog, H. A., </w:t>
      </w:r>
      <w:proofErr w:type="spellStart"/>
      <w:r w:rsidRPr="00D7363B">
        <w:rPr>
          <w:color w:val="auto"/>
        </w:rPr>
        <w:t>Betchart</w:t>
      </w:r>
      <w:proofErr w:type="spellEnd"/>
      <w:r w:rsidRPr="00D7363B">
        <w:rPr>
          <w:color w:val="auto"/>
        </w:rPr>
        <w:t xml:space="preserve">, N. S., &amp; Pittman, R. (1991). </w:t>
      </w:r>
      <w:proofErr w:type="gramStart"/>
      <w:r w:rsidRPr="00D7363B">
        <w:rPr>
          <w:color w:val="auto"/>
        </w:rPr>
        <w:t>Gender, sex role identity and attitudes toward animals.</w:t>
      </w:r>
      <w:proofErr w:type="gramEnd"/>
      <w:r w:rsidRPr="00D7363B">
        <w:rPr>
          <w:color w:val="auto"/>
        </w:rPr>
        <w:t xml:space="preserve"> </w:t>
      </w:r>
      <w:proofErr w:type="spellStart"/>
      <w:r w:rsidRPr="00D7363B">
        <w:rPr>
          <w:i/>
          <w:color w:val="auto"/>
        </w:rPr>
        <w:t>Anthrozoos</w:t>
      </w:r>
      <w:proofErr w:type="spellEnd"/>
      <w:r w:rsidRPr="00D7363B">
        <w:rPr>
          <w:color w:val="auto"/>
        </w:rPr>
        <w:t>. 4, 184-191.</w:t>
      </w:r>
    </w:p>
    <w:p w14:paraId="4B405D1E" w14:textId="77777777" w:rsidR="00D7363B" w:rsidRDefault="00D7363B" w:rsidP="00186ACC">
      <w:pPr>
        <w:rPr>
          <w:color w:val="auto"/>
        </w:rPr>
      </w:pPr>
    </w:p>
    <w:p w14:paraId="06067C0E" w14:textId="77777777" w:rsidR="00D7363B" w:rsidRPr="00D7363B" w:rsidRDefault="00D7363B" w:rsidP="00186ACC">
      <w:pPr>
        <w:rPr>
          <w:color w:val="auto"/>
        </w:rPr>
      </w:pPr>
      <w:r w:rsidRPr="00D7363B">
        <w:rPr>
          <w:color w:val="auto"/>
        </w:rPr>
        <w:t xml:space="preserve">Hon, L. (2006). Negotiating relationships with activist publics. In K. Fitzpatrick &amp; C. Bronstein </w:t>
      </w:r>
    </w:p>
    <w:p w14:paraId="41D1DC75" w14:textId="77777777" w:rsidR="00D7363B" w:rsidRPr="00D7363B" w:rsidRDefault="00D7363B" w:rsidP="00186ACC">
      <w:pPr>
        <w:ind w:left="720"/>
        <w:rPr>
          <w:color w:val="auto"/>
        </w:rPr>
      </w:pPr>
      <w:r w:rsidRPr="00D7363B">
        <w:rPr>
          <w:color w:val="auto"/>
        </w:rPr>
        <w:t xml:space="preserve">(Eds.), </w:t>
      </w:r>
      <w:r w:rsidRPr="00D7363B">
        <w:rPr>
          <w:i/>
          <w:color w:val="auto"/>
        </w:rPr>
        <w:t xml:space="preserve">Ethics in public relations – Responsible advocacy </w:t>
      </w:r>
      <w:r w:rsidRPr="00D7363B">
        <w:rPr>
          <w:color w:val="auto"/>
        </w:rPr>
        <w:t>(pp. 53-69). Thousand Oaks, CA: Sage Publications, Inc.</w:t>
      </w:r>
    </w:p>
    <w:p w14:paraId="7F412747" w14:textId="77777777" w:rsidR="00D7363B" w:rsidRDefault="00D7363B" w:rsidP="00186ACC">
      <w:pPr>
        <w:rPr>
          <w:color w:val="auto"/>
        </w:rPr>
      </w:pPr>
    </w:p>
    <w:p w14:paraId="65985A96" w14:textId="77777777" w:rsidR="00D7363B" w:rsidRPr="00D7363B" w:rsidRDefault="00D7363B" w:rsidP="00186ACC">
      <w:pPr>
        <w:rPr>
          <w:i/>
          <w:color w:val="auto"/>
        </w:rPr>
      </w:pPr>
      <w:r w:rsidRPr="00D7363B">
        <w:rPr>
          <w:color w:val="auto"/>
        </w:rPr>
        <w:t xml:space="preserve">Johnson, E, &amp; </w:t>
      </w:r>
      <w:proofErr w:type="spellStart"/>
      <w:r w:rsidRPr="00D7363B">
        <w:rPr>
          <w:color w:val="auto"/>
        </w:rPr>
        <w:t>Mappin</w:t>
      </w:r>
      <w:proofErr w:type="spellEnd"/>
      <w:r w:rsidRPr="00D7363B">
        <w:rPr>
          <w:color w:val="auto"/>
        </w:rPr>
        <w:t xml:space="preserve">, M. (2005). </w:t>
      </w:r>
      <w:r w:rsidRPr="00D7363B">
        <w:rPr>
          <w:i/>
          <w:color w:val="auto"/>
        </w:rPr>
        <w:t xml:space="preserve">Environmental education and advocacy - Changing </w:t>
      </w:r>
    </w:p>
    <w:p w14:paraId="20D82A39" w14:textId="77777777" w:rsidR="00D7363B" w:rsidRPr="00D7363B" w:rsidRDefault="00D7363B" w:rsidP="00186ACC">
      <w:pPr>
        <w:ind w:firstLine="720"/>
        <w:rPr>
          <w:color w:val="auto"/>
        </w:rPr>
      </w:pPr>
      <w:proofErr w:type="gramStart"/>
      <w:r w:rsidRPr="00D7363B">
        <w:rPr>
          <w:i/>
          <w:color w:val="auto"/>
        </w:rPr>
        <w:t>perspectives</w:t>
      </w:r>
      <w:proofErr w:type="gramEnd"/>
      <w:r w:rsidRPr="00D7363B">
        <w:rPr>
          <w:i/>
          <w:color w:val="auto"/>
        </w:rPr>
        <w:t xml:space="preserve"> of ecology and education.</w:t>
      </w:r>
      <w:r w:rsidRPr="00D7363B">
        <w:rPr>
          <w:color w:val="auto"/>
        </w:rPr>
        <w:t xml:space="preserve"> New York: Cambridge University Press.</w:t>
      </w:r>
    </w:p>
    <w:p w14:paraId="018CD7C4" w14:textId="77777777" w:rsidR="00D7363B" w:rsidRDefault="00D7363B" w:rsidP="00186ACC">
      <w:pPr>
        <w:rPr>
          <w:color w:val="auto"/>
        </w:rPr>
      </w:pPr>
    </w:p>
    <w:p w14:paraId="1F30D463" w14:textId="77777777" w:rsidR="00D7363B" w:rsidRPr="00D7363B" w:rsidRDefault="00D7363B" w:rsidP="00186ACC">
      <w:pPr>
        <w:rPr>
          <w:i/>
          <w:color w:val="auto"/>
        </w:rPr>
      </w:pPr>
      <w:proofErr w:type="gramStart"/>
      <w:r w:rsidRPr="00D7363B">
        <w:rPr>
          <w:color w:val="auto"/>
        </w:rPr>
        <w:t>Public International Law and Policy Group, &amp; Baker &amp; McKenzie International.</w:t>
      </w:r>
      <w:proofErr w:type="gramEnd"/>
      <w:r w:rsidRPr="00D7363B">
        <w:rPr>
          <w:color w:val="auto"/>
        </w:rPr>
        <w:t xml:space="preserve"> (2007). </w:t>
      </w:r>
      <w:r w:rsidRPr="00D7363B">
        <w:rPr>
          <w:i/>
          <w:color w:val="auto"/>
        </w:rPr>
        <w:t xml:space="preserve">The </w:t>
      </w:r>
    </w:p>
    <w:p w14:paraId="2F50A6D8" w14:textId="05473CD3" w:rsidR="00D7363B" w:rsidRPr="00D7363B" w:rsidRDefault="00D7363B" w:rsidP="00186ACC">
      <w:pPr>
        <w:ind w:left="720"/>
        <w:rPr>
          <w:color w:val="auto"/>
        </w:rPr>
      </w:pPr>
      <w:proofErr w:type="gramStart"/>
      <w:r w:rsidRPr="00D7363B">
        <w:rPr>
          <w:i/>
          <w:color w:val="auto"/>
        </w:rPr>
        <w:t>international</w:t>
      </w:r>
      <w:proofErr w:type="gramEnd"/>
      <w:r w:rsidRPr="00D7363B">
        <w:rPr>
          <w:i/>
          <w:color w:val="auto"/>
        </w:rPr>
        <w:t xml:space="preserve"> negotiations handbook:  Success through preparation, strategy, and planning. </w:t>
      </w:r>
      <w:r w:rsidRPr="00D7363B">
        <w:rPr>
          <w:color w:val="auto"/>
        </w:rPr>
        <w:t xml:space="preserve">Retrieved from </w:t>
      </w:r>
      <w:hyperlink r:id="rId11" w:history="1">
        <w:r w:rsidRPr="00D7363B">
          <w:rPr>
            <w:rStyle w:val="Hyperlink"/>
            <w:color w:val="auto"/>
            <w:u w:val="none"/>
          </w:rPr>
          <w:t>http://www.bakermckenzie.com/files/Uploads/Documents/ Supporting%20</w:t>
        </w:r>
      </w:hyperlink>
      <w:r w:rsidRPr="00D7363B">
        <w:rPr>
          <w:color w:val="auto"/>
        </w:rPr>
        <w:t xml:space="preserve"> </w:t>
      </w:r>
      <w:proofErr w:type="gramStart"/>
      <w:r w:rsidRPr="00D7363B">
        <w:rPr>
          <w:color w:val="auto"/>
        </w:rPr>
        <w:t>Your</w:t>
      </w:r>
      <w:proofErr w:type="gramEnd"/>
      <w:r w:rsidRPr="00D7363B">
        <w:rPr>
          <w:color w:val="auto"/>
        </w:rPr>
        <w:t>%20Business/Featured%20Services/</w:t>
      </w:r>
      <w:proofErr w:type="spellStart"/>
      <w:r w:rsidRPr="00D7363B">
        <w:rPr>
          <w:color w:val="auto"/>
        </w:rPr>
        <w:t>bk_internationalnegotiations</w:t>
      </w:r>
      <w:proofErr w:type="spellEnd"/>
      <w:r w:rsidRPr="00D7363B">
        <w:rPr>
          <w:color w:val="auto"/>
        </w:rPr>
        <w:t xml:space="preserve"> handbook_dec07.pdf</w:t>
      </w:r>
    </w:p>
    <w:p w14:paraId="133E2F2E" w14:textId="77777777" w:rsidR="00D7363B" w:rsidRDefault="00D7363B" w:rsidP="00186ACC">
      <w:pPr>
        <w:ind w:left="720" w:hanging="720"/>
        <w:rPr>
          <w:color w:val="auto"/>
        </w:rPr>
      </w:pPr>
    </w:p>
    <w:p w14:paraId="006F226A" w14:textId="77777777" w:rsidR="00D80F1F" w:rsidRPr="00D7363B" w:rsidRDefault="00D80F1F" w:rsidP="00186ACC">
      <w:pPr>
        <w:ind w:left="720" w:hanging="720"/>
        <w:rPr>
          <w:color w:val="auto"/>
        </w:rPr>
      </w:pPr>
      <w:proofErr w:type="spellStart"/>
      <w:r w:rsidRPr="00D7363B">
        <w:rPr>
          <w:color w:val="auto"/>
        </w:rPr>
        <w:t>Teddlie</w:t>
      </w:r>
      <w:proofErr w:type="spellEnd"/>
      <w:r w:rsidRPr="00D7363B">
        <w:rPr>
          <w:color w:val="auto"/>
        </w:rPr>
        <w:t xml:space="preserve">, C., &amp; </w:t>
      </w:r>
      <w:proofErr w:type="spellStart"/>
      <w:r w:rsidRPr="00D7363B">
        <w:rPr>
          <w:color w:val="auto"/>
        </w:rPr>
        <w:t>Tashakkori</w:t>
      </w:r>
      <w:proofErr w:type="spellEnd"/>
      <w:r w:rsidRPr="00D7363B">
        <w:rPr>
          <w:color w:val="auto"/>
        </w:rPr>
        <w:t xml:space="preserve">, A. (2009). </w:t>
      </w:r>
      <w:r w:rsidRPr="00D7363B">
        <w:rPr>
          <w:i/>
          <w:color w:val="auto"/>
        </w:rPr>
        <w:t xml:space="preserve">Foundations of mixed methods research:  Integrating quantitative and qualitative approaches in the social and behavioral sciences. </w:t>
      </w:r>
      <w:r w:rsidRPr="00D7363B">
        <w:rPr>
          <w:color w:val="auto"/>
        </w:rPr>
        <w:t>Thousand Oaks, CA:  SAGE Publications Ltd.</w:t>
      </w:r>
    </w:p>
    <w:p w14:paraId="06A32DE0" w14:textId="24F8F851" w:rsidR="00BF6ED2" w:rsidRPr="00851F15" w:rsidRDefault="00BF6ED2" w:rsidP="00952CFC">
      <w:pPr>
        <w:ind w:left="720" w:hanging="720"/>
        <w:rPr>
          <w:rFonts w:ascii="Times" w:hAnsi="Times"/>
          <w:color w:val="auto"/>
        </w:rPr>
      </w:pPr>
    </w:p>
    <w:sectPr w:rsidR="00BF6ED2" w:rsidRPr="00851F15" w:rsidSect="009258B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FA015D" w14:textId="77777777" w:rsidR="005B2633" w:rsidRDefault="005B2633" w:rsidP="00AD6080">
      <w:r>
        <w:separator/>
      </w:r>
    </w:p>
  </w:endnote>
  <w:endnote w:type="continuationSeparator" w:id="0">
    <w:p w14:paraId="0DA08413" w14:textId="77777777" w:rsidR="005B2633" w:rsidRDefault="005B2633" w:rsidP="00AD6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ArialMT">
    <w:altName w:val="Arial"/>
    <w:panose1 w:val="00000000000000000000"/>
    <w:charset w:val="80"/>
    <w:family w:val="auto"/>
    <w:notTrueType/>
    <w:pitch w:val="default"/>
    <w:sig w:usb0="00000000"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entury">
    <w:panose1 w:val="020406040505050203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84641"/>
      <w:docPartObj>
        <w:docPartGallery w:val="Page Numbers (Bottom of Page)"/>
        <w:docPartUnique/>
      </w:docPartObj>
    </w:sdtPr>
    <w:sdtContent>
      <w:p w14:paraId="2CF6B776" w14:textId="77777777" w:rsidR="005B2633" w:rsidRDefault="005B2633">
        <w:pPr>
          <w:pStyle w:val="Footer"/>
          <w:jc w:val="center"/>
        </w:pPr>
        <w:r>
          <w:fldChar w:fldCharType="begin"/>
        </w:r>
        <w:r>
          <w:instrText xml:space="preserve"> PAGE   \* MERGEFORMAT </w:instrText>
        </w:r>
        <w:r>
          <w:fldChar w:fldCharType="separate"/>
        </w:r>
        <w:r w:rsidR="00B5553A">
          <w:rPr>
            <w:noProof/>
          </w:rPr>
          <w:t>1</w:t>
        </w:r>
        <w:r>
          <w:rPr>
            <w:noProof/>
          </w:rPr>
          <w:fldChar w:fldCharType="end"/>
        </w:r>
      </w:p>
    </w:sdtContent>
  </w:sdt>
  <w:p w14:paraId="0FE8E8A9" w14:textId="77777777" w:rsidR="005B2633" w:rsidRDefault="005B263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0C388D" w14:textId="77777777" w:rsidR="005B2633" w:rsidRDefault="005B2633" w:rsidP="00AD6080">
      <w:r>
        <w:separator/>
      </w:r>
    </w:p>
  </w:footnote>
  <w:footnote w:type="continuationSeparator" w:id="0">
    <w:p w14:paraId="3964C743" w14:textId="77777777" w:rsidR="005B2633" w:rsidRDefault="005B2633" w:rsidP="00AD608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820FC"/>
    <w:multiLevelType w:val="hybridMultilevel"/>
    <w:tmpl w:val="01382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F73BD7"/>
    <w:multiLevelType w:val="hybridMultilevel"/>
    <w:tmpl w:val="47365A32"/>
    <w:lvl w:ilvl="0" w:tplc="04090001">
      <w:start w:val="1"/>
      <w:numFmt w:val="bullet"/>
      <w:lvlText w:val=""/>
      <w:lvlJc w:val="left"/>
      <w:pPr>
        <w:ind w:left="720" w:hanging="360"/>
      </w:pPr>
      <w:rPr>
        <w:rFonts w:ascii="Symbol" w:hAnsi="Symbol" w:hint="default"/>
      </w:rPr>
    </w:lvl>
    <w:lvl w:ilvl="1" w:tplc="8EE2144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60643B"/>
    <w:multiLevelType w:val="hybridMultilevel"/>
    <w:tmpl w:val="E6C8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873C07"/>
    <w:multiLevelType w:val="hybridMultilevel"/>
    <w:tmpl w:val="4D201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467CDB"/>
    <w:multiLevelType w:val="hybridMultilevel"/>
    <w:tmpl w:val="EA44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E326A0"/>
    <w:multiLevelType w:val="hybridMultilevel"/>
    <w:tmpl w:val="25BE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466E1F"/>
    <w:multiLevelType w:val="hybridMultilevel"/>
    <w:tmpl w:val="ED823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B0425C"/>
    <w:multiLevelType w:val="hybridMultilevel"/>
    <w:tmpl w:val="92E8510E"/>
    <w:lvl w:ilvl="0" w:tplc="A4ACE55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
  </w:num>
  <w:num w:numId="4">
    <w:abstractNumId w:val="2"/>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D08"/>
    <w:rsid w:val="000205EF"/>
    <w:rsid w:val="00021378"/>
    <w:rsid w:val="00026D30"/>
    <w:rsid w:val="00030D4D"/>
    <w:rsid w:val="000314C5"/>
    <w:rsid w:val="00033B2B"/>
    <w:rsid w:val="00073BE1"/>
    <w:rsid w:val="00075300"/>
    <w:rsid w:val="000A7E55"/>
    <w:rsid w:val="000E21FF"/>
    <w:rsid w:val="001269A0"/>
    <w:rsid w:val="00142C12"/>
    <w:rsid w:val="00151AE4"/>
    <w:rsid w:val="00152E5B"/>
    <w:rsid w:val="0016249B"/>
    <w:rsid w:val="00164C95"/>
    <w:rsid w:val="0016704E"/>
    <w:rsid w:val="00172FE0"/>
    <w:rsid w:val="0017412B"/>
    <w:rsid w:val="00174718"/>
    <w:rsid w:val="00183F5F"/>
    <w:rsid w:val="00185693"/>
    <w:rsid w:val="00186ACC"/>
    <w:rsid w:val="001947E2"/>
    <w:rsid w:val="001A4F7F"/>
    <w:rsid w:val="001B3BB9"/>
    <w:rsid w:val="001C0B8B"/>
    <w:rsid w:val="001E1CFD"/>
    <w:rsid w:val="001E7D08"/>
    <w:rsid w:val="00213458"/>
    <w:rsid w:val="0021753A"/>
    <w:rsid w:val="00227FB2"/>
    <w:rsid w:val="002371B8"/>
    <w:rsid w:val="00242283"/>
    <w:rsid w:val="00295D0B"/>
    <w:rsid w:val="002A120E"/>
    <w:rsid w:val="002A19B6"/>
    <w:rsid w:val="002B0CD5"/>
    <w:rsid w:val="002B5E30"/>
    <w:rsid w:val="002D6081"/>
    <w:rsid w:val="002F36D4"/>
    <w:rsid w:val="002F54C0"/>
    <w:rsid w:val="00305F78"/>
    <w:rsid w:val="00315512"/>
    <w:rsid w:val="00334522"/>
    <w:rsid w:val="00346AF3"/>
    <w:rsid w:val="003515D7"/>
    <w:rsid w:val="00376C81"/>
    <w:rsid w:val="00376E34"/>
    <w:rsid w:val="003D1E43"/>
    <w:rsid w:val="003E71ED"/>
    <w:rsid w:val="003E7B08"/>
    <w:rsid w:val="003F5CD1"/>
    <w:rsid w:val="00424AF9"/>
    <w:rsid w:val="0043216F"/>
    <w:rsid w:val="004353F0"/>
    <w:rsid w:val="00455742"/>
    <w:rsid w:val="00462725"/>
    <w:rsid w:val="00474573"/>
    <w:rsid w:val="00482F98"/>
    <w:rsid w:val="0049288E"/>
    <w:rsid w:val="00493CA2"/>
    <w:rsid w:val="004B0450"/>
    <w:rsid w:val="004B3A07"/>
    <w:rsid w:val="004B3C7C"/>
    <w:rsid w:val="004B7C0F"/>
    <w:rsid w:val="004C72BB"/>
    <w:rsid w:val="004D02D9"/>
    <w:rsid w:val="004E33E6"/>
    <w:rsid w:val="004E7D4E"/>
    <w:rsid w:val="0050484D"/>
    <w:rsid w:val="00513894"/>
    <w:rsid w:val="00516CC0"/>
    <w:rsid w:val="0052014D"/>
    <w:rsid w:val="00534909"/>
    <w:rsid w:val="00537DEC"/>
    <w:rsid w:val="00557260"/>
    <w:rsid w:val="00565E80"/>
    <w:rsid w:val="00584B60"/>
    <w:rsid w:val="00597FB7"/>
    <w:rsid w:val="005A372F"/>
    <w:rsid w:val="005A767C"/>
    <w:rsid w:val="005B2633"/>
    <w:rsid w:val="005D1816"/>
    <w:rsid w:val="005D4F3B"/>
    <w:rsid w:val="005D554B"/>
    <w:rsid w:val="005E3CB3"/>
    <w:rsid w:val="00607AC8"/>
    <w:rsid w:val="00612266"/>
    <w:rsid w:val="00613FE6"/>
    <w:rsid w:val="006146DD"/>
    <w:rsid w:val="00630DB4"/>
    <w:rsid w:val="0063678B"/>
    <w:rsid w:val="00671707"/>
    <w:rsid w:val="00671BA8"/>
    <w:rsid w:val="006915AF"/>
    <w:rsid w:val="006943A1"/>
    <w:rsid w:val="006967EE"/>
    <w:rsid w:val="006B148A"/>
    <w:rsid w:val="006C7E6A"/>
    <w:rsid w:val="006D1C07"/>
    <w:rsid w:val="006D673C"/>
    <w:rsid w:val="00727438"/>
    <w:rsid w:val="00746F48"/>
    <w:rsid w:val="007515B6"/>
    <w:rsid w:val="00752728"/>
    <w:rsid w:val="007536CE"/>
    <w:rsid w:val="0076290E"/>
    <w:rsid w:val="00764D5A"/>
    <w:rsid w:val="007828EE"/>
    <w:rsid w:val="007C7AF9"/>
    <w:rsid w:val="007E18CC"/>
    <w:rsid w:val="007F1EB9"/>
    <w:rsid w:val="00814C7F"/>
    <w:rsid w:val="00821414"/>
    <w:rsid w:val="00822D9F"/>
    <w:rsid w:val="008248D4"/>
    <w:rsid w:val="008311BF"/>
    <w:rsid w:val="00847170"/>
    <w:rsid w:val="00851F15"/>
    <w:rsid w:val="008560FF"/>
    <w:rsid w:val="008649F4"/>
    <w:rsid w:val="008663D5"/>
    <w:rsid w:val="00874982"/>
    <w:rsid w:val="00880A34"/>
    <w:rsid w:val="008A7F26"/>
    <w:rsid w:val="008B6E75"/>
    <w:rsid w:val="008C0CB0"/>
    <w:rsid w:val="008C41F1"/>
    <w:rsid w:val="008D0732"/>
    <w:rsid w:val="008F146F"/>
    <w:rsid w:val="008F7DBD"/>
    <w:rsid w:val="00900372"/>
    <w:rsid w:val="009052E5"/>
    <w:rsid w:val="009162F7"/>
    <w:rsid w:val="009226EA"/>
    <w:rsid w:val="00923EF3"/>
    <w:rsid w:val="009258B7"/>
    <w:rsid w:val="0092595C"/>
    <w:rsid w:val="0092746C"/>
    <w:rsid w:val="0094265D"/>
    <w:rsid w:val="0094403C"/>
    <w:rsid w:val="0094746B"/>
    <w:rsid w:val="00952CFC"/>
    <w:rsid w:val="00980B67"/>
    <w:rsid w:val="0098545D"/>
    <w:rsid w:val="00992E22"/>
    <w:rsid w:val="009A6295"/>
    <w:rsid w:val="009A673C"/>
    <w:rsid w:val="009B57EE"/>
    <w:rsid w:val="009B57F1"/>
    <w:rsid w:val="009C36EB"/>
    <w:rsid w:val="009C489D"/>
    <w:rsid w:val="009D3AC5"/>
    <w:rsid w:val="009E4E60"/>
    <w:rsid w:val="00A00879"/>
    <w:rsid w:val="00A145FD"/>
    <w:rsid w:val="00A44C34"/>
    <w:rsid w:val="00A471B1"/>
    <w:rsid w:val="00A503FF"/>
    <w:rsid w:val="00A51601"/>
    <w:rsid w:val="00A51F83"/>
    <w:rsid w:val="00A72625"/>
    <w:rsid w:val="00A84E1D"/>
    <w:rsid w:val="00A93FCB"/>
    <w:rsid w:val="00AC2CB9"/>
    <w:rsid w:val="00AC6337"/>
    <w:rsid w:val="00AC664C"/>
    <w:rsid w:val="00AD6080"/>
    <w:rsid w:val="00AD7689"/>
    <w:rsid w:val="00AF2CF4"/>
    <w:rsid w:val="00AF6A8F"/>
    <w:rsid w:val="00B0192D"/>
    <w:rsid w:val="00B07625"/>
    <w:rsid w:val="00B25F48"/>
    <w:rsid w:val="00B34210"/>
    <w:rsid w:val="00B342FD"/>
    <w:rsid w:val="00B36A04"/>
    <w:rsid w:val="00B4029E"/>
    <w:rsid w:val="00B434A5"/>
    <w:rsid w:val="00B44583"/>
    <w:rsid w:val="00B5060B"/>
    <w:rsid w:val="00B54741"/>
    <w:rsid w:val="00B5553A"/>
    <w:rsid w:val="00B57557"/>
    <w:rsid w:val="00B832B5"/>
    <w:rsid w:val="00BA0C65"/>
    <w:rsid w:val="00BA10B8"/>
    <w:rsid w:val="00BB077C"/>
    <w:rsid w:val="00BB0E3E"/>
    <w:rsid w:val="00BB4E68"/>
    <w:rsid w:val="00BC5FAD"/>
    <w:rsid w:val="00BE4CD7"/>
    <w:rsid w:val="00BF37A9"/>
    <w:rsid w:val="00BF687C"/>
    <w:rsid w:val="00BF6ED2"/>
    <w:rsid w:val="00BF7046"/>
    <w:rsid w:val="00C02AF8"/>
    <w:rsid w:val="00C12802"/>
    <w:rsid w:val="00C13E54"/>
    <w:rsid w:val="00C27D3A"/>
    <w:rsid w:val="00C32FA6"/>
    <w:rsid w:val="00C423EC"/>
    <w:rsid w:val="00C43A07"/>
    <w:rsid w:val="00C51B7A"/>
    <w:rsid w:val="00C66102"/>
    <w:rsid w:val="00C67ED1"/>
    <w:rsid w:val="00C718D8"/>
    <w:rsid w:val="00C74DD9"/>
    <w:rsid w:val="00C80A27"/>
    <w:rsid w:val="00C92E6D"/>
    <w:rsid w:val="00CA096F"/>
    <w:rsid w:val="00CA6364"/>
    <w:rsid w:val="00CB3AA2"/>
    <w:rsid w:val="00CC1BCB"/>
    <w:rsid w:val="00CC25C0"/>
    <w:rsid w:val="00CE1C1E"/>
    <w:rsid w:val="00CF66EA"/>
    <w:rsid w:val="00D56256"/>
    <w:rsid w:val="00D5749A"/>
    <w:rsid w:val="00D60121"/>
    <w:rsid w:val="00D649CE"/>
    <w:rsid w:val="00D7363B"/>
    <w:rsid w:val="00D8019C"/>
    <w:rsid w:val="00D80F1F"/>
    <w:rsid w:val="00D87477"/>
    <w:rsid w:val="00D962F3"/>
    <w:rsid w:val="00DA120D"/>
    <w:rsid w:val="00DA274E"/>
    <w:rsid w:val="00DA50BE"/>
    <w:rsid w:val="00DB7574"/>
    <w:rsid w:val="00DC00BA"/>
    <w:rsid w:val="00DE1767"/>
    <w:rsid w:val="00DE3ADF"/>
    <w:rsid w:val="00E10BB2"/>
    <w:rsid w:val="00E13318"/>
    <w:rsid w:val="00E20972"/>
    <w:rsid w:val="00E21C7F"/>
    <w:rsid w:val="00E337C5"/>
    <w:rsid w:val="00E35127"/>
    <w:rsid w:val="00E4319F"/>
    <w:rsid w:val="00E46F06"/>
    <w:rsid w:val="00E510F3"/>
    <w:rsid w:val="00E54586"/>
    <w:rsid w:val="00E64C48"/>
    <w:rsid w:val="00E66AD8"/>
    <w:rsid w:val="00E72955"/>
    <w:rsid w:val="00E908DE"/>
    <w:rsid w:val="00EA6625"/>
    <w:rsid w:val="00EB2FFF"/>
    <w:rsid w:val="00EC3437"/>
    <w:rsid w:val="00EE2FDC"/>
    <w:rsid w:val="00EE6389"/>
    <w:rsid w:val="00EF4105"/>
    <w:rsid w:val="00F13441"/>
    <w:rsid w:val="00F26032"/>
    <w:rsid w:val="00F2762A"/>
    <w:rsid w:val="00F36BDC"/>
    <w:rsid w:val="00F46A53"/>
    <w:rsid w:val="00F55822"/>
    <w:rsid w:val="00F6465B"/>
    <w:rsid w:val="00F64A24"/>
    <w:rsid w:val="00F8503A"/>
    <w:rsid w:val="00F870B9"/>
    <w:rsid w:val="00F920F0"/>
    <w:rsid w:val="00FA00CD"/>
    <w:rsid w:val="00FB46EE"/>
    <w:rsid w:val="00FC08EB"/>
    <w:rsid w:val="00FE03B9"/>
    <w:rsid w:val="00FF21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5E7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3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7C5"/>
    <w:pPr>
      <w:ind w:left="720"/>
      <w:contextualSpacing/>
    </w:pPr>
  </w:style>
  <w:style w:type="character" w:styleId="Hyperlink">
    <w:name w:val="Hyperlink"/>
    <w:basedOn w:val="DefaultParagraphFont"/>
    <w:uiPriority w:val="99"/>
    <w:unhideWhenUsed/>
    <w:rsid w:val="009052E5"/>
    <w:rPr>
      <w:color w:val="0000FF" w:themeColor="hyperlink"/>
      <w:u w:val="single"/>
    </w:rPr>
  </w:style>
  <w:style w:type="character" w:styleId="Emphasis">
    <w:name w:val="Emphasis"/>
    <w:basedOn w:val="DefaultParagraphFont"/>
    <w:uiPriority w:val="20"/>
    <w:qFormat/>
    <w:rsid w:val="009052E5"/>
    <w:rPr>
      <w:i/>
      <w:iCs/>
    </w:rPr>
  </w:style>
  <w:style w:type="paragraph" w:customStyle="1" w:styleId="Default">
    <w:name w:val="Default"/>
    <w:rsid w:val="008560FF"/>
    <w:pPr>
      <w:autoSpaceDE w:val="0"/>
      <w:autoSpaceDN w:val="0"/>
      <w:adjustRightInd w:val="0"/>
    </w:pPr>
    <w:rPr>
      <w:rFonts w:ascii="Verdana" w:hAnsi="Verdana" w:cs="Verdana"/>
    </w:rPr>
  </w:style>
  <w:style w:type="paragraph" w:styleId="Header">
    <w:name w:val="header"/>
    <w:basedOn w:val="Normal"/>
    <w:link w:val="HeaderChar"/>
    <w:uiPriority w:val="99"/>
    <w:semiHidden/>
    <w:unhideWhenUsed/>
    <w:rsid w:val="00AD6080"/>
    <w:pPr>
      <w:tabs>
        <w:tab w:val="center" w:pos="4680"/>
        <w:tab w:val="right" w:pos="9360"/>
      </w:tabs>
    </w:pPr>
  </w:style>
  <w:style w:type="character" w:customStyle="1" w:styleId="HeaderChar">
    <w:name w:val="Header Char"/>
    <w:basedOn w:val="DefaultParagraphFont"/>
    <w:link w:val="Header"/>
    <w:uiPriority w:val="99"/>
    <w:semiHidden/>
    <w:rsid w:val="00AD6080"/>
  </w:style>
  <w:style w:type="paragraph" w:styleId="Footer">
    <w:name w:val="footer"/>
    <w:basedOn w:val="Normal"/>
    <w:link w:val="FooterChar"/>
    <w:uiPriority w:val="99"/>
    <w:unhideWhenUsed/>
    <w:rsid w:val="00AD6080"/>
    <w:pPr>
      <w:tabs>
        <w:tab w:val="center" w:pos="4680"/>
        <w:tab w:val="right" w:pos="9360"/>
      </w:tabs>
    </w:pPr>
  </w:style>
  <w:style w:type="character" w:customStyle="1" w:styleId="FooterChar">
    <w:name w:val="Footer Char"/>
    <w:basedOn w:val="DefaultParagraphFont"/>
    <w:link w:val="Footer"/>
    <w:uiPriority w:val="99"/>
    <w:rsid w:val="00AD6080"/>
  </w:style>
  <w:style w:type="paragraph" w:styleId="BalloonText">
    <w:name w:val="Balloon Text"/>
    <w:basedOn w:val="Normal"/>
    <w:link w:val="BalloonTextChar"/>
    <w:uiPriority w:val="99"/>
    <w:semiHidden/>
    <w:unhideWhenUsed/>
    <w:rsid w:val="00952CFC"/>
    <w:rPr>
      <w:rFonts w:ascii="Tahoma" w:hAnsi="Tahoma" w:cs="Tahoma"/>
      <w:sz w:val="16"/>
      <w:szCs w:val="16"/>
    </w:rPr>
  </w:style>
  <w:style w:type="character" w:customStyle="1" w:styleId="BalloonTextChar">
    <w:name w:val="Balloon Text Char"/>
    <w:basedOn w:val="DefaultParagraphFont"/>
    <w:link w:val="BalloonText"/>
    <w:uiPriority w:val="99"/>
    <w:semiHidden/>
    <w:rsid w:val="00952CFC"/>
    <w:rPr>
      <w:rFonts w:ascii="Tahoma" w:hAnsi="Tahoma" w:cs="Tahoma"/>
      <w:sz w:val="16"/>
      <w:szCs w:val="16"/>
    </w:rPr>
  </w:style>
  <w:style w:type="paragraph" w:styleId="PlainText">
    <w:name w:val="Plain Text"/>
    <w:basedOn w:val="Normal"/>
    <w:link w:val="PlainTextChar"/>
    <w:uiPriority w:val="99"/>
    <w:semiHidden/>
    <w:unhideWhenUsed/>
    <w:rsid w:val="00DA120D"/>
    <w:rPr>
      <w:rFonts w:cstheme="minorBidi"/>
      <w:color w:val="auto"/>
      <w:szCs w:val="21"/>
    </w:rPr>
  </w:style>
  <w:style w:type="character" w:customStyle="1" w:styleId="PlainTextChar">
    <w:name w:val="Plain Text Char"/>
    <w:basedOn w:val="DefaultParagraphFont"/>
    <w:link w:val="PlainText"/>
    <w:uiPriority w:val="99"/>
    <w:semiHidden/>
    <w:rsid w:val="00DA120D"/>
    <w:rPr>
      <w:rFonts w:cstheme="minorBidi"/>
      <w:color w:val="auto"/>
      <w:szCs w:val="21"/>
    </w:rPr>
  </w:style>
  <w:style w:type="table" w:styleId="TableGrid">
    <w:name w:val="Table Grid"/>
    <w:basedOn w:val="TableNormal"/>
    <w:uiPriority w:val="59"/>
    <w:rsid w:val="00F870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72FE0"/>
    <w:rPr>
      <w:sz w:val="16"/>
      <w:szCs w:val="16"/>
    </w:rPr>
  </w:style>
  <w:style w:type="paragraph" w:styleId="CommentText">
    <w:name w:val="annotation text"/>
    <w:basedOn w:val="Normal"/>
    <w:link w:val="CommentTextChar"/>
    <w:uiPriority w:val="99"/>
    <w:semiHidden/>
    <w:unhideWhenUsed/>
    <w:rsid w:val="00172FE0"/>
    <w:rPr>
      <w:sz w:val="20"/>
      <w:szCs w:val="20"/>
    </w:rPr>
  </w:style>
  <w:style w:type="character" w:customStyle="1" w:styleId="CommentTextChar">
    <w:name w:val="Comment Text Char"/>
    <w:basedOn w:val="DefaultParagraphFont"/>
    <w:link w:val="CommentText"/>
    <w:uiPriority w:val="99"/>
    <w:semiHidden/>
    <w:rsid w:val="00172FE0"/>
    <w:rPr>
      <w:sz w:val="20"/>
      <w:szCs w:val="20"/>
    </w:rPr>
  </w:style>
  <w:style w:type="paragraph" w:styleId="CommentSubject">
    <w:name w:val="annotation subject"/>
    <w:basedOn w:val="CommentText"/>
    <w:next w:val="CommentText"/>
    <w:link w:val="CommentSubjectChar"/>
    <w:uiPriority w:val="99"/>
    <w:semiHidden/>
    <w:unhideWhenUsed/>
    <w:rsid w:val="00172FE0"/>
    <w:rPr>
      <w:b/>
      <w:bCs/>
    </w:rPr>
  </w:style>
  <w:style w:type="character" w:customStyle="1" w:styleId="CommentSubjectChar">
    <w:name w:val="Comment Subject Char"/>
    <w:basedOn w:val="CommentTextChar"/>
    <w:link w:val="CommentSubject"/>
    <w:uiPriority w:val="99"/>
    <w:semiHidden/>
    <w:rsid w:val="00172FE0"/>
    <w:rPr>
      <w:b/>
      <w:bCs/>
      <w:sz w:val="20"/>
      <w:szCs w:val="20"/>
    </w:rPr>
  </w:style>
  <w:style w:type="paragraph" w:styleId="Revision">
    <w:name w:val="Revision"/>
    <w:hidden/>
    <w:uiPriority w:val="99"/>
    <w:semiHidden/>
    <w:rsid w:val="00172FE0"/>
  </w:style>
  <w:style w:type="paragraph" w:styleId="NormalWeb">
    <w:name w:val="Normal (Web)"/>
    <w:basedOn w:val="Normal"/>
    <w:uiPriority w:val="99"/>
    <w:semiHidden/>
    <w:unhideWhenUsed/>
    <w:rsid w:val="00B44583"/>
    <w:pPr>
      <w:spacing w:before="100" w:beforeAutospacing="1" w:after="100" w:afterAutospacing="1"/>
    </w:pPr>
    <w:rPr>
      <w:rFonts w:eastAsia="Times New Roman"/>
      <w:color w:val="auto"/>
    </w:rPr>
  </w:style>
  <w:style w:type="paragraph" w:customStyle="1" w:styleId="body-paragraph">
    <w:name w:val="body-paragraph"/>
    <w:basedOn w:val="Normal"/>
    <w:rsid w:val="006D673C"/>
    <w:pPr>
      <w:spacing w:before="100" w:beforeAutospacing="1" w:after="100" w:afterAutospacing="1"/>
    </w:pPr>
    <w:rPr>
      <w:rFonts w:eastAsia="Times New Roman"/>
      <w:color w:val="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3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7C5"/>
    <w:pPr>
      <w:ind w:left="720"/>
      <w:contextualSpacing/>
    </w:pPr>
  </w:style>
  <w:style w:type="character" w:styleId="Hyperlink">
    <w:name w:val="Hyperlink"/>
    <w:basedOn w:val="DefaultParagraphFont"/>
    <w:uiPriority w:val="99"/>
    <w:unhideWhenUsed/>
    <w:rsid w:val="009052E5"/>
    <w:rPr>
      <w:color w:val="0000FF" w:themeColor="hyperlink"/>
      <w:u w:val="single"/>
    </w:rPr>
  </w:style>
  <w:style w:type="character" w:styleId="Emphasis">
    <w:name w:val="Emphasis"/>
    <w:basedOn w:val="DefaultParagraphFont"/>
    <w:uiPriority w:val="20"/>
    <w:qFormat/>
    <w:rsid w:val="009052E5"/>
    <w:rPr>
      <w:i/>
      <w:iCs/>
    </w:rPr>
  </w:style>
  <w:style w:type="paragraph" w:customStyle="1" w:styleId="Default">
    <w:name w:val="Default"/>
    <w:rsid w:val="008560FF"/>
    <w:pPr>
      <w:autoSpaceDE w:val="0"/>
      <w:autoSpaceDN w:val="0"/>
      <w:adjustRightInd w:val="0"/>
    </w:pPr>
    <w:rPr>
      <w:rFonts w:ascii="Verdana" w:hAnsi="Verdana" w:cs="Verdana"/>
    </w:rPr>
  </w:style>
  <w:style w:type="paragraph" w:styleId="Header">
    <w:name w:val="header"/>
    <w:basedOn w:val="Normal"/>
    <w:link w:val="HeaderChar"/>
    <w:uiPriority w:val="99"/>
    <w:semiHidden/>
    <w:unhideWhenUsed/>
    <w:rsid w:val="00AD6080"/>
    <w:pPr>
      <w:tabs>
        <w:tab w:val="center" w:pos="4680"/>
        <w:tab w:val="right" w:pos="9360"/>
      </w:tabs>
    </w:pPr>
  </w:style>
  <w:style w:type="character" w:customStyle="1" w:styleId="HeaderChar">
    <w:name w:val="Header Char"/>
    <w:basedOn w:val="DefaultParagraphFont"/>
    <w:link w:val="Header"/>
    <w:uiPriority w:val="99"/>
    <w:semiHidden/>
    <w:rsid w:val="00AD6080"/>
  </w:style>
  <w:style w:type="paragraph" w:styleId="Footer">
    <w:name w:val="footer"/>
    <w:basedOn w:val="Normal"/>
    <w:link w:val="FooterChar"/>
    <w:uiPriority w:val="99"/>
    <w:unhideWhenUsed/>
    <w:rsid w:val="00AD6080"/>
    <w:pPr>
      <w:tabs>
        <w:tab w:val="center" w:pos="4680"/>
        <w:tab w:val="right" w:pos="9360"/>
      </w:tabs>
    </w:pPr>
  </w:style>
  <w:style w:type="character" w:customStyle="1" w:styleId="FooterChar">
    <w:name w:val="Footer Char"/>
    <w:basedOn w:val="DefaultParagraphFont"/>
    <w:link w:val="Footer"/>
    <w:uiPriority w:val="99"/>
    <w:rsid w:val="00AD6080"/>
  </w:style>
  <w:style w:type="paragraph" w:styleId="BalloonText">
    <w:name w:val="Balloon Text"/>
    <w:basedOn w:val="Normal"/>
    <w:link w:val="BalloonTextChar"/>
    <w:uiPriority w:val="99"/>
    <w:semiHidden/>
    <w:unhideWhenUsed/>
    <w:rsid w:val="00952CFC"/>
    <w:rPr>
      <w:rFonts w:ascii="Tahoma" w:hAnsi="Tahoma" w:cs="Tahoma"/>
      <w:sz w:val="16"/>
      <w:szCs w:val="16"/>
    </w:rPr>
  </w:style>
  <w:style w:type="character" w:customStyle="1" w:styleId="BalloonTextChar">
    <w:name w:val="Balloon Text Char"/>
    <w:basedOn w:val="DefaultParagraphFont"/>
    <w:link w:val="BalloonText"/>
    <w:uiPriority w:val="99"/>
    <w:semiHidden/>
    <w:rsid w:val="00952CFC"/>
    <w:rPr>
      <w:rFonts w:ascii="Tahoma" w:hAnsi="Tahoma" w:cs="Tahoma"/>
      <w:sz w:val="16"/>
      <w:szCs w:val="16"/>
    </w:rPr>
  </w:style>
  <w:style w:type="paragraph" w:styleId="PlainText">
    <w:name w:val="Plain Text"/>
    <w:basedOn w:val="Normal"/>
    <w:link w:val="PlainTextChar"/>
    <w:uiPriority w:val="99"/>
    <w:semiHidden/>
    <w:unhideWhenUsed/>
    <w:rsid w:val="00DA120D"/>
    <w:rPr>
      <w:rFonts w:cstheme="minorBidi"/>
      <w:color w:val="auto"/>
      <w:szCs w:val="21"/>
    </w:rPr>
  </w:style>
  <w:style w:type="character" w:customStyle="1" w:styleId="PlainTextChar">
    <w:name w:val="Plain Text Char"/>
    <w:basedOn w:val="DefaultParagraphFont"/>
    <w:link w:val="PlainText"/>
    <w:uiPriority w:val="99"/>
    <w:semiHidden/>
    <w:rsid w:val="00DA120D"/>
    <w:rPr>
      <w:rFonts w:cstheme="minorBidi"/>
      <w:color w:val="auto"/>
      <w:szCs w:val="21"/>
    </w:rPr>
  </w:style>
  <w:style w:type="table" w:styleId="TableGrid">
    <w:name w:val="Table Grid"/>
    <w:basedOn w:val="TableNormal"/>
    <w:uiPriority w:val="59"/>
    <w:rsid w:val="00F870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72FE0"/>
    <w:rPr>
      <w:sz w:val="16"/>
      <w:szCs w:val="16"/>
    </w:rPr>
  </w:style>
  <w:style w:type="paragraph" w:styleId="CommentText">
    <w:name w:val="annotation text"/>
    <w:basedOn w:val="Normal"/>
    <w:link w:val="CommentTextChar"/>
    <w:uiPriority w:val="99"/>
    <w:semiHidden/>
    <w:unhideWhenUsed/>
    <w:rsid w:val="00172FE0"/>
    <w:rPr>
      <w:sz w:val="20"/>
      <w:szCs w:val="20"/>
    </w:rPr>
  </w:style>
  <w:style w:type="character" w:customStyle="1" w:styleId="CommentTextChar">
    <w:name w:val="Comment Text Char"/>
    <w:basedOn w:val="DefaultParagraphFont"/>
    <w:link w:val="CommentText"/>
    <w:uiPriority w:val="99"/>
    <w:semiHidden/>
    <w:rsid w:val="00172FE0"/>
    <w:rPr>
      <w:sz w:val="20"/>
      <w:szCs w:val="20"/>
    </w:rPr>
  </w:style>
  <w:style w:type="paragraph" w:styleId="CommentSubject">
    <w:name w:val="annotation subject"/>
    <w:basedOn w:val="CommentText"/>
    <w:next w:val="CommentText"/>
    <w:link w:val="CommentSubjectChar"/>
    <w:uiPriority w:val="99"/>
    <w:semiHidden/>
    <w:unhideWhenUsed/>
    <w:rsid w:val="00172FE0"/>
    <w:rPr>
      <w:b/>
      <w:bCs/>
    </w:rPr>
  </w:style>
  <w:style w:type="character" w:customStyle="1" w:styleId="CommentSubjectChar">
    <w:name w:val="Comment Subject Char"/>
    <w:basedOn w:val="CommentTextChar"/>
    <w:link w:val="CommentSubject"/>
    <w:uiPriority w:val="99"/>
    <w:semiHidden/>
    <w:rsid w:val="00172FE0"/>
    <w:rPr>
      <w:b/>
      <w:bCs/>
      <w:sz w:val="20"/>
      <w:szCs w:val="20"/>
    </w:rPr>
  </w:style>
  <w:style w:type="paragraph" w:styleId="Revision">
    <w:name w:val="Revision"/>
    <w:hidden/>
    <w:uiPriority w:val="99"/>
    <w:semiHidden/>
    <w:rsid w:val="00172FE0"/>
  </w:style>
  <w:style w:type="paragraph" w:styleId="NormalWeb">
    <w:name w:val="Normal (Web)"/>
    <w:basedOn w:val="Normal"/>
    <w:uiPriority w:val="99"/>
    <w:semiHidden/>
    <w:unhideWhenUsed/>
    <w:rsid w:val="00B44583"/>
    <w:pPr>
      <w:spacing w:before="100" w:beforeAutospacing="1" w:after="100" w:afterAutospacing="1"/>
    </w:pPr>
    <w:rPr>
      <w:rFonts w:eastAsia="Times New Roman"/>
      <w:color w:val="auto"/>
    </w:rPr>
  </w:style>
  <w:style w:type="paragraph" w:customStyle="1" w:styleId="body-paragraph">
    <w:name w:val="body-paragraph"/>
    <w:basedOn w:val="Normal"/>
    <w:rsid w:val="006D673C"/>
    <w:pPr>
      <w:spacing w:before="100" w:beforeAutospacing="1" w:after="100" w:afterAutospacing="1"/>
    </w:pPr>
    <w:rPr>
      <w:rFonts w:eastAsia="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8866918">
      <w:bodyDiv w:val="1"/>
      <w:marLeft w:val="0"/>
      <w:marRight w:val="0"/>
      <w:marTop w:val="0"/>
      <w:marBottom w:val="0"/>
      <w:divBdr>
        <w:top w:val="none" w:sz="0" w:space="0" w:color="auto"/>
        <w:left w:val="none" w:sz="0" w:space="0" w:color="auto"/>
        <w:bottom w:val="none" w:sz="0" w:space="0" w:color="auto"/>
        <w:right w:val="none" w:sz="0" w:space="0" w:color="auto"/>
      </w:divBdr>
    </w:div>
    <w:div w:id="1607733299">
      <w:bodyDiv w:val="1"/>
      <w:marLeft w:val="0"/>
      <w:marRight w:val="0"/>
      <w:marTop w:val="0"/>
      <w:marBottom w:val="0"/>
      <w:divBdr>
        <w:top w:val="none" w:sz="0" w:space="0" w:color="auto"/>
        <w:left w:val="none" w:sz="0" w:space="0" w:color="auto"/>
        <w:bottom w:val="none" w:sz="0" w:space="0" w:color="auto"/>
        <w:right w:val="none" w:sz="0" w:space="0" w:color="auto"/>
      </w:divBdr>
      <w:divsChild>
        <w:div w:id="1992244904">
          <w:marLeft w:val="0"/>
          <w:marRight w:val="0"/>
          <w:marTop w:val="0"/>
          <w:marBottom w:val="0"/>
          <w:divBdr>
            <w:top w:val="none" w:sz="0" w:space="0" w:color="auto"/>
            <w:left w:val="none" w:sz="0" w:space="0" w:color="auto"/>
            <w:bottom w:val="none" w:sz="0" w:space="0" w:color="auto"/>
            <w:right w:val="none" w:sz="0" w:space="0" w:color="auto"/>
          </w:divBdr>
          <w:divsChild>
            <w:div w:id="123893154">
              <w:marLeft w:val="0"/>
              <w:marRight w:val="0"/>
              <w:marTop w:val="0"/>
              <w:marBottom w:val="0"/>
              <w:divBdr>
                <w:top w:val="none" w:sz="0" w:space="0" w:color="auto"/>
                <w:left w:val="none" w:sz="0" w:space="0" w:color="auto"/>
                <w:bottom w:val="none" w:sz="0" w:space="0" w:color="auto"/>
                <w:right w:val="none" w:sz="0" w:space="0" w:color="auto"/>
              </w:divBdr>
              <w:divsChild>
                <w:div w:id="377628661">
                  <w:marLeft w:val="0"/>
                  <w:marRight w:val="0"/>
                  <w:marTop w:val="0"/>
                  <w:marBottom w:val="0"/>
                  <w:divBdr>
                    <w:top w:val="none" w:sz="0" w:space="0" w:color="auto"/>
                    <w:left w:val="none" w:sz="0" w:space="0" w:color="auto"/>
                    <w:bottom w:val="none" w:sz="0" w:space="0" w:color="auto"/>
                    <w:right w:val="none" w:sz="0" w:space="0" w:color="auto"/>
                  </w:divBdr>
                  <w:divsChild>
                    <w:div w:id="958536273">
                      <w:marLeft w:val="0"/>
                      <w:marRight w:val="0"/>
                      <w:marTop w:val="0"/>
                      <w:marBottom w:val="0"/>
                      <w:divBdr>
                        <w:top w:val="single" w:sz="18" w:space="0" w:color="E8E8E8"/>
                        <w:left w:val="none" w:sz="0" w:space="0" w:color="auto"/>
                        <w:bottom w:val="none" w:sz="0" w:space="0" w:color="auto"/>
                        <w:right w:val="none" w:sz="0" w:space="0" w:color="auto"/>
                      </w:divBdr>
                      <w:divsChild>
                        <w:div w:id="421031064">
                          <w:marLeft w:val="0"/>
                          <w:marRight w:val="3767"/>
                          <w:marTop w:val="0"/>
                          <w:marBottom w:val="0"/>
                          <w:divBdr>
                            <w:top w:val="none" w:sz="0" w:space="0" w:color="auto"/>
                            <w:left w:val="none" w:sz="0" w:space="0" w:color="auto"/>
                            <w:bottom w:val="none" w:sz="0" w:space="0" w:color="auto"/>
                            <w:right w:val="none" w:sz="0" w:space="0" w:color="auto"/>
                          </w:divBdr>
                          <w:divsChild>
                            <w:div w:id="616376857">
                              <w:marLeft w:val="0"/>
                              <w:marRight w:val="0"/>
                              <w:marTop w:val="0"/>
                              <w:marBottom w:val="0"/>
                              <w:divBdr>
                                <w:top w:val="single" w:sz="4" w:space="0" w:color="9B9B9B"/>
                                <w:left w:val="none" w:sz="0" w:space="0" w:color="auto"/>
                                <w:bottom w:val="none" w:sz="0" w:space="0" w:color="auto"/>
                                <w:right w:val="none" w:sz="0" w:space="0" w:color="auto"/>
                              </w:divBdr>
                              <w:divsChild>
                                <w:div w:id="798108239">
                                  <w:marLeft w:val="0"/>
                                  <w:marRight w:val="0"/>
                                  <w:marTop w:val="0"/>
                                  <w:marBottom w:val="0"/>
                                  <w:divBdr>
                                    <w:top w:val="single" w:sz="4" w:space="0" w:color="FFFFFF"/>
                                    <w:left w:val="none" w:sz="0" w:space="0" w:color="auto"/>
                                    <w:bottom w:val="none" w:sz="0" w:space="0" w:color="auto"/>
                                    <w:right w:val="none" w:sz="0" w:space="0" w:color="auto"/>
                                  </w:divBdr>
                                  <w:divsChild>
                                    <w:div w:id="603923823">
                                      <w:marLeft w:val="0"/>
                                      <w:marRight w:val="0"/>
                                      <w:marTop w:val="0"/>
                                      <w:marBottom w:val="0"/>
                                      <w:divBdr>
                                        <w:top w:val="none" w:sz="0" w:space="0" w:color="auto"/>
                                        <w:left w:val="none" w:sz="0" w:space="0" w:color="auto"/>
                                        <w:bottom w:val="none" w:sz="0" w:space="0" w:color="auto"/>
                                        <w:right w:val="none" w:sz="0" w:space="0" w:color="auto"/>
                                      </w:divBdr>
                                      <w:divsChild>
                                        <w:div w:id="844441513">
                                          <w:marLeft w:val="0"/>
                                          <w:marRight w:val="0"/>
                                          <w:marTop w:val="0"/>
                                          <w:marBottom w:val="0"/>
                                          <w:divBdr>
                                            <w:top w:val="none" w:sz="0" w:space="0" w:color="auto"/>
                                            <w:left w:val="none" w:sz="0" w:space="0" w:color="auto"/>
                                            <w:bottom w:val="none" w:sz="0" w:space="0" w:color="auto"/>
                                            <w:right w:val="none" w:sz="0" w:space="0" w:color="auto"/>
                                          </w:divBdr>
                                          <w:divsChild>
                                            <w:div w:id="1614705757">
                                              <w:marLeft w:val="0"/>
                                              <w:marRight w:val="0"/>
                                              <w:marTop w:val="0"/>
                                              <w:marBottom w:val="0"/>
                                              <w:divBdr>
                                                <w:top w:val="none" w:sz="0" w:space="0" w:color="auto"/>
                                                <w:left w:val="none" w:sz="0" w:space="0" w:color="auto"/>
                                                <w:bottom w:val="none" w:sz="0" w:space="0" w:color="auto"/>
                                                <w:right w:val="none" w:sz="0" w:space="0" w:color="auto"/>
                                              </w:divBdr>
                                              <w:divsChild>
                                                <w:div w:id="8609324">
                                                  <w:marLeft w:val="31"/>
                                                  <w:marRight w:val="52"/>
                                                  <w:marTop w:val="0"/>
                                                  <w:marBottom w:val="0"/>
                                                  <w:divBdr>
                                                    <w:top w:val="none" w:sz="0" w:space="0" w:color="auto"/>
                                                    <w:left w:val="none" w:sz="0" w:space="0" w:color="auto"/>
                                                    <w:bottom w:val="none" w:sz="0" w:space="0" w:color="auto"/>
                                                    <w:right w:val="none" w:sz="0" w:space="0" w:color="auto"/>
                                                  </w:divBdr>
                                                  <w:divsChild>
                                                    <w:div w:id="316803363">
                                                      <w:marLeft w:val="0"/>
                                                      <w:marRight w:val="0"/>
                                                      <w:marTop w:val="0"/>
                                                      <w:marBottom w:val="0"/>
                                                      <w:divBdr>
                                                        <w:top w:val="none" w:sz="0" w:space="0" w:color="auto"/>
                                                        <w:left w:val="none" w:sz="0" w:space="0" w:color="auto"/>
                                                        <w:bottom w:val="none" w:sz="0" w:space="0" w:color="auto"/>
                                                        <w:right w:val="none" w:sz="0" w:space="0" w:color="auto"/>
                                                      </w:divBdr>
                                                      <w:divsChild>
                                                        <w:div w:id="1061177269">
                                                          <w:marLeft w:val="0"/>
                                                          <w:marRight w:val="-24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8205898">
      <w:bodyDiv w:val="1"/>
      <w:marLeft w:val="0"/>
      <w:marRight w:val="0"/>
      <w:marTop w:val="0"/>
      <w:marBottom w:val="0"/>
      <w:divBdr>
        <w:top w:val="none" w:sz="0" w:space="0" w:color="auto"/>
        <w:left w:val="none" w:sz="0" w:space="0" w:color="auto"/>
        <w:bottom w:val="none" w:sz="0" w:space="0" w:color="auto"/>
        <w:right w:val="none" w:sz="0" w:space="0" w:color="auto"/>
      </w:divBdr>
      <w:divsChild>
        <w:div w:id="497306859">
          <w:marLeft w:val="0"/>
          <w:marRight w:val="0"/>
          <w:marTop w:val="0"/>
          <w:marBottom w:val="0"/>
          <w:divBdr>
            <w:top w:val="none" w:sz="0" w:space="0" w:color="auto"/>
            <w:left w:val="none" w:sz="0" w:space="0" w:color="auto"/>
            <w:bottom w:val="none" w:sz="0" w:space="0" w:color="auto"/>
            <w:right w:val="none" w:sz="0" w:space="0" w:color="auto"/>
          </w:divBdr>
          <w:divsChild>
            <w:div w:id="1606764570">
              <w:marLeft w:val="0"/>
              <w:marRight w:val="0"/>
              <w:marTop w:val="0"/>
              <w:marBottom w:val="0"/>
              <w:divBdr>
                <w:top w:val="none" w:sz="0" w:space="0" w:color="auto"/>
                <w:left w:val="none" w:sz="0" w:space="0" w:color="auto"/>
                <w:bottom w:val="none" w:sz="0" w:space="0" w:color="auto"/>
                <w:right w:val="none" w:sz="0" w:space="0" w:color="auto"/>
              </w:divBdr>
              <w:divsChild>
                <w:div w:id="1509253149">
                  <w:marLeft w:val="0"/>
                  <w:marRight w:val="-6084"/>
                  <w:marTop w:val="0"/>
                  <w:marBottom w:val="0"/>
                  <w:divBdr>
                    <w:top w:val="none" w:sz="0" w:space="0" w:color="auto"/>
                    <w:left w:val="none" w:sz="0" w:space="0" w:color="auto"/>
                    <w:bottom w:val="none" w:sz="0" w:space="0" w:color="auto"/>
                    <w:right w:val="none" w:sz="0" w:space="0" w:color="auto"/>
                  </w:divBdr>
                  <w:divsChild>
                    <w:div w:id="979726406">
                      <w:marLeft w:val="0"/>
                      <w:marRight w:val="5844"/>
                      <w:marTop w:val="0"/>
                      <w:marBottom w:val="0"/>
                      <w:divBdr>
                        <w:top w:val="none" w:sz="0" w:space="0" w:color="auto"/>
                        <w:left w:val="none" w:sz="0" w:space="0" w:color="auto"/>
                        <w:bottom w:val="none" w:sz="0" w:space="0" w:color="auto"/>
                        <w:right w:val="none" w:sz="0" w:space="0" w:color="auto"/>
                      </w:divBdr>
                      <w:divsChild>
                        <w:div w:id="1593927972">
                          <w:marLeft w:val="0"/>
                          <w:marRight w:val="0"/>
                          <w:marTop w:val="0"/>
                          <w:marBottom w:val="0"/>
                          <w:divBdr>
                            <w:top w:val="none" w:sz="0" w:space="0" w:color="auto"/>
                            <w:left w:val="none" w:sz="0" w:space="0" w:color="auto"/>
                            <w:bottom w:val="none" w:sz="0" w:space="0" w:color="auto"/>
                            <w:right w:val="none" w:sz="0" w:space="0" w:color="auto"/>
                          </w:divBdr>
                          <w:divsChild>
                            <w:div w:id="492993474">
                              <w:marLeft w:val="0"/>
                              <w:marRight w:val="0"/>
                              <w:marTop w:val="120"/>
                              <w:marBottom w:val="360"/>
                              <w:divBdr>
                                <w:top w:val="none" w:sz="0" w:space="0" w:color="auto"/>
                                <w:left w:val="none" w:sz="0" w:space="0" w:color="auto"/>
                                <w:bottom w:val="none" w:sz="0" w:space="0" w:color="auto"/>
                                <w:right w:val="none" w:sz="0" w:space="0" w:color="auto"/>
                              </w:divBdr>
                              <w:divsChild>
                                <w:div w:id="16547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2199193">
      <w:bodyDiv w:val="1"/>
      <w:marLeft w:val="0"/>
      <w:marRight w:val="0"/>
      <w:marTop w:val="0"/>
      <w:marBottom w:val="0"/>
      <w:divBdr>
        <w:top w:val="none" w:sz="0" w:space="0" w:color="auto"/>
        <w:left w:val="none" w:sz="0" w:space="0" w:color="auto"/>
        <w:bottom w:val="none" w:sz="0" w:space="0" w:color="auto"/>
        <w:right w:val="none" w:sz="0" w:space="0" w:color="auto"/>
      </w:divBdr>
      <w:divsChild>
        <w:div w:id="1413045908">
          <w:marLeft w:val="0"/>
          <w:marRight w:val="0"/>
          <w:marTop w:val="0"/>
          <w:marBottom w:val="0"/>
          <w:divBdr>
            <w:top w:val="none" w:sz="0" w:space="0" w:color="auto"/>
            <w:left w:val="none" w:sz="0" w:space="0" w:color="auto"/>
            <w:bottom w:val="none" w:sz="0" w:space="0" w:color="auto"/>
            <w:right w:val="none" w:sz="0" w:space="0" w:color="auto"/>
          </w:divBdr>
          <w:divsChild>
            <w:div w:id="1808938090">
              <w:marLeft w:val="0"/>
              <w:marRight w:val="0"/>
              <w:marTop w:val="0"/>
              <w:marBottom w:val="0"/>
              <w:divBdr>
                <w:top w:val="none" w:sz="0" w:space="0" w:color="auto"/>
                <w:left w:val="none" w:sz="0" w:space="0" w:color="auto"/>
                <w:bottom w:val="none" w:sz="0" w:space="0" w:color="auto"/>
                <w:right w:val="none" w:sz="0" w:space="0" w:color="auto"/>
              </w:divBdr>
              <w:divsChild>
                <w:div w:id="1295595693">
                  <w:marLeft w:val="0"/>
                  <w:marRight w:val="0"/>
                  <w:marTop w:val="0"/>
                  <w:marBottom w:val="0"/>
                  <w:divBdr>
                    <w:top w:val="single" w:sz="6" w:space="0" w:color="BFCCD5"/>
                    <w:left w:val="none" w:sz="0" w:space="0" w:color="auto"/>
                    <w:bottom w:val="none" w:sz="0" w:space="0" w:color="auto"/>
                    <w:right w:val="none" w:sz="0" w:space="0" w:color="auto"/>
                  </w:divBdr>
                  <w:divsChild>
                    <w:div w:id="1682201178">
                      <w:marLeft w:val="300"/>
                      <w:marRight w:val="300"/>
                      <w:marTop w:val="0"/>
                      <w:marBottom w:val="0"/>
                      <w:divBdr>
                        <w:top w:val="none" w:sz="0" w:space="0" w:color="auto"/>
                        <w:left w:val="none" w:sz="0" w:space="0" w:color="auto"/>
                        <w:bottom w:val="none" w:sz="0" w:space="0" w:color="auto"/>
                        <w:right w:val="none" w:sz="0" w:space="0" w:color="auto"/>
                      </w:divBdr>
                      <w:divsChild>
                        <w:div w:id="3292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akermckenzie.com/files/Uploads/Documents/%20Supporting%20"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mosley@vt.edu" TargetMode="External"/><Relationship Id="rId9" Type="http://schemas.openxmlformats.org/officeDocument/2006/relationships/hyperlink" Target="http://www.daff.gov.au/__data/assets/pdf_file/0011/%201530020/work-train-skills.pdf" TargetMode="External"/><Relationship Id="rId10" Type="http://schemas.openxmlformats.org/officeDocument/2006/relationships/hyperlink" Target="http://www.edchange.net/publications/cognitive-disson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1569</Words>
  <Characters>8947</Characters>
  <Application>Microsoft Macintosh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CWM</dc:creator>
  <cp:lastModifiedBy>CWM</cp:lastModifiedBy>
  <cp:revision>2</cp:revision>
  <cp:lastPrinted>2010-11-05T16:37:00Z</cp:lastPrinted>
  <dcterms:created xsi:type="dcterms:W3CDTF">2012-02-16T19:11:00Z</dcterms:created>
  <dcterms:modified xsi:type="dcterms:W3CDTF">2012-02-16T19:11:00Z</dcterms:modified>
</cp:coreProperties>
</file>