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008D1A" w14:textId="77777777" w:rsidR="001B162D" w:rsidRDefault="001B162D" w:rsidP="001B162D">
      <w:pPr>
        <w:spacing w:after="240"/>
        <w:jc w:val="center"/>
        <w:rPr>
          <w:b/>
        </w:rPr>
      </w:pPr>
      <w:bookmarkStart w:id="0" w:name="_GoBack"/>
      <w:bookmarkEnd w:id="0"/>
      <w:r>
        <w:rPr>
          <w:b/>
        </w:rPr>
        <w:t>Gauging Perceptions of Public Policy in Agricultural and Natural Resources</w:t>
      </w:r>
    </w:p>
    <w:p w14:paraId="5C31E793" w14:textId="77777777" w:rsidR="00FD447C" w:rsidRPr="00302150" w:rsidRDefault="00FD447C" w:rsidP="002C2260">
      <w:pPr>
        <w:jc w:val="center"/>
      </w:pPr>
      <w:proofErr w:type="spellStart"/>
      <w:r w:rsidRPr="00302150">
        <w:t>Quisto</w:t>
      </w:r>
      <w:proofErr w:type="spellEnd"/>
      <w:r w:rsidRPr="00302150">
        <w:t xml:space="preserve"> Settle</w:t>
      </w:r>
    </w:p>
    <w:p w14:paraId="314FC32A" w14:textId="50272479" w:rsidR="00693AF6" w:rsidRPr="00302150" w:rsidRDefault="00693AF6" w:rsidP="002C2260">
      <w:pPr>
        <w:jc w:val="center"/>
      </w:pPr>
      <w:r w:rsidRPr="00302150">
        <w:t>qsettle@ufl.edu</w:t>
      </w:r>
    </w:p>
    <w:p w14:paraId="5BFF397C" w14:textId="77777777" w:rsidR="00693AF6" w:rsidRPr="00302150" w:rsidRDefault="00693AF6" w:rsidP="002C2260">
      <w:pPr>
        <w:jc w:val="center"/>
      </w:pPr>
    </w:p>
    <w:p w14:paraId="018DD709" w14:textId="77777777" w:rsidR="00FD447C" w:rsidRPr="00302150" w:rsidRDefault="00FD447C" w:rsidP="002C2260">
      <w:pPr>
        <w:jc w:val="center"/>
      </w:pPr>
      <w:r w:rsidRPr="00302150">
        <w:t xml:space="preserve">Tracy </w:t>
      </w:r>
      <w:proofErr w:type="spellStart"/>
      <w:r w:rsidRPr="00302150">
        <w:t>Irani</w:t>
      </w:r>
      <w:proofErr w:type="spellEnd"/>
    </w:p>
    <w:p w14:paraId="5BFEE9AA" w14:textId="694D28E7" w:rsidR="00693AF6" w:rsidRPr="00302150" w:rsidRDefault="00693AF6" w:rsidP="002C2260">
      <w:pPr>
        <w:jc w:val="center"/>
      </w:pPr>
      <w:r w:rsidRPr="00302150">
        <w:t>irani@ufl.edu</w:t>
      </w:r>
    </w:p>
    <w:p w14:paraId="20619E36" w14:textId="77777777" w:rsidR="00693AF6" w:rsidRPr="00302150" w:rsidRDefault="00693AF6" w:rsidP="002C2260">
      <w:pPr>
        <w:jc w:val="center"/>
      </w:pPr>
    </w:p>
    <w:p w14:paraId="397F2593" w14:textId="77777777" w:rsidR="00FD447C" w:rsidRPr="00302150" w:rsidRDefault="00FD447C" w:rsidP="002C2260">
      <w:pPr>
        <w:jc w:val="center"/>
      </w:pPr>
      <w:proofErr w:type="spellStart"/>
      <w:r w:rsidRPr="00302150">
        <w:t>Alexa</w:t>
      </w:r>
      <w:proofErr w:type="spellEnd"/>
      <w:r w:rsidRPr="00302150">
        <w:t xml:space="preserve"> </w:t>
      </w:r>
      <w:proofErr w:type="spellStart"/>
      <w:r w:rsidRPr="00302150">
        <w:t>Lamm</w:t>
      </w:r>
      <w:proofErr w:type="spellEnd"/>
    </w:p>
    <w:p w14:paraId="5D56FC91" w14:textId="60E143C3" w:rsidR="00693AF6" w:rsidRPr="00302150" w:rsidRDefault="00693AF6" w:rsidP="002C2260">
      <w:pPr>
        <w:jc w:val="center"/>
      </w:pPr>
      <w:r w:rsidRPr="00302150">
        <w:t>alamm@ufl.edu</w:t>
      </w:r>
    </w:p>
    <w:p w14:paraId="6D243066" w14:textId="77777777" w:rsidR="00693AF6" w:rsidRPr="00302150" w:rsidRDefault="00693AF6" w:rsidP="002C2260">
      <w:pPr>
        <w:jc w:val="center"/>
      </w:pPr>
    </w:p>
    <w:p w14:paraId="5DD13FCF" w14:textId="77777777" w:rsidR="00FD447C" w:rsidRDefault="00FD447C" w:rsidP="002C2260">
      <w:pPr>
        <w:jc w:val="center"/>
      </w:pPr>
      <w:r w:rsidRPr="00302150">
        <w:t>Hannah Carter</w:t>
      </w:r>
    </w:p>
    <w:p w14:paraId="2535F0AA" w14:textId="7A2E64E3" w:rsidR="00FD447C" w:rsidRDefault="00693AF6" w:rsidP="002C2260">
      <w:pPr>
        <w:jc w:val="center"/>
      </w:pPr>
      <w:r>
        <w:t>hscarter@ufl.edu</w:t>
      </w:r>
    </w:p>
    <w:p w14:paraId="2B84FB81" w14:textId="77777777" w:rsidR="00302150" w:rsidRDefault="00302150" w:rsidP="002C2260">
      <w:pPr>
        <w:jc w:val="center"/>
      </w:pPr>
    </w:p>
    <w:p w14:paraId="27B1479A" w14:textId="5AF9C5A6" w:rsidR="00302150" w:rsidRDefault="00302150" w:rsidP="002C2260">
      <w:pPr>
        <w:jc w:val="center"/>
      </w:pPr>
      <w:r>
        <w:t>Rachel Divine</w:t>
      </w:r>
    </w:p>
    <w:p w14:paraId="3B20490C" w14:textId="609F1FBC" w:rsidR="00302150" w:rsidRDefault="00302150" w:rsidP="002C2260">
      <w:pPr>
        <w:jc w:val="center"/>
      </w:pPr>
      <w:r>
        <w:t>racheldivine@ufl.edu</w:t>
      </w:r>
    </w:p>
    <w:p w14:paraId="13B74DBF" w14:textId="77777777" w:rsidR="00693AF6" w:rsidRDefault="00693AF6" w:rsidP="002C2260">
      <w:pPr>
        <w:jc w:val="center"/>
      </w:pPr>
    </w:p>
    <w:p w14:paraId="215E7E34" w14:textId="77777777" w:rsidR="00FD447C" w:rsidRPr="00FD447C" w:rsidRDefault="00FD447C" w:rsidP="002C2260">
      <w:pPr>
        <w:jc w:val="center"/>
      </w:pPr>
      <w:r w:rsidRPr="00FD447C">
        <w:t>PO Box 110540</w:t>
      </w:r>
    </w:p>
    <w:p w14:paraId="411C5F91" w14:textId="77777777" w:rsidR="00FD447C" w:rsidRPr="00FD447C" w:rsidRDefault="00FD447C" w:rsidP="002C2260">
      <w:pPr>
        <w:jc w:val="center"/>
      </w:pPr>
      <w:r w:rsidRPr="00FD447C">
        <w:t>Gainesville, Florida 32611-0540</w:t>
      </w:r>
    </w:p>
    <w:p w14:paraId="788B0CDF" w14:textId="2BAD23A5" w:rsidR="00FD447C" w:rsidRPr="00FD447C" w:rsidRDefault="009E1C8F" w:rsidP="002C2260">
      <w:pPr>
        <w:jc w:val="center"/>
      </w:pPr>
      <w:r>
        <w:t>(</w:t>
      </w:r>
      <w:r w:rsidR="00FD447C" w:rsidRPr="00FD447C">
        <w:t>352</w:t>
      </w:r>
      <w:r>
        <w:t xml:space="preserve">) </w:t>
      </w:r>
      <w:r w:rsidR="00693AF6">
        <w:t>273-3425</w:t>
      </w:r>
    </w:p>
    <w:p w14:paraId="1FD3BB0B" w14:textId="77777777" w:rsidR="00FD447C" w:rsidRDefault="00FD447C" w:rsidP="002C2260">
      <w:pPr>
        <w:jc w:val="center"/>
      </w:pPr>
    </w:p>
    <w:p w14:paraId="18BB5463" w14:textId="77777777" w:rsidR="00FD447C" w:rsidRPr="00FD447C" w:rsidRDefault="00FD447C" w:rsidP="002C2260">
      <w:pPr>
        <w:jc w:val="center"/>
      </w:pPr>
      <w:r>
        <w:rPr>
          <w:b/>
        </w:rPr>
        <w:br w:type="page"/>
      </w:r>
    </w:p>
    <w:p w14:paraId="65A12710" w14:textId="77777777" w:rsidR="003D4776" w:rsidRDefault="00FD447C" w:rsidP="002C2260">
      <w:pPr>
        <w:spacing w:after="240"/>
        <w:jc w:val="center"/>
        <w:rPr>
          <w:b/>
        </w:rPr>
      </w:pPr>
      <w:r>
        <w:rPr>
          <w:b/>
        </w:rPr>
        <w:lastRenderedPageBreak/>
        <w:t>Gauging Perceptions of Public Policy in Agricultural and Natural Resources</w:t>
      </w:r>
    </w:p>
    <w:p w14:paraId="72648D7E" w14:textId="124176FF" w:rsidR="00FD447C" w:rsidRDefault="00FD447C" w:rsidP="002E3281">
      <w:pPr>
        <w:jc w:val="center"/>
      </w:pPr>
      <w:r>
        <w:rPr>
          <w:b/>
        </w:rPr>
        <w:t>Introduction</w:t>
      </w:r>
      <w:r w:rsidR="002D7631">
        <w:rPr>
          <w:b/>
        </w:rPr>
        <w:t xml:space="preserve"> &amp; Conceptual Framework</w:t>
      </w:r>
    </w:p>
    <w:p w14:paraId="1297AFD4" w14:textId="24CAF680" w:rsidR="009664DE" w:rsidRDefault="00FF4E3D" w:rsidP="009E1C8F">
      <w:pPr>
        <w:ind w:firstLine="360"/>
      </w:pPr>
      <w:r>
        <w:t>The public is increasingly concerned with policy issues affecting agriculture and natural resources (Baker, 2011), even though</w:t>
      </w:r>
      <w:r w:rsidR="00D21A99">
        <w:t xml:space="preserve"> only 2% of the population is directly </w:t>
      </w:r>
      <w:r w:rsidR="00FF1975">
        <w:t>involved with production</w:t>
      </w:r>
      <w:r w:rsidR="00D21A99">
        <w:t xml:space="preserve"> agriculture (</w:t>
      </w:r>
      <w:proofErr w:type="spellStart"/>
      <w:r w:rsidR="00D21A99">
        <w:t>Doerfert</w:t>
      </w:r>
      <w:proofErr w:type="spellEnd"/>
      <w:r w:rsidR="00D21A99">
        <w:t xml:space="preserve">, 2011) and </w:t>
      </w:r>
      <w:r w:rsidR="00A10290">
        <w:t xml:space="preserve">the public’s lack of </w:t>
      </w:r>
      <w:r w:rsidR="00D21A99">
        <w:t>agricultural literacy</w:t>
      </w:r>
      <w:r w:rsidR="00A10290">
        <w:t xml:space="preserve"> </w:t>
      </w:r>
      <w:r w:rsidR="00D21A99">
        <w:t>is a continuing concern</w:t>
      </w:r>
      <w:r w:rsidR="009664DE" w:rsidRPr="009664DE">
        <w:t xml:space="preserve"> (</w:t>
      </w:r>
      <w:r w:rsidR="009664DE" w:rsidRPr="00D21A99">
        <w:t>Powell &amp; Agnew, 2011</w:t>
      </w:r>
      <w:r w:rsidR="009664DE" w:rsidRPr="009664DE">
        <w:t>)</w:t>
      </w:r>
      <w:r w:rsidR="00597E3A" w:rsidRPr="009664DE">
        <w:t xml:space="preserve">. </w:t>
      </w:r>
      <w:r w:rsidR="009664DE" w:rsidRPr="009664DE">
        <w:t xml:space="preserve">While there is research assessing public opinions and knowledge of agriculture (Goodwin, </w:t>
      </w:r>
      <w:proofErr w:type="spellStart"/>
      <w:r w:rsidR="009664DE" w:rsidRPr="009664DE">
        <w:t>Chiarelli</w:t>
      </w:r>
      <w:proofErr w:type="spellEnd"/>
      <w:r w:rsidR="009664DE" w:rsidRPr="009664DE">
        <w:t xml:space="preserve">, &amp; </w:t>
      </w:r>
      <w:proofErr w:type="spellStart"/>
      <w:r w:rsidR="009664DE" w:rsidRPr="009664DE">
        <w:t>Irani</w:t>
      </w:r>
      <w:proofErr w:type="spellEnd"/>
      <w:r w:rsidR="009664DE" w:rsidRPr="009664DE">
        <w:t xml:space="preserve">, 2011; Powell &amp; Agnew, 2011), research </w:t>
      </w:r>
      <w:r>
        <w:t>regarding</w:t>
      </w:r>
      <w:r w:rsidR="009664DE" w:rsidRPr="009664DE">
        <w:t xml:space="preserve"> public </w:t>
      </w:r>
      <w:r>
        <w:t>opinion</w:t>
      </w:r>
      <w:r w:rsidR="00FF1975">
        <w:t xml:space="preserve"> of </w:t>
      </w:r>
      <w:r w:rsidR="009664DE" w:rsidRPr="009664DE">
        <w:t>policy issues facing agriculture</w:t>
      </w:r>
      <w:r>
        <w:t xml:space="preserve"> is lacking</w:t>
      </w:r>
      <w:r w:rsidR="009664DE" w:rsidRPr="009664DE">
        <w:t xml:space="preserve">. </w:t>
      </w:r>
      <w:r>
        <w:t>Specifically, o</w:t>
      </w:r>
      <w:r w:rsidR="00023B02">
        <w:t xml:space="preserve">pinion leaders are important because of </w:t>
      </w:r>
      <w:r w:rsidR="00BA6B92">
        <w:t>their influence</w:t>
      </w:r>
      <w:r w:rsidR="00023B02">
        <w:t xml:space="preserve"> on the op</w:t>
      </w:r>
      <w:r>
        <w:t>inions of other members of their</w:t>
      </w:r>
      <w:r w:rsidR="00023B02">
        <w:t xml:space="preserve"> communities </w:t>
      </w:r>
      <w:r w:rsidR="00057856">
        <w:t xml:space="preserve">through their central location in the community’s communication structure </w:t>
      </w:r>
      <w:r w:rsidR="00023B02">
        <w:t xml:space="preserve">(Rogers, 2003). </w:t>
      </w:r>
      <w:r w:rsidR="00057856">
        <w:t xml:space="preserve">This research assessed the </w:t>
      </w:r>
      <w:r>
        <w:t xml:space="preserve">general </w:t>
      </w:r>
      <w:r w:rsidR="00057856">
        <w:t>public</w:t>
      </w:r>
      <w:r>
        <w:t>’s</w:t>
      </w:r>
      <w:r w:rsidR="00057856">
        <w:t xml:space="preserve"> opinions of </w:t>
      </w:r>
      <w:r>
        <w:t xml:space="preserve">policy </w:t>
      </w:r>
      <w:r w:rsidR="00057856">
        <w:t>issues consider</w:t>
      </w:r>
      <w:r w:rsidR="00E617D3">
        <w:t xml:space="preserve">ed important by opinion leaders and addresses Research Priority 1: Public and Policy Maker Understanding </w:t>
      </w:r>
      <w:r w:rsidR="00704E16">
        <w:t>of</w:t>
      </w:r>
      <w:r w:rsidR="00E617D3">
        <w:t xml:space="preserve"> Agriculture and Natural Resources (</w:t>
      </w:r>
      <w:proofErr w:type="spellStart"/>
      <w:r w:rsidR="00E617D3">
        <w:t>Doerfert</w:t>
      </w:r>
      <w:proofErr w:type="spellEnd"/>
      <w:r w:rsidR="00E617D3">
        <w:t>, 2011).</w:t>
      </w:r>
    </w:p>
    <w:p w14:paraId="747ED898" w14:textId="3D3EC331" w:rsidR="002D7631" w:rsidRDefault="002D7631" w:rsidP="009E1C8F">
      <w:pPr>
        <w:ind w:firstLine="360"/>
      </w:pPr>
      <w:r>
        <w:t>Public opinion research has shown a dearth of political knowledge among the general public (</w:t>
      </w:r>
      <w:proofErr w:type="spellStart"/>
      <w:r>
        <w:t>Donsbach</w:t>
      </w:r>
      <w:proofErr w:type="spellEnd"/>
      <w:r>
        <w:t xml:space="preserve"> &amp; </w:t>
      </w:r>
      <w:proofErr w:type="spellStart"/>
      <w:r>
        <w:t>Traugott</w:t>
      </w:r>
      <w:proofErr w:type="spellEnd"/>
      <w:r>
        <w:t>, 2008).</w:t>
      </w:r>
      <w:r w:rsidR="008D3A4B">
        <w:t xml:space="preserve"> The public gains its knowledge incidentally through media exposure or intentionally through attention to political coverage in general or attention to specific issues. People will attach importance to issues that affect them directly, relate to their fundamental values, or issues that affect groups the individual identifies with.</w:t>
      </w:r>
      <w:r w:rsidR="001A41BA">
        <w:t xml:space="preserve"> The politically knowledgeable make decision more easily and effectively.</w:t>
      </w:r>
      <w:r w:rsidR="00020EFA">
        <w:t xml:space="preserve"> They are also less likely to be persuaded by persuasive messages.</w:t>
      </w:r>
      <w:r w:rsidR="002C5083">
        <w:t xml:space="preserve"> For individuals to make the effort to seek out information, they must believe the issues are important.</w:t>
      </w:r>
      <w:r w:rsidR="00F14D46">
        <w:t xml:space="preserve"> While knowledge or motivation can affect behavior, behavior is more likely to be affected when both knowledge and motivation are present.</w:t>
      </w:r>
    </w:p>
    <w:p w14:paraId="082C8360" w14:textId="77777777" w:rsidR="002E3281" w:rsidRDefault="002E3281" w:rsidP="002E3281">
      <w:pPr>
        <w:jc w:val="center"/>
        <w:rPr>
          <w:b/>
        </w:rPr>
      </w:pPr>
    </w:p>
    <w:p w14:paraId="34062EAA" w14:textId="77777777" w:rsidR="00FD447C" w:rsidRDefault="009F7169" w:rsidP="002E3281">
      <w:pPr>
        <w:jc w:val="center"/>
      </w:pPr>
      <w:r>
        <w:rPr>
          <w:b/>
        </w:rPr>
        <w:t>Methods</w:t>
      </w:r>
    </w:p>
    <w:p w14:paraId="6C38ED0C" w14:textId="15B7D03E" w:rsidR="009F7169" w:rsidRDefault="00562654" w:rsidP="009E1C8F">
      <w:pPr>
        <w:ind w:firstLine="360"/>
      </w:pPr>
      <w:r>
        <w:t xml:space="preserve">To determine the </w:t>
      </w:r>
      <w:r w:rsidR="0056699B">
        <w:t>issues</w:t>
      </w:r>
      <w:r w:rsidR="00417E05">
        <w:t xml:space="preserve"> to address in the survey</w:t>
      </w:r>
      <w:r>
        <w:t>, o</w:t>
      </w:r>
      <w:r w:rsidR="009F7169">
        <w:t>pinion leaders in [state] were surveyed. The opinion leaders were operational</w:t>
      </w:r>
      <w:r w:rsidR="00F9739A">
        <w:t>ly defined</w:t>
      </w:r>
      <w:r w:rsidR="009F7169">
        <w:t xml:space="preserve"> as members of [</w:t>
      </w:r>
      <w:r w:rsidR="00B12445">
        <w:t xml:space="preserve">state agriculture and natural resources </w:t>
      </w:r>
      <w:r w:rsidR="009F7169">
        <w:t xml:space="preserve">leadership program]. The opinion leaders were asked what issues </w:t>
      </w:r>
      <w:r w:rsidR="0056699B">
        <w:t xml:space="preserve">facing the agriculture and natural resources sector </w:t>
      </w:r>
      <w:r w:rsidR="009F7169">
        <w:t>they believed were most important. From the</w:t>
      </w:r>
      <w:r w:rsidR="00F03BC6">
        <w:t>se</w:t>
      </w:r>
      <w:r w:rsidR="009F7169">
        <w:t xml:space="preserve"> broader issues, </w:t>
      </w:r>
      <w:r w:rsidR="00B12445">
        <w:t>policy issues</w:t>
      </w:r>
      <w:r w:rsidR="009F7169">
        <w:t xml:space="preserve"> relevant to </w:t>
      </w:r>
      <w:r w:rsidR="00F9739A">
        <w:t>agriculture and natural resources in [state]</w:t>
      </w:r>
      <w:r w:rsidR="009F7169">
        <w:t xml:space="preserve"> were selected. </w:t>
      </w:r>
      <w:r w:rsidR="00F9739A">
        <w:t xml:space="preserve">The final </w:t>
      </w:r>
      <w:r w:rsidR="0056699B">
        <w:t>policy issues</w:t>
      </w:r>
      <w:r w:rsidR="00F9739A">
        <w:t xml:space="preserve"> were </w:t>
      </w:r>
      <w:r w:rsidR="0056699B">
        <w:t xml:space="preserve">the enforcement of </w:t>
      </w:r>
      <w:r w:rsidR="00F9739A">
        <w:t xml:space="preserve">numeric nutrient criteria to assess water quality, government subsidies to support biofuel production, the transfer of school lunch programs from the department of education to the department of agriculture, and requiring E-Verify to ensure workers are legal residents. The target population for the </w:t>
      </w:r>
      <w:r w:rsidR="0056699B">
        <w:t>survey</w:t>
      </w:r>
      <w:r w:rsidR="00F9739A">
        <w:t xml:space="preserve"> was [state] residents. The sampling frame </w:t>
      </w:r>
      <w:r w:rsidR="00B12445">
        <w:t>consisted of</w:t>
      </w:r>
      <w:r w:rsidR="00F9739A">
        <w:t xml:space="preserve"> </w:t>
      </w:r>
      <w:r w:rsidR="00DC3DB8">
        <w:t xml:space="preserve">279 </w:t>
      </w:r>
      <w:r w:rsidR="00F9739A">
        <w:t>members of an online panel that was representative of the state</w:t>
      </w:r>
      <w:r w:rsidR="00DC3DB8">
        <w:t>’s general population</w:t>
      </w:r>
      <w:r w:rsidR="00C61962">
        <w:t>, which was obtained through a third-party survey research center</w:t>
      </w:r>
      <w:r w:rsidR="00F9739A">
        <w:t xml:space="preserve">. For each topic, participants were provided a description of the issue, </w:t>
      </w:r>
      <w:r w:rsidR="009F7169">
        <w:t>asked their awareness of the issue, how important the issue was</w:t>
      </w:r>
      <w:r w:rsidR="00DC3DB8">
        <w:t xml:space="preserve"> on a 5-point scale</w:t>
      </w:r>
      <w:r w:rsidR="009F7169">
        <w:t>, and their degree of opposition or support of the issue</w:t>
      </w:r>
      <w:r w:rsidR="00DC3DB8">
        <w:t xml:space="preserve"> on a 5-point scale</w:t>
      </w:r>
      <w:r w:rsidR="009F7169">
        <w:t>. The participants were also asked for their general perceptions of agriculture in [state].</w:t>
      </w:r>
      <w:r w:rsidR="00C61962">
        <w:t xml:space="preserve"> The survey was distributed online through the third-party survey research center</w:t>
      </w:r>
      <w:r>
        <w:t xml:space="preserve"> in September 2011.</w:t>
      </w:r>
    </w:p>
    <w:p w14:paraId="0A4B5C9C" w14:textId="77777777" w:rsidR="002E3281" w:rsidRDefault="002E3281" w:rsidP="002E3281">
      <w:pPr>
        <w:jc w:val="center"/>
        <w:rPr>
          <w:b/>
        </w:rPr>
      </w:pPr>
    </w:p>
    <w:p w14:paraId="5EEAD587" w14:textId="77777777" w:rsidR="0094371D" w:rsidRDefault="009F7169" w:rsidP="002E3281">
      <w:pPr>
        <w:jc w:val="center"/>
        <w:rPr>
          <w:b/>
        </w:rPr>
      </w:pPr>
      <w:r>
        <w:rPr>
          <w:b/>
        </w:rPr>
        <w:t>Results</w:t>
      </w:r>
    </w:p>
    <w:p w14:paraId="720E72BB" w14:textId="0CB2936F" w:rsidR="009F7169" w:rsidRDefault="009F7169" w:rsidP="009E1C8F">
      <w:pPr>
        <w:ind w:firstLine="360"/>
      </w:pPr>
      <w:r>
        <w:t>Results of the survey indicated that participants were generally unaware of the public policy issues, with the exception of the government providing subsidies for biofuels</w:t>
      </w:r>
      <w:r w:rsidR="003D41DC">
        <w:t xml:space="preserve"> (Table 1)</w:t>
      </w:r>
      <w:r>
        <w:t xml:space="preserve">. The issues were rated as being slightly important by the participants. The participants were most willing to support the use of E-Verify and requiring numeric nutrient criteria to assess water </w:t>
      </w:r>
      <w:r>
        <w:lastRenderedPageBreak/>
        <w:t>quality, while they were slightly willing to support government subsidies for ethanol production and transferring control of school lunch programs from the department of education to the department of agriculture. As for the opinions of agriculture in the state, the participants held slightly favorable views</w:t>
      </w:r>
      <w:r w:rsidR="009A1C54">
        <w:t xml:space="preserve"> (Table 2)</w:t>
      </w:r>
      <w:r>
        <w:t xml:space="preserve">. </w:t>
      </w:r>
    </w:p>
    <w:p w14:paraId="48E16779" w14:textId="77777777" w:rsidR="002E3281" w:rsidRDefault="002E3281" w:rsidP="009E1C8F">
      <w:pPr>
        <w:ind w:firstLine="36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18"/>
        <w:gridCol w:w="2286"/>
        <w:gridCol w:w="2286"/>
        <w:gridCol w:w="2286"/>
      </w:tblGrid>
      <w:tr w:rsidR="00562654" w14:paraId="6B16ECDF" w14:textId="77777777" w:rsidTr="00562654">
        <w:tc>
          <w:tcPr>
            <w:tcW w:w="9576" w:type="dxa"/>
            <w:gridSpan w:val="4"/>
            <w:tcBorders>
              <w:bottom w:val="single" w:sz="4" w:space="0" w:color="auto"/>
            </w:tcBorders>
          </w:tcPr>
          <w:p w14:paraId="2586E149" w14:textId="427D7B98" w:rsidR="00562654" w:rsidRDefault="00562654" w:rsidP="002E3281">
            <w:r>
              <w:t>Table 1</w:t>
            </w:r>
          </w:p>
          <w:p w14:paraId="6F17474B" w14:textId="1321BFE1" w:rsidR="00562654" w:rsidRPr="00562654" w:rsidRDefault="00562654" w:rsidP="002E3281">
            <w:pPr>
              <w:rPr>
                <w:i/>
              </w:rPr>
            </w:pPr>
            <w:r>
              <w:rPr>
                <w:i/>
              </w:rPr>
              <w:t>Summary of participants’ awareness, perceived importance, and support of issues.</w:t>
            </w:r>
          </w:p>
        </w:tc>
      </w:tr>
      <w:tr w:rsidR="00C61962" w14:paraId="4CC59C09" w14:textId="77777777" w:rsidTr="00E72F37">
        <w:tc>
          <w:tcPr>
            <w:tcW w:w="2718" w:type="dxa"/>
            <w:tcBorders>
              <w:top w:val="single" w:sz="4" w:space="0" w:color="auto"/>
              <w:bottom w:val="single" w:sz="4" w:space="0" w:color="auto"/>
            </w:tcBorders>
          </w:tcPr>
          <w:p w14:paraId="698A251D" w14:textId="77777777" w:rsidR="00C61962" w:rsidRDefault="00C61962" w:rsidP="002E3281"/>
        </w:tc>
        <w:tc>
          <w:tcPr>
            <w:tcW w:w="2286" w:type="dxa"/>
            <w:tcBorders>
              <w:top w:val="single" w:sz="4" w:space="0" w:color="auto"/>
              <w:bottom w:val="single" w:sz="4" w:space="0" w:color="auto"/>
            </w:tcBorders>
            <w:vAlign w:val="bottom"/>
          </w:tcPr>
          <w:p w14:paraId="054D025C" w14:textId="45E394E3" w:rsidR="00C61962" w:rsidRPr="00C61962" w:rsidRDefault="00C61962" w:rsidP="002E3281">
            <w:pPr>
              <w:jc w:val="center"/>
              <w:rPr>
                <w:vertAlign w:val="superscript"/>
              </w:rPr>
            </w:pPr>
            <w:r>
              <w:t>Awareness (%)</w:t>
            </w:r>
            <w:r>
              <w:rPr>
                <w:vertAlign w:val="superscript"/>
              </w:rPr>
              <w:t>a</w:t>
            </w:r>
          </w:p>
        </w:tc>
        <w:tc>
          <w:tcPr>
            <w:tcW w:w="2286" w:type="dxa"/>
            <w:tcBorders>
              <w:top w:val="single" w:sz="4" w:space="0" w:color="auto"/>
              <w:bottom w:val="single" w:sz="4" w:space="0" w:color="auto"/>
            </w:tcBorders>
            <w:vAlign w:val="bottom"/>
          </w:tcPr>
          <w:p w14:paraId="73BEBE58" w14:textId="46D3A959" w:rsidR="00C61962" w:rsidRPr="00C61962" w:rsidRDefault="00C61962" w:rsidP="002E3281">
            <w:pPr>
              <w:jc w:val="center"/>
              <w:rPr>
                <w:vertAlign w:val="superscript"/>
              </w:rPr>
            </w:pPr>
            <w:proofErr w:type="spellStart"/>
            <w:r>
              <w:t>Importance</w:t>
            </w:r>
            <w:r>
              <w:rPr>
                <w:vertAlign w:val="superscript"/>
              </w:rPr>
              <w:t>b</w:t>
            </w:r>
            <w:proofErr w:type="spellEnd"/>
          </w:p>
        </w:tc>
        <w:tc>
          <w:tcPr>
            <w:tcW w:w="2286" w:type="dxa"/>
            <w:tcBorders>
              <w:top w:val="single" w:sz="4" w:space="0" w:color="auto"/>
              <w:bottom w:val="single" w:sz="4" w:space="0" w:color="auto"/>
            </w:tcBorders>
            <w:vAlign w:val="bottom"/>
          </w:tcPr>
          <w:p w14:paraId="77993CFD" w14:textId="41148FDA" w:rsidR="00C61962" w:rsidRPr="00C61962" w:rsidRDefault="00C61962" w:rsidP="002E3281">
            <w:pPr>
              <w:jc w:val="center"/>
              <w:rPr>
                <w:vertAlign w:val="superscript"/>
              </w:rPr>
            </w:pPr>
            <w:r>
              <w:t>Support/</w:t>
            </w:r>
            <w:proofErr w:type="spellStart"/>
            <w:r>
              <w:t>Oppose</w:t>
            </w:r>
            <w:r>
              <w:rPr>
                <w:vertAlign w:val="superscript"/>
              </w:rPr>
              <w:t>c</w:t>
            </w:r>
            <w:proofErr w:type="spellEnd"/>
          </w:p>
        </w:tc>
      </w:tr>
      <w:tr w:rsidR="00E72F37" w14:paraId="5D9B84DF" w14:textId="77777777" w:rsidTr="00E72F37">
        <w:tc>
          <w:tcPr>
            <w:tcW w:w="2718" w:type="dxa"/>
            <w:tcBorders>
              <w:top w:val="single" w:sz="4" w:space="0" w:color="auto"/>
            </w:tcBorders>
          </w:tcPr>
          <w:p w14:paraId="4503D066" w14:textId="64A9EEF8" w:rsidR="00E72F37" w:rsidRDefault="00E72F37" w:rsidP="002E3281">
            <w:r>
              <w:t>Biofuels</w:t>
            </w:r>
          </w:p>
        </w:tc>
        <w:tc>
          <w:tcPr>
            <w:tcW w:w="2286" w:type="dxa"/>
            <w:tcBorders>
              <w:top w:val="single" w:sz="4" w:space="0" w:color="auto"/>
            </w:tcBorders>
          </w:tcPr>
          <w:p w14:paraId="3E5EA81B" w14:textId="66419A99" w:rsidR="00E72F37" w:rsidRDefault="00E72F37" w:rsidP="002E3281">
            <w:pPr>
              <w:tabs>
                <w:tab w:val="decimal" w:pos="972"/>
              </w:tabs>
            </w:pPr>
            <w:r>
              <w:t>63.0</w:t>
            </w:r>
          </w:p>
        </w:tc>
        <w:tc>
          <w:tcPr>
            <w:tcW w:w="2286" w:type="dxa"/>
            <w:tcBorders>
              <w:top w:val="single" w:sz="4" w:space="0" w:color="auto"/>
            </w:tcBorders>
          </w:tcPr>
          <w:p w14:paraId="5063DF7C" w14:textId="7DD4DF1B" w:rsidR="00E72F37" w:rsidRDefault="00E72F37" w:rsidP="002E3281">
            <w:pPr>
              <w:tabs>
                <w:tab w:val="decimal" w:pos="936"/>
              </w:tabs>
            </w:pPr>
            <w:r>
              <w:t>3.68</w:t>
            </w:r>
          </w:p>
        </w:tc>
        <w:tc>
          <w:tcPr>
            <w:tcW w:w="2286" w:type="dxa"/>
            <w:tcBorders>
              <w:top w:val="single" w:sz="4" w:space="0" w:color="auto"/>
            </w:tcBorders>
          </w:tcPr>
          <w:p w14:paraId="2281836C" w14:textId="6A8014DA" w:rsidR="00E72F37" w:rsidRDefault="00E72F37" w:rsidP="002E3281">
            <w:pPr>
              <w:tabs>
                <w:tab w:val="decimal" w:pos="900"/>
              </w:tabs>
            </w:pPr>
            <w:r>
              <w:t>3.39</w:t>
            </w:r>
          </w:p>
        </w:tc>
      </w:tr>
      <w:tr w:rsidR="00E72F37" w14:paraId="64CB332A" w14:textId="77777777" w:rsidTr="00E72F37">
        <w:tc>
          <w:tcPr>
            <w:tcW w:w="2718" w:type="dxa"/>
          </w:tcPr>
          <w:p w14:paraId="53FFF549" w14:textId="3E8F8E73" w:rsidR="00E72F37" w:rsidRDefault="00E72F37" w:rsidP="002E3281">
            <w:r>
              <w:t>E-Verify</w:t>
            </w:r>
          </w:p>
        </w:tc>
        <w:tc>
          <w:tcPr>
            <w:tcW w:w="2286" w:type="dxa"/>
          </w:tcPr>
          <w:p w14:paraId="62D9763A" w14:textId="695431B3" w:rsidR="00E72F37" w:rsidRDefault="00E72F37" w:rsidP="002E3281">
            <w:pPr>
              <w:tabs>
                <w:tab w:val="decimal" w:pos="972"/>
              </w:tabs>
            </w:pPr>
            <w:r>
              <w:t>37.6</w:t>
            </w:r>
          </w:p>
        </w:tc>
        <w:tc>
          <w:tcPr>
            <w:tcW w:w="2286" w:type="dxa"/>
          </w:tcPr>
          <w:p w14:paraId="1D71E091" w14:textId="5E037D03" w:rsidR="00E72F37" w:rsidRDefault="00E72F37" w:rsidP="002E3281">
            <w:pPr>
              <w:tabs>
                <w:tab w:val="decimal" w:pos="936"/>
              </w:tabs>
            </w:pPr>
            <w:r>
              <w:t>4.16</w:t>
            </w:r>
          </w:p>
        </w:tc>
        <w:tc>
          <w:tcPr>
            <w:tcW w:w="2286" w:type="dxa"/>
          </w:tcPr>
          <w:p w14:paraId="34C0D57F" w14:textId="46DFC5E3" w:rsidR="00E72F37" w:rsidRDefault="00E72F37" w:rsidP="002E3281">
            <w:pPr>
              <w:tabs>
                <w:tab w:val="decimal" w:pos="900"/>
              </w:tabs>
            </w:pPr>
            <w:r>
              <w:t>4.02</w:t>
            </w:r>
          </w:p>
        </w:tc>
      </w:tr>
      <w:tr w:rsidR="00E72F37" w14:paraId="45F7933D" w14:textId="77777777" w:rsidTr="00562654">
        <w:tc>
          <w:tcPr>
            <w:tcW w:w="2718" w:type="dxa"/>
          </w:tcPr>
          <w:p w14:paraId="465B7794" w14:textId="75F97DE2" w:rsidR="00E72F37" w:rsidRDefault="00E72F37" w:rsidP="002E3281">
            <w:r>
              <w:t>School Lunch Transfer</w:t>
            </w:r>
          </w:p>
        </w:tc>
        <w:tc>
          <w:tcPr>
            <w:tcW w:w="2286" w:type="dxa"/>
          </w:tcPr>
          <w:p w14:paraId="0B55FF32" w14:textId="07BDC99A" w:rsidR="00E72F37" w:rsidRDefault="00E72F37" w:rsidP="002E3281">
            <w:pPr>
              <w:tabs>
                <w:tab w:val="decimal" w:pos="972"/>
              </w:tabs>
            </w:pPr>
            <w:r>
              <w:t>36.8</w:t>
            </w:r>
          </w:p>
        </w:tc>
        <w:tc>
          <w:tcPr>
            <w:tcW w:w="2286" w:type="dxa"/>
          </w:tcPr>
          <w:p w14:paraId="3E07393D" w14:textId="16EBD56A" w:rsidR="00E72F37" w:rsidRDefault="00E72F37" w:rsidP="002E3281">
            <w:pPr>
              <w:tabs>
                <w:tab w:val="decimal" w:pos="936"/>
              </w:tabs>
            </w:pPr>
            <w:r>
              <w:t>3.63</w:t>
            </w:r>
          </w:p>
        </w:tc>
        <w:tc>
          <w:tcPr>
            <w:tcW w:w="2286" w:type="dxa"/>
          </w:tcPr>
          <w:p w14:paraId="362BB626" w14:textId="70670D62" w:rsidR="00E72F37" w:rsidRDefault="00E72F37" w:rsidP="002E3281">
            <w:pPr>
              <w:tabs>
                <w:tab w:val="decimal" w:pos="900"/>
              </w:tabs>
            </w:pPr>
            <w:r>
              <w:t>3.46</w:t>
            </w:r>
          </w:p>
        </w:tc>
      </w:tr>
      <w:tr w:rsidR="00E72F37" w14:paraId="51AB9568" w14:textId="77777777" w:rsidTr="00562654">
        <w:tc>
          <w:tcPr>
            <w:tcW w:w="2718" w:type="dxa"/>
            <w:tcBorders>
              <w:bottom w:val="single" w:sz="4" w:space="0" w:color="auto"/>
            </w:tcBorders>
          </w:tcPr>
          <w:p w14:paraId="3681D062" w14:textId="7F5F30D2" w:rsidR="00E72F37" w:rsidRDefault="00E72F37" w:rsidP="002E3281">
            <w:r>
              <w:t>Numeric Nutrient Criteria</w:t>
            </w:r>
          </w:p>
        </w:tc>
        <w:tc>
          <w:tcPr>
            <w:tcW w:w="2286" w:type="dxa"/>
            <w:tcBorders>
              <w:bottom w:val="single" w:sz="4" w:space="0" w:color="auto"/>
            </w:tcBorders>
          </w:tcPr>
          <w:p w14:paraId="2D240E94" w14:textId="3C796C8D" w:rsidR="00E72F37" w:rsidRDefault="00E72F37" w:rsidP="002E3281">
            <w:pPr>
              <w:tabs>
                <w:tab w:val="decimal" w:pos="972"/>
              </w:tabs>
            </w:pPr>
            <w:r>
              <w:t>24.7</w:t>
            </w:r>
          </w:p>
        </w:tc>
        <w:tc>
          <w:tcPr>
            <w:tcW w:w="2286" w:type="dxa"/>
            <w:tcBorders>
              <w:bottom w:val="single" w:sz="4" w:space="0" w:color="auto"/>
            </w:tcBorders>
          </w:tcPr>
          <w:p w14:paraId="5B500879" w14:textId="1946321E" w:rsidR="00E72F37" w:rsidRDefault="00E72F37" w:rsidP="002E3281">
            <w:pPr>
              <w:tabs>
                <w:tab w:val="decimal" w:pos="936"/>
              </w:tabs>
            </w:pPr>
            <w:r>
              <w:t>3.88</w:t>
            </w:r>
          </w:p>
        </w:tc>
        <w:tc>
          <w:tcPr>
            <w:tcW w:w="2286" w:type="dxa"/>
            <w:tcBorders>
              <w:bottom w:val="single" w:sz="4" w:space="0" w:color="auto"/>
            </w:tcBorders>
          </w:tcPr>
          <w:p w14:paraId="2861F974" w14:textId="34FD7B05" w:rsidR="00E72F37" w:rsidRDefault="00E72F37" w:rsidP="002E3281">
            <w:pPr>
              <w:tabs>
                <w:tab w:val="decimal" w:pos="900"/>
              </w:tabs>
            </w:pPr>
            <w:r>
              <w:t>3.70</w:t>
            </w:r>
          </w:p>
        </w:tc>
      </w:tr>
      <w:tr w:rsidR="00E72F37" w14:paraId="260BA614" w14:textId="77777777" w:rsidTr="00562654">
        <w:tc>
          <w:tcPr>
            <w:tcW w:w="9576" w:type="dxa"/>
            <w:gridSpan w:val="4"/>
            <w:tcBorders>
              <w:top w:val="single" w:sz="4" w:space="0" w:color="auto"/>
            </w:tcBorders>
          </w:tcPr>
          <w:p w14:paraId="51925453" w14:textId="4EC06B7F" w:rsidR="00E72F37" w:rsidRDefault="00E72F37" w:rsidP="002E3281">
            <w:proofErr w:type="spellStart"/>
            <w:proofErr w:type="gramStart"/>
            <w:r>
              <w:rPr>
                <w:vertAlign w:val="superscript"/>
              </w:rPr>
              <w:t>a</w:t>
            </w:r>
            <w:r>
              <w:t>Percent</w:t>
            </w:r>
            <w:proofErr w:type="spellEnd"/>
            <w:proofErr w:type="gramEnd"/>
            <w:r>
              <w:t xml:space="preserve"> of participants who reported being aware of the issue.</w:t>
            </w:r>
          </w:p>
          <w:p w14:paraId="4817A922" w14:textId="4B391E82" w:rsidR="00E72F37" w:rsidRDefault="00E72F37" w:rsidP="002E3281">
            <w:proofErr w:type="spellStart"/>
            <w:proofErr w:type="gramStart"/>
            <w:r>
              <w:rPr>
                <w:vertAlign w:val="superscript"/>
              </w:rPr>
              <w:t>b</w:t>
            </w:r>
            <w:r>
              <w:t>Mean</w:t>
            </w:r>
            <w:proofErr w:type="spellEnd"/>
            <w:proofErr w:type="gramEnd"/>
            <w:r>
              <w:t xml:space="preserve"> for responses coded as 1 = Unimportant, 2 = Slightly Unimportant, 3 = Neutral, 4 = Slightly Important, and 5 = Important.</w:t>
            </w:r>
          </w:p>
          <w:p w14:paraId="6569C732" w14:textId="6A5147B7" w:rsidR="00E72F37" w:rsidRPr="0062571E" w:rsidRDefault="00E72F37" w:rsidP="002E3281">
            <w:proofErr w:type="spellStart"/>
            <w:proofErr w:type="gramStart"/>
            <w:r>
              <w:rPr>
                <w:vertAlign w:val="superscript"/>
              </w:rPr>
              <w:t>c</w:t>
            </w:r>
            <w:r>
              <w:t>Mean</w:t>
            </w:r>
            <w:proofErr w:type="spellEnd"/>
            <w:proofErr w:type="gramEnd"/>
            <w:r>
              <w:t xml:space="preserve"> for responses coded as 1 = Oppose, 2 = Slightly Oppose, 3 = Neutral, 4 = Slightly Support, and 5 = Support.</w:t>
            </w:r>
          </w:p>
        </w:tc>
      </w:tr>
    </w:tbl>
    <w:p w14:paraId="0CA046DB" w14:textId="77777777" w:rsidR="00C61962" w:rsidRDefault="00C61962" w:rsidP="002E3281"/>
    <w:p w14:paraId="564795E9" w14:textId="326863D3" w:rsidR="00013BE6" w:rsidRDefault="009F7169" w:rsidP="002E3281">
      <w:pPr>
        <w:jc w:val="center"/>
        <w:rPr>
          <w:b/>
        </w:rPr>
      </w:pPr>
      <w:r>
        <w:rPr>
          <w:b/>
        </w:rPr>
        <w:t>Conclusions</w:t>
      </w:r>
      <w:r w:rsidR="003D41DC">
        <w:rPr>
          <w:b/>
        </w:rPr>
        <w:t xml:space="preserve"> &amp; </w:t>
      </w:r>
      <w:r>
        <w:rPr>
          <w:b/>
        </w:rPr>
        <w:t>Recommendations</w:t>
      </w:r>
    </w:p>
    <w:p w14:paraId="4A1328E2" w14:textId="5AF73807" w:rsidR="00560559" w:rsidRDefault="00560559" w:rsidP="009E1C8F">
      <w:pPr>
        <w:ind w:firstLine="360"/>
      </w:pPr>
      <w:r>
        <w:t xml:space="preserve">The participants were generally unaware of the issues, indicating a disconnect between the general public and the </w:t>
      </w:r>
      <w:r w:rsidR="00A42522">
        <w:t xml:space="preserve">important </w:t>
      </w:r>
      <w:r>
        <w:t>issues facing the agriculture and natural resources industry</w:t>
      </w:r>
      <w:r w:rsidR="00A42522">
        <w:t>, as indicated by opinion leaders</w:t>
      </w:r>
      <w:r>
        <w:t>.</w:t>
      </w:r>
      <w:r w:rsidR="00181BD3">
        <w:t xml:space="preserve"> This</w:t>
      </w:r>
      <w:r w:rsidR="004B4206">
        <w:t xml:space="preserve"> lack of awareness is </w:t>
      </w:r>
      <w:r w:rsidR="00181BD3">
        <w:t>consistent with past research showing a</w:t>
      </w:r>
      <w:r w:rsidR="004B4206">
        <w:t xml:space="preserve"> lack of </w:t>
      </w:r>
      <w:r w:rsidR="00181BD3">
        <w:t xml:space="preserve">agricultural and political </w:t>
      </w:r>
      <w:r w:rsidR="004B4206">
        <w:t xml:space="preserve">knowledge </w:t>
      </w:r>
      <w:r w:rsidR="00181BD3">
        <w:t>for</w:t>
      </w:r>
      <w:r w:rsidR="004B4206">
        <w:t xml:space="preserve"> the general public (</w:t>
      </w:r>
      <w:proofErr w:type="spellStart"/>
      <w:r w:rsidR="00181BD3">
        <w:t>Donsbach</w:t>
      </w:r>
      <w:proofErr w:type="spellEnd"/>
      <w:r w:rsidR="00181BD3">
        <w:t xml:space="preserve"> &amp; </w:t>
      </w:r>
      <w:proofErr w:type="spellStart"/>
      <w:r w:rsidR="00181BD3">
        <w:t>Traugott</w:t>
      </w:r>
      <w:proofErr w:type="spellEnd"/>
      <w:r w:rsidR="00181BD3">
        <w:t xml:space="preserve">, 2008; </w:t>
      </w:r>
      <w:r w:rsidR="004B4206">
        <w:t>Powell &amp; Agnew, 2011).</w:t>
      </w:r>
      <w:r>
        <w:t xml:space="preserve"> Though participants were generally unaware of the issues, </w:t>
      </w:r>
      <w:r w:rsidR="00A46894">
        <w:t>participants considered the issues important</w:t>
      </w:r>
      <w:r>
        <w:t xml:space="preserve">. </w:t>
      </w:r>
      <w:r w:rsidR="008157CF">
        <w:t>The immigration and water quality issues were the most important to participants and the most likely to be</w:t>
      </w:r>
      <w:r w:rsidR="005B62C4">
        <w:t xml:space="preserve"> supported</w:t>
      </w:r>
      <w:r w:rsidR="008157CF">
        <w:t xml:space="preserve">. </w:t>
      </w:r>
      <w:proofErr w:type="gramStart"/>
      <w:r w:rsidR="00AB094E">
        <w:t>The participants</w:t>
      </w:r>
      <w:r w:rsidR="006B0A08">
        <w:t>’ perceptions of the issues as important is</w:t>
      </w:r>
      <w:r w:rsidR="00AB094E">
        <w:t xml:space="preserve"> similar to the opinion leaders’ perceptions issues</w:t>
      </w:r>
      <w:r w:rsidR="003331A6">
        <w:t>, which is in line with past opinion leader literature (Rogers, 2003).</w:t>
      </w:r>
      <w:proofErr w:type="gramEnd"/>
      <w:r w:rsidR="003331A6">
        <w:t xml:space="preserve"> </w:t>
      </w:r>
      <w:r w:rsidR="004B4206">
        <w:t>The results are also in line with literature stating the public is concerned with agriculture and natural resources (Baker, 2011)</w:t>
      </w:r>
      <w:r w:rsidR="00AB094E">
        <w:t xml:space="preserve">. </w:t>
      </w:r>
      <w:r w:rsidR="00F14D46">
        <w:t>For the public to take actions to support the agriculture and natural resources industry, motivation is present, as indicated by the public’s perception of the issues’ importance, but knowledge is lacking, as indicated by the public’s lack of awareness of the issues facing agriculture and natural resources (</w:t>
      </w:r>
      <w:proofErr w:type="spellStart"/>
      <w:r w:rsidR="00F14D46">
        <w:t>Donsbach</w:t>
      </w:r>
      <w:proofErr w:type="spellEnd"/>
      <w:r w:rsidR="00F14D46">
        <w:t xml:space="preserve"> &amp; </w:t>
      </w:r>
      <w:proofErr w:type="spellStart"/>
      <w:r w:rsidR="00F14D46">
        <w:t>Traugott</w:t>
      </w:r>
      <w:proofErr w:type="spellEnd"/>
      <w:r w:rsidR="00F14D46">
        <w:t>, 2008).</w:t>
      </w:r>
    </w:p>
    <w:p w14:paraId="134EF080" w14:textId="7B8F0201" w:rsidR="009F7169" w:rsidRDefault="002E3281" w:rsidP="009E1C8F">
      <w:pPr>
        <w:ind w:firstLine="360"/>
        <w:rPr>
          <w:b/>
        </w:rPr>
      </w:pPr>
      <w:r>
        <w:t>For practitioners, efforts should continue to improve agricultural knowledge, particularly in regard to policy issues. These results indicate the public in [state] considers the issues facing agriculture and natural resources important, but they will be more likely to act with an increase in knowledge, which was not the case in this study (</w:t>
      </w:r>
      <w:proofErr w:type="spellStart"/>
      <w:r>
        <w:t>Donsbach</w:t>
      </w:r>
      <w:proofErr w:type="spellEnd"/>
      <w:r>
        <w:t xml:space="preserve"> &amp; </w:t>
      </w:r>
      <w:proofErr w:type="spellStart"/>
      <w:r>
        <w:t>Traugott</w:t>
      </w:r>
      <w:proofErr w:type="spellEnd"/>
      <w:r>
        <w:t xml:space="preserve">, 2008). </w:t>
      </w:r>
      <w:r w:rsidR="00063187">
        <w:t xml:space="preserve">For future research, the process for issues selection should be altered. </w:t>
      </w:r>
      <w:r w:rsidR="009F7169">
        <w:t>In th</w:t>
      </w:r>
      <w:r w:rsidR="00063187">
        <w:t>is survey</w:t>
      </w:r>
      <w:r w:rsidR="009F7169">
        <w:t xml:space="preserve">, opinion leaders selected a broad topic (e.g., regulation), while the final survey needed to refer to specific </w:t>
      </w:r>
      <w:r w:rsidR="001D4D5A">
        <w:t>policy</w:t>
      </w:r>
      <w:r w:rsidR="009F7169">
        <w:t xml:space="preserve"> issues (e.g., numeric nutrient criteria). </w:t>
      </w:r>
      <w:r w:rsidR="00063187">
        <w:t>O</w:t>
      </w:r>
      <w:r w:rsidR="009F7169">
        <w:t xml:space="preserve">pinion leaders </w:t>
      </w:r>
      <w:r w:rsidR="00063187">
        <w:t>should select specific</w:t>
      </w:r>
      <w:r w:rsidR="009F7169">
        <w:t xml:space="preserve"> </w:t>
      </w:r>
      <w:r w:rsidR="00FA13B5">
        <w:t>policy</w:t>
      </w:r>
      <w:r w:rsidR="009F7169">
        <w:t xml:space="preserve"> issues</w:t>
      </w:r>
      <w:r w:rsidR="00342B4D">
        <w:t xml:space="preserve"> to</w:t>
      </w:r>
      <w:r w:rsidR="00166765">
        <w:t xml:space="preserve"> more directly address policy issues consider</w:t>
      </w:r>
      <w:r w:rsidR="00342B4D">
        <w:t>ed</w:t>
      </w:r>
      <w:r w:rsidR="00166765">
        <w:t xml:space="preserve"> important</w:t>
      </w:r>
      <w:r w:rsidR="009F7169">
        <w:t xml:space="preserve">. The </w:t>
      </w:r>
      <w:r>
        <w:t>next</w:t>
      </w:r>
      <w:r w:rsidR="009F7169">
        <w:t xml:space="preserve"> recommendation is to expand </w:t>
      </w:r>
      <w:r w:rsidR="00166765">
        <w:t>the research to</w:t>
      </w:r>
      <w:r>
        <w:t xml:space="preserve"> a national scope</w:t>
      </w:r>
      <w:r w:rsidR="009F7169">
        <w:t xml:space="preserve">. While it is important to understand the perceptions in </w:t>
      </w:r>
      <w:r w:rsidR="00E72F37">
        <w:t>individual</w:t>
      </w:r>
      <w:r w:rsidR="009F7169">
        <w:t xml:space="preserve"> states, many </w:t>
      </w:r>
      <w:r w:rsidR="00166765">
        <w:t>policy</w:t>
      </w:r>
      <w:r w:rsidR="009F7169">
        <w:t xml:space="preserve"> issues </w:t>
      </w:r>
      <w:r w:rsidR="00166765">
        <w:t>have national implications</w:t>
      </w:r>
      <w:r w:rsidR="009F7169">
        <w:t xml:space="preserve">. To accomplish this, an accessible group of opinion leaders nationwide should be </w:t>
      </w:r>
      <w:r>
        <w:t>used, which</w:t>
      </w:r>
      <w:r w:rsidR="009F7169">
        <w:t xml:space="preserve"> could </w:t>
      </w:r>
      <w:r>
        <w:t>occur</w:t>
      </w:r>
      <w:r w:rsidR="009F7169">
        <w:t xml:space="preserve"> by utilizing similar leadership program</w:t>
      </w:r>
      <w:r>
        <w:t xml:space="preserve"> participants</w:t>
      </w:r>
      <w:r w:rsidR="009F7169">
        <w:t xml:space="preserve"> in multiple states. Accessing </w:t>
      </w:r>
      <w:r w:rsidR="00166765">
        <w:t xml:space="preserve">a nationally representative sample can be </w:t>
      </w:r>
      <w:proofErr w:type="gramStart"/>
      <w:r>
        <w:t>occur</w:t>
      </w:r>
      <w:proofErr w:type="gramEnd"/>
      <w:r>
        <w:t xml:space="preserve"> by</w:t>
      </w:r>
      <w:r w:rsidR="00166765">
        <w:t xml:space="preserve"> using the same third-party survey research center by expanding the scope of the panel.</w:t>
      </w:r>
      <w:r w:rsidR="00E20E4B">
        <w:rPr>
          <w:b/>
        </w:rPr>
        <w:br w:type="page"/>
      </w:r>
    </w:p>
    <w:p w14:paraId="566D24B5" w14:textId="77777777" w:rsidR="00FD447C" w:rsidRDefault="00E20E4B" w:rsidP="005F7BC5">
      <w:pPr>
        <w:spacing w:after="240"/>
        <w:jc w:val="center"/>
      </w:pPr>
      <w:r>
        <w:rPr>
          <w:b/>
        </w:rPr>
        <w:t>Re</w:t>
      </w:r>
      <w:r w:rsidR="00FD447C">
        <w:rPr>
          <w:b/>
        </w:rPr>
        <w:t>ferences</w:t>
      </w:r>
    </w:p>
    <w:p w14:paraId="012C9564" w14:textId="4550783B" w:rsidR="005F7BC5" w:rsidRDefault="005F7BC5" w:rsidP="00FC081D">
      <w:pPr>
        <w:spacing w:after="240"/>
        <w:ind w:left="720" w:hanging="720"/>
      </w:pPr>
      <w:r>
        <w:t xml:space="preserve">Baker, L. M. (2011). </w:t>
      </w:r>
      <w:r>
        <w:rPr>
          <w:i/>
        </w:rPr>
        <w:t>The agenda-setting effects of new media on the policy agenda: A quantitative content analysis of the blogosphere agenda, online elite media agenda, specialized public opinion agenda, interest group agenda, and the policy agenda</w:t>
      </w:r>
      <w:r>
        <w:t xml:space="preserve"> (Doctoral dissertation). </w:t>
      </w:r>
      <w:proofErr w:type="gramStart"/>
      <w:r>
        <w:t xml:space="preserve">Retrieved from </w:t>
      </w:r>
      <w:proofErr w:type="spellStart"/>
      <w:r>
        <w:t>ProQuest</w:t>
      </w:r>
      <w:proofErr w:type="spellEnd"/>
      <w:r>
        <w:t>.</w:t>
      </w:r>
      <w:proofErr w:type="gramEnd"/>
      <w:r>
        <w:t xml:space="preserve"> (Document ID No. </w:t>
      </w:r>
      <w:r w:rsidRPr="005F7BC5">
        <w:t>2425088511</w:t>
      </w:r>
      <w:r>
        <w:t>)</w:t>
      </w:r>
    </w:p>
    <w:p w14:paraId="6053D92D" w14:textId="622CB070" w:rsidR="00FC081D" w:rsidRDefault="00FC081D" w:rsidP="00FC081D">
      <w:pPr>
        <w:spacing w:after="240"/>
        <w:ind w:left="720" w:hanging="720"/>
      </w:pPr>
      <w:proofErr w:type="spellStart"/>
      <w:proofErr w:type="gramStart"/>
      <w:r>
        <w:t>Doerfert</w:t>
      </w:r>
      <w:proofErr w:type="spellEnd"/>
      <w:r>
        <w:t>, D. L. (Ed.)</w:t>
      </w:r>
      <w:r w:rsidR="0077240C">
        <w:t>.</w:t>
      </w:r>
      <w:proofErr w:type="gramEnd"/>
      <w:r>
        <w:t xml:space="preserve"> (2011). </w:t>
      </w:r>
      <w:r>
        <w:rPr>
          <w:i/>
        </w:rPr>
        <w:t>National research agenda: American Association for Agricultural Education’s research priority areas for 2011-2015</w:t>
      </w:r>
      <w:r>
        <w:t>. Lubbock, TX: Texas Tech University, Department of Agricultural Education and Communications.</w:t>
      </w:r>
    </w:p>
    <w:p w14:paraId="2C0766DD" w14:textId="2333A0E2" w:rsidR="0077240C" w:rsidRPr="0077240C" w:rsidRDefault="0077240C" w:rsidP="00FC081D">
      <w:pPr>
        <w:spacing w:after="240"/>
        <w:ind w:left="720" w:hanging="720"/>
      </w:pPr>
      <w:proofErr w:type="spellStart"/>
      <w:proofErr w:type="gramStart"/>
      <w:r>
        <w:t>Donsbach</w:t>
      </w:r>
      <w:proofErr w:type="spellEnd"/>
      <w:r>
        <w:t xml:space="preserve">, W., &amp; </w:t>
      </w:r>
      <w:proofErr w:type="spellStart"/>
      <w:r>
        <w:t>Traugott</w:t>
      </w:r>
      <w:proofErr w:type="spellEnd"/>
      <w:r>
        <w:t>, M. W. (Eds.).</w:t>
      </w:r>
      <w:proofErr w:type="gramEnd"/>
      <w:r>
        <w:t xml:space="preserve"> </w:t>
      </w:r>
      <w:proofErr w:type="gramStart"/>
      <w:r>
        <w:t xml:space="preserve">(2008). </w:t>
      </w:r>
      <w:r>
        <w:rPr>
          <w:i/>
        </w:rPr>
        <w:t>The SAGE handbook of public opinion research</w:t>
      </w:r>
      <w:r>
        <w:t>.</w:t>
      </w:r>
      <w:proofErr w:type="gramEnd"/>
      <w:r>
        <w:t xml:space="preserve"> Thousand Oaks, CA: SAGE Publications, Inc.</w:t>
      </w:r>
    </w:p>
    <w:p w14:paraId="524F3289" w14:textId="77777777" w:rsidR="00FC081D" w:rsidRDefault="00FC081D" w:rsidP="00FC081D">
      <w:pPr>
        <w:spacing w:after="240"/>
        <w:ind w:left="720" w:hanging="720"/>
      </w:pPr>
      <w:r w:rsidRPr="00FC081D">
        <w:t xml:space="preserve">Goodwin, J. N., </w:t>
      </w:r>
      <w:proofErr w:type="spellStart"/>
      <w:r w:rsidRPr="00FC081D">
        <w:t>Chiarelli</w:t>
      </w:r>
      <w:proofErr w:type="spellEnd"/>
      <w:r w:rsidRPr="00FC081D">
        <w:t xml:space="preserve">, C., &amp; </w:t>
      </w:r>
      <w:proofErr w:type="spellStart"/>
      <w:r w:rsidRPr="00FC081D">
        <w:t>Irani</w:t>
      </w:r>
      <w:proofErr w:type="spellEnd"/>
      <w:r w:rsidRPr="00FC081D">
        <w:t xml:space="preserve">, T. (in press). Is perception reality? Improving agricultural messages by discovering how consumers perceive messages. </w:t>
      </w:r>
      <w:proofErr w:type="gramStart"/>
      <w:r w:rsidRPr="00FC081D">
        <w:rPr>
          <w:i/>
        </w:rPr>
        <w:t>Journal of Applied Communications</w:t>
      </w:r>
      <w:r>
        <w:t>.</w:t>
      </w:r>
      <w:proofErr w:type="gramEnd"/>
    </w:p>
    <w:p w14:paraId="152061FF" w14:textId="1C877A31" w:rsidR="00FC081D" w:rsidRDefault="00FC081D" w:rsidP="00FC081D">
      <w:pPr>
        <w:spacing w:after="240"/>
        <w:ind w:left="720" w:hanging="720"/>
      </w:pPr>
      <w:proofErr w:type="gramStart"/>
      <w:r w:rsidRPr="00FC081D">
        <w:t>Powell, D. V., &amp; Agnew, D. M. (2011).</w:t>
      </w:r>
      <w:proofErr w:type="gramEnd"/>
      <w:r w:rsidRPr="00FC081D">
        <w:t xml:space="preserve"> </w:t>
      </w:r>
      <w:proofErr w:type="gramStart"/>
      <w:r w:rsidRPr="00FC081D">
        <w:t>Assessing agricultural literacy elements of project food land and people in K-5 using the food and fiber systems literacy standards</w:t>
      </w:r>
      <w:r w:rsidRPr="00FC081D">
        <w:rPr>
          <w:i/>
        </w:rPr>
        <w:t>.</w:t>
      </w:r>
      <w:proofErr w:type="gramEnd"/>
      <w:r w:rsidRPr="00FC081D">
        <w:rPr>
          <w:i/>
        </w:rPr>
        <w:t xml:space="preserve"> Journal of Agricultural Education, 52</w:t>
      </w:r>
      <w:r w:rsidRPr="00FC081D">
        <w:t>(1), 155-170. doi:10.5032/jae.2011.01155</w:t>
      </w:r>
    </w:p>
    <w:p w14:paraId="5C690922" w14:textId="3EFC6A89" w:rsidR="00302150" w:rsidRDefault="00FC081D" w:rsidP="00FC081D">
      <w:pPr>
        <w:spacing w:after="240"/>
        <w:ind w:left="720" w:hanging="720"/>
      </w:pPr>
      <w:r w:rsidRPr="00FC081D">
        <w:t xml:space="preserve">Rogers, E.M. (2003). </w:t>
      </w:r>
      <w:r w:rsidRPr="00FC081D">
        <w:rPr>
          <w:i/>
        </w:rPr>
        <w:t>Diffusion of Innovations</w:t>
      </w:r>
      <w:r w:rsidRPr="00FC081D">
        <w:t xml:space="preserve"> (5th </w:t>
      </w:r>
      <w:proofErr w:type="gramStart"/>
      <w:r w:rsidRPr="00FC081D">
        <w:t>ed</w:t>
      </w:r>
      <w:proofErr w:type="gramEnd"/>
      <w:r w:rsidRPr="00FC081D">
        <w:t>.). New York</w:t>
      </w:r>
      <w:r>
        <w:t>, NY</w:t>
      </w:r>
      <w:r w:rsidRPr="00FC081D">
        <w:t>: Free Press.</w:t>
      </w:r>
    </w:p>
    <w:p w14:paraId="20CDA082" w14:textId="77777777" w:rsidR="00302150" w:rsidRPr="00302150" w:rsidRDefault="00302150" w:rsidP="00302150"/>
    <w:p w14:paraId="2FCBA3B5" w14:textId="77777777" w:rsidR="00302150" w:rsidRPr="00302150" w:rsidRDefault="00302150" w:rsidP="00302150"/>
    <w:p w14:paraId="60918324" w14:textId="77777777" w:rsidR="00302150" w:rsidRPr="00302150" w:rsidRDefault="00302150" w:rsidP="00302150"/>
    <w:p w14:paraId="278D5569" w14:textId="77777777" w:rsidR="00302150" w:rsidRPr="00302150" w:rsidRDefault="00302150" w:rsidP="00302150"/>
    <w:p w14:paraId="7F3583B6" w14:textId="77777777" w:rsidR="00302150" w:rsidRPr="00302150" w:rsidRDefault="00302150" w:rsidP="00302150"/>
    <w:p w14:paraId="146BD26F" w14:textId="77777777" w:rsidR="00302150" w:rsidRPr="00302150" w:rsidRDefault="00302150" w:rsidP="00302150"/>
    <w:p w14:paraId="20E3E47B" w14:textId="77777777" w:rsidR="00302150" w:rsidRPr="00302150" w:rsidRDefault="00302150" w:rsidP="00302150"/>
    <w:p w14:paraId="473C8030" w14:textId="77777777" w:rsidR="00302150" w:rsidRPr="00302150" w:rsidRDefault="00302150" w:rsidP="00302150"/>
    <w:p w14:paraId="06C7F486" w14:textId="77777777" w:rsidR="00302150" w:rsidRPr="00302150" w:rsidRDefault="00302150" w:rsidP="00302150"/>
    <w:p w14:paraId="546EADF1" w14:textId="77777777" w:rsidR="00302150" w:rsidRPr="00302150" w:rsidRDefault="00302150" w:rsidP="00302150"/>
    <w:p w14:paraId="5353E7D4" w14:textId="77777777" w:rsidR="00302150" w:rsidRPr="00302150" w:rsidRDefault="00302150" w:rsidP="00302150"/>
    <w:p w14:paraId="748FD897" w14:textId="54F18FB3" w:rsidR="00302150" w:rsidRDefault="00302150" w:rsidP="00302150"/>
    <w:p w14:paraId="52229E24" w14:textId="1519BC4C" w:rsidR="00302150" w:rsidRDefault="00302150" w:rsidP="00302150"/>
    <w:p w14:paraId="175974B2" w14:textId="5DDE9645" w:rsidR="00FC081D" w:rsidRPr="00302150" w:rsidRDefault="00302150" w:rsidP="00302150">
      <w:pPr>
        <w:tabs>
          <w:tab w:val="left" w:pos="1508"/>
        </w:tabs>
      </w:pPr>
      <w:r>
        <w:tab/>
      </w:r>
    </w:p>
    <w:sectPr w:rsidR="00FC081D" w:rsidRPr="0030215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28822" w14:textId="77777777" w:rsidR="00704E16" w:rsidRDefault="00704E16" w:rsidP="00FD447C">
      <w:r>
        <w:separator/>
      </w:r>
    </w:p>
  </w:endnote>
  <w:endnote w:type="continuationSeparator" w:id="0">
    <w:p w14:paraId="5C041594" w14:textId="77777777" w:rsidR="00704E16" w:rsidRDefault="00704E16" w:rsidP="00FD4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D94EB" w14:textId="77777777" w:rsidR="00BD6575" w:rsidRDefault="00BD65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CF643" w14:textId="77777777" w:rsidR="00BD6575" w:rsidRDefault="00BD65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623CE" w14:textId="77777777" w:rsidR="00BD6575" w:rsidRDefault="00BD65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261529" w14:textId="77777777" w:rsidR="00704E16" w:rsidRDefault="00704E16" w:rsidP="00FD447C">
      <w:r>
        <w:separator/>
      </w:r>
    </w:p>
  </w:footnote>
  <w:footnote w:type="continuationSeparator" w:id="0">
    <w:p w14:paraId="7DEE382C" w14:textId="77777777" w:rsidR="00704E16" w:rsidRDefault="00704E16" w:rsidP="00FD44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FC82A" w14:textId="77777777" w:rsidR="00BD6575" w:rsidRDefault="00BD65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93F1D7" w14:textId="5AA4E17F" w:rsidR="00704E16" w:rsidRPr="00FD447C" w:rsidRDefault="009E1C8F" w:rsidP="00FD447C">
    <w:pPr>
      <w:pStyle w:val="Header"/>
      <w:jc w:val="right"/>
    </w:pPr>
    <w:r>
      <w:t>Research</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910B8" w14:textId="77777777" w:rsidR="00BD6575" w:rsidRDefault="00BD65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3F"/>
    <w:rsid w:val="00013BE6"/>
    <w:rsid w:val="00020EFA"/>
    <w:rsid w:val="00023B02"/>
    <w:rsid w:val="00057856"/>
    <w:rsid w:val="00063187"/>
    <w:rsid w:val="00073BA3"/>
    <w:rsid w:val="00101A2E"/>
    <w:rsid w:val="00112052"/>
    <w:rsid w:val="00136E66"/>
    <w:rsid w:val="00151BFF"/>
    <w:rsid w:val="00166765"/>
    <w:rsid w:val="00171AB4"/>
    <w:rsid w:val="00181BD3"/>
    <w:rsid w:val="001A0F83"/>
    <w:rsid w:val="001A41BA"/>
    <w:rsid w:val="001B162D"/>
    <w:rsid w:val="001D4D5A"/>
    <w:rsid w:val="00235168"/>
    <w:rsid w:val="002B219A"/>
    <w:rsid w:val="002C2260"/>
    <w:rsid w:val="002C5083"/>
    <w:rsid w:val="002D7631"/>
    <w:rsid w:val="002E3281"/>
    <w:rsid w:val="00302150"/>
    <w:rsid w:val="003331A6"/>
    <w:rsid w:val="00342B4D"/>
    <w:rsid w:val="00354408"/>
    <w:rsid w:val="003D41DC"/>
    <w:rsid w:val="003D4776"/>
    <w:rsid w:val="0040455F"/>
    <w:rsid w:val="00414B2D"/>
    <w:rsid w:val="00417E05"/>
    <w:rsid w:val="00461A05"/>
    <w:rsid w:val="004B4206"/>
    <w:rsid w:val="00560559"/>
    <w:rsid w:val="00562654"/>
    <w:rsid w:val="0056699B"/>
    <w:rsid w:val="00574945"/>
    <w:rsid w:val="00595D8C"/>
    <w:rsid w:val="00597E3A"/>
    <w:rsid w:val="005B62C4"/>
    <w:rsid w:val="005D6AE2"/>
    <w:rsid w:val="005F7BC5"/>
    <w:rsid w:val="0060150C"/>
    <w:rsid w:val="0062571E"/>
    <w:rsid w:val="00693AF6"/>
    <w:rsid w:val="006B0A08"/>
    <w:rsid w:val="00704E16"/>
    <w:rsid w:val="00721D45"/>
    <w:rsid w:val="00746025"/>
    <w:rsid w:val="0077240C"/>
    <w:rsid w:val="008157CF"/>
    <w:rsid w:val="008620F2"/>
    <w:rsid w:val="0089230E"/>
    <w:rsid w:val="008B5342"/>
    <w:rsid w:val="008D3A4B"/>
    <w:rsid w:val="00923184"/>
    <w:rsid w:val="00937909"/>
    <w:rsid w:val="0094371D"/>
    <w:rsid w:val="009664DE"/>
    <w:rsid w:val="00981251"/>
    <w:rsid w:val="009A1C54"/>
    <w:rsid w:val="009E1C8F"/>
    <w:rsid w:val="009F7169"/>
    <w:rsid w:val="00A10290"/>
    <w:rsid w:val="00A42522"/>
    <w:rsid w:val="00A46894"/>
    <w:rsid w:val="00AB094E"/>
    <w:rsid w:val="00AE16CA"/>
    <w:rsid w:val="00B12445"/>
    <w:rsid w:val="00BA6B92"/>
    <w:rsid w:val="00BD6575"/>
    <w:rsid w:val="00C61962"/>
    <w:rsid w:val="00D131DA"/>
    <w:rsid w:val="00D21A99"/>
    <w:rsid w:val="00D6263F"/>
    <w:rsid w:val="00DC3DB8"/>
    <w:rsid w:val="00DE23F0"/>
    <w:rsid w:val="00E20E4B"/>
    <w:rsid w:val="00E617D3"/>
    <w:rsid w:val="00E72F37"/>
    <w:rsid w:val="00E86970"/>
    <w:rsid w:val="00F03BC6"/>
    <w:rsid w:val="00F14D46"/>
    <w:rsid w:val="00F477EB"/>
    <w:rsid w:val="00F9739A"/>
    <w:rsid w:val="00FA13B5"/>
    <w:rsid w:val="00FA72A8"/>
    <w:rsid w:val="00FC081D"/>
    <w:rsid w:val="00FD447C"/>
    <w:rsid w:val="00FF1975"/>
    <w:rsid w:val="00FF4E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D9D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447C"/>
    <w:rPr>
      <w:color w:val="0000FF" w:themeColor="hyperlink"/>
      <w:u w:val="single"/>
    </w:rPr>
  </w:style>
  <w:style w:type="paragraph" w:styleId="Header">
    <w:name w:val="header"/>
    <w:basedOn w:val="Normal"/>
    <w:link w:val="HeaderChar"/>
    <w:uiPriority w:val="99"/>
    <w:unhideWhenUsed/>
    <w:rsid w:val="00FD447C"/>
    <w:pPr>
      <w:tabs>
        <w:tab w:val="center" w:pos="4680"/>
        <w:tab w:val="right" w:pos="9360"/>
      </w:tabs>
    </w:pPr>
  </w:style>
  <w:style w:type="character" w:customStyle="1" w:styleId="HeaderChar">
    <w:name w:val="Header Char"/>
    <w:basedOn w:val="DefaultParagraphFont"/>
    <w:link w:val="Header"/>
    <w:uiPriority w:val="99"/>
    <w:rsid w:val="00FD447C"/>
  </w:style>
  <w:style w:type="paragraph" w:styleId="Footer">
    <w:name w:val="footer"/>
    <w:basedOn w:val="Normal"/>
    <w:link w:val="FooterChar"/>
    <w:uiPriority w:val="99"/>
    <w:unhideWhenUsed/>
    <w:rsid w:val="00FD447C"/>
    <w:pPr>
      <w:tabs>
        <w:tab w:val="center" w:pos="4680"/>
        <w:tab w:val="right" w:pos="9360"/>
      </w:tabs>
    </w:pPr>
  </w:style>
  <w:style w:type="character" w:customStyle="1" w:styleId="FooterChar">
    <w:name w:val="Footer Char"/>
    <w:basedOn w:val="DefaultParagraphFont"/>
    <w:link w:val="Footer"/>
    <w:uiPriority w:val="99"/>
    <w:rsid w:val="00FD447C"/>
  </w:style>
  <w:style w:type="character" w:styleId="CommentReference">
    <w:name w:val="annotation reference"/>
    <w:basedOn w:val="DefaultParagraphFont"/>
    <w:uiPriority w:val="99"/>
    <w:semiHidden/>
    <w:unhideWhenUsed/>
    <w:rsid w:val="0040455F"/>
    <w:rPr>
      <w:sz w:val="16"/>
      <w:szCs w:val="16"/>
    </w:rPr>
  </w:style>
  <w:style w:type="paragraph" w:styleId="CommentText">
    <w:name w:val="annotation text"/>
    <w:basedOn w:val="Normal"/>
    <w:link w:val="CommentTextChar"/>
    <w:uiPriority w:val="99"/>
    <w:semiHidden/>
    <w:unhideWhenUsed/>
    <w:rsid w:val="0040455F"/>
    <w:rPr>
      <w:sz w:val="20"/>
      <w:szCs w:val="20"/>
    </w:rPr>
  </w:style>
  <w:style w:type="character" w:customStyle="1" w:styleId="CommentTextChar">
    <w:name w:val="Comment Text Char"/>
    <w:basedOn w:val="DefaultParagraphFont"/>
    <w:link w:val="CommentText"/>
    <w:uiPriority w:val="99"/>
    <w:semiHidden/>
    <w:rsid w:val="0040455F"/>
    <w:rPr>
      <w:sz w:val="20"/>
      <w:szCs w:val="20"/>
    </w:rPr>
  </w:style>
  <w:style w:type="paragraph" w:styleId="CommentSubject">
    <w:name w:val="annotation subject"/>
    <w:basedOn w:val="CommentText"/>
    <w:next w:val="CommentText"/>
    <w:link w:val="CommentSubjectChar"/>
    <w:uiPriority w:val="99"/>
    <w:semiHidden/>
    <w:unhideWhenUsed/>
    <w:rsid w:val="0040455F"/>
    <w:rPr>
      <w:b/>
      <w:bCs/>
    </w:rPr>
  </w:style>
  <w:style w:type="character" w:customStyle="1" w:styleId="CommentSubjectChar">
    <w:name w:val="Comment Subject Char"/>
    <w:basedOn w:val="CommentTextChar"/>
    <w:link w:val="CommentSubject"/>
    <w:uiPriority w:val="99"/>
    <w:semiHidden/>
    <w:rsid w:val="0040455F"/>
    <w:rPr>
      <w:b/>
      <w:bCs/>
      <w:sz w:val="20"/>
      <w:szCs w:val="20"/>
    </w:rPr>
  </w:style>
  <w:style w:type="paragraph" w:styleId="BalloonText">
    <w:name w:val="Balloon Text"/>
    <w:basedOn w:val="Normal"/>
    <w:link w:val="BalloonTextChar"/>
    <w:uiPriority w:val="99"/>
    <w:semiHidden/>
    <w:unhideWhenUsed/>
    <w:rsid w:val="0040455F"/>
    <w:rPr>
      <w:rFonts w:ascii="Tahoma" w:hAnsi="Tahoma" w:cs="Tahoma"/>
      <w:sz w:val="16"/>
      <w:szCs w:val="16"/>
    </w:rPr>
  </w:style>
  <w:style w:type="character" w:customStyle="1" w:styleId="BalloonTextChar">
    <w:name w:val="Balloon Text Char"/>
    <w:basedOn w:val="DefaultParagraphFont"/>
    <w:link w:val="BalloonText"/>
    <w:uiPriority w:val="99"/>
    <w:semiHidden/>
    <w:rsid w:val="0040455F"/>
    <w:rPr>
      <w:rFonts w:ascii="Tahoma" w:hAnsi="Tahoma" w:cs="Tahoma"/>
      <w:sz w:val="16"/>
      <w:szCs w:val="16"/>
    </w:rPr>
  </w:style>
  <w:style w:type="table" w:styleId="TableGrid">
    <w:name w:val="Table Grid"/>
    <w:basedOn w:val="TableNormal"/>
    <w:uiPriority w:val="59"/>
    <w:rsid w:val="00C619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447C"/>
    <w:rPr>
      <w:color w:val="0000FF" w:themeColor="hyperlink"/>
      <w:u w:val="single"/>
    </w:rPr>
  </w:style>
  <w:style w:type="paragraph" w:styleId="Header">
    <w:name w:val="header"/>
    <w:basedOn w:val="Normal"/>
    <w:link w:val="HeaderChar"/>
    <w:uiPriority w:val="99"/>
    <w:unhideWhenUsed/>
    <w:rsid w:val="00FD447C"/>
    <w:pPr>
      <w:tabs>
        <w:tab w:val="center" w:pos="4680"/>
        <w:tab w:val="right" w:pos="9360"/>
      </w:tabs>
    </w:pPr>
  </w:style>
  <w:style w:type="character" w:customStyle="1" w:styleId="HeaderChar">
    <w:name w:val="Header Char"/>
    <w:basedOn w:val="DefaultParagraphFont"/>
    <w:link w:val="Header"/>
    <w:uiPriority w:val="99"/>
    <w:rsid w:val="00FD447C"/>
  </w:style>
  <w:style w:type="paragraph" w:styleId="Footer">
    <w:name w:val="footer"/>
    <w:basedOn w:val="Normal"/>
    <w:link w:val="FooterChar"/>
    <w:uiPriority w:val="99"/>
    <w:unhideWhenUsed/>
    <w:rsid w:val="00FD447C"/>
    <w:pPr>
      <w:tabs>
        <w:tab w:val="center" w:pos="4680"/>
        <w:tab w:val="right" w:pos="9360"/>
      </w:tabs>
    </w:pPr>
  </w:style>
  <w:style w:type="character" w:customStyle="1" w:styleId="FooterChar">
    <w:name w:val="Footer Char"/>
    <w:basedOn w:val="DefaultParagraphFont"/>
    <w:link w:val="Footer"/>
    <w:uiPriority w:val="99"/>
    <w:rsid w:val="00FD447C"/>
  </w:style>
  <w:style w:type="character" w:styleId="CommentReference">
    <w:name w:val="annotation reference"/>
    <w:basedOn w:val="DefaultParagraphFont"/>
    <w:uiPriority w:val="99"/>
    <w:semiHidden/>
    <w:unhideWhenUsed/>
    <w:rsid w:val="0040455F"/>
    <w:rPr>
      <w:sz w:val="16"/>
      <w:szCs w:val="16"/>
    </w:rPr>
  </w:style>
  <w:style w:type="paragraph" w:styleId="CommentText">
    <w:name w:val="annotation text"/>
    <w:basedOn w:val="Normal"/>
    <w:link w:val="CommentTextChar"/>
    <w:uiPriority w:val="99"/>
    <w:semiHidden/>
    <w:unhideWhenUsed/>
    <w:rsid w:val="0040455F"/>
    <w:rPr>
      <w:sz w:val="20"/>
      <w:szCs w:val="20"/>
    </w:rPr>
  </w:style>
  <w:style w:type="character" w:customStyle="1" w:styleId="CommentTextChar">
    <w:name w:val="Comment Text Char"/>
    <w:basedOn w:val="DefaultParagraphFont"/>
    <w:link w:val="CommentText"/>
    <w:uiPriority w:val="99"/>
    <w:semiHidden/>
    <w:rsid w:val="0040455F"/>
    <w:rPr>
      <w:sz w:val="20"/>
      <w:szCs w:val="20"/>
    </w:rPr>
  </w:style>
  <w:style w:type="paragraph" w:styleId="CommentSubject">
    <w:name w:val="annotation subject"/>
    <w:basedOn w:val="CommentText"/>
    <w:next w:val="CommentText"/>
    <w:link w:val="CommentSubjectChar"/>
    <w:uiPriority w:val="99"/>
    <w:semiHidden/>
    <w:unhideWhenUsed/>
    <w:rsid w:val="0040455F"/>
    <w:rPr>
      <w:b/>
      <w:bCs/>
    </w:rPr>
  </w:style>
  <w:style w:type="character" w:customStyle="1" w:styleId="CommentSubjectChar">
    <w:name w:val="Comment Subject Char"/>
    <w:basedOn w:val="CommentTextChar"/>
    <w:link w:val="CommentSubject"/>
    <w:uiPriority w:val="99"/>
    <w:semiHidden/>
    <w:rsid w:val="0040455F"/>
    <w:rPr>
      <w:b/>
      <w:bCs/>
      <w:sz w:val="20"/>
      <w:szCs w:val="20"/>
    </w:rPr>
  </w:style>
  <w:style w:type="paragraph" w:styleId="BalloonText">
    <w:name w:val="Balloon Text"/>
    <w:basedOn w:val="Normal"/>
    <w:link w:val="BalloonTextChar"/>
    <w:uiPriority w:val="99"/>
    <w:semiHidden/>
    <w:unhideWhenUsed/>
    <w:rsid w:val="0040455F"/>
    <w:rPr>
      <w:rFonts w:ascii="Tahoma" w:hAnsi="Tahoma" w:cs="Tahoma"/>
      <w:sz w:val="16"/>
      <w:szCs w:val="16"/>
    </w:rPr>
  </w:style>
  <w:style w:type="character" w:customStyle="1" w:styleId="BalloonTextChar">
    <w:name w:val="Balloon Text Char"/>
    <w:basedOn w:val="DefaultParagraphFont"/>
    <w:link w:val="BalloonText"/>
    <w:uiPriority w:val="99"/>
    <w:semiHidden/>
    <w:rsid w:val="0040455F"/>
    <w:rPr>
      <w:rFonts w:ascii="Tahoma" w:hAnsi="Tahoma" w:cs="Tahoma"/>
      <w:sz w:val="16"/>
      <w:szCs w:val="16"/>
    </w:rPr>
  </w:style>
  <w:style w:type="table" w:styleId="TableGrid">
    <w:name w:val="Table Grid"/>
    <w:basedOn w:val="TableNormal"/>
    <w:uiPriority w:val="59"/>
    <w:rsid w:val="00C619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1308</Words>
  <Characters>7457</Characters>
  <Application>Microsoft Office Word</Application>
  <DocSecurity>0</DocSecurity>
  <Lines>62</Lines>
  <Paragraphs>17</Paragraphs>
  <ScaleCrop>false</ScaleCrop>
  <Company/>
  <LinksUpToDate>false</LinksUpToDate>
  <CharactersWithSpaces>8748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2012-02-17T13:30:00Z</dcterms:created>
  <dcterms:modified xsi:type="dcterms:W3CDTF">2012-02-17T13:30:00Z</dcterms:modified>
</cp:coreProperties>
</file>