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F04" w:rsidRPr="005D0376" w:rsidRDefault="00013F04" w:rsidP="005D0376">
      <w:pPr>
        <w:spacing w:after="0" w:line="240" w:lineRule="auto"/>
        <w:jc w:val="center"/>
        <w:rPr>
          <w:rFonts w:ascii="Times New Roman" w:hAnsi="Times New Roman" w:cs="Times New Roman"/>
          <w:b/>
          <w:sz w:val="24"/>
          <w:szCs w:val="24"/>
        </w:rPr>
      </w:pPr>
    </w:p>
    <w:p w:rsidR="00013F04" w:rsidRPr="005D0376" w:rsidRDefault="00013F04" w:rsidP="005D0376">
      <w:pPr>
        <w:spacing w:after="0" w:line="240" w:lineRule="auto"/>
        <w:jc w:val="center"/>
        <w:rPr>
          <w:rFonts w:ascii="Times New Roman" w:hAnsi="Times New Roman" w:cs="Times New Roman"/>
          <w:b/>
          <w:sz w:val="24"/>
          <w:szCs w:val="24"/>
        </w:rPr>
      </w:pPr>
    </w:p>
    <w:p w:rsidR="00013F04" w:rsidRPr="005D0376" w:rsidRDefault="00013F04" w:rsidP="005D0376">
      <w:pPr>
        <w:spacing w:after="0" w:line="240" w:lineRule="auto"/>
        <w:jc w:val="center"/>
        <w:rPr>
          <w:rFonts w:ascii="Times New Roman" w:hAnsi="Times New Roman" w:cs="Times New Roman"/>
          <w:b/>
          <w:sz w:val="24"/>
          <w:szCs w:val="24"/>
        </w:rPr>
      </w:pPr>
    </w:p>
    <w:p w:rsidR="00013F04" w:rsidRPr="005D0376" w:rsidRDefault="00013F04" w:rsidP="005D0376">
      <w:pPr>
        <w:spacing w:after="0" w:line="240" w:lineRule="auto"/>
        <w:jc w:val="center"/>
        <w:rPr>
          <w:rFonts w:ascii="Times New Roman" w:hAnsi="Times New Roman" w:cs="Times New Roman"/>
          <w:b/>
          <w:sz w:val="24"/>
          <w:szCs w:val="24"/>
        </w:rPr>
      </w:pPr>
    </w:p>
    <w:p w:rsidR="00013F04" w:rsidRPr="005D0376" w:rsidRDefault="00013F04" w:rsidP="005D0376">
      <w:pPr>
        <w:spacing w:after="0" w:line="240" w:lineRule="auto"/>
        <w:jc w:val="center"/>
        <w:rPr>
          <w:rFonts w:ascii="Times New Roman" w:hAnsi="Times New Roman" w:cs="Times New Roman"/>
          <w:b/>
          <w:sz w:val="24"/>
          <w:szCs w:val="24"/>
        </w:rPr>
      </w:pPr>
    </w:p>
    <w:p w:rsidR="00AC2A22" w:rsidRDefault="00BE3B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Promoting </w:t>
      </w:r>
      <w:proofErr w:type="spellStart"/>
      <w:r>
        <w:rPr>
          <w:rFonts w:ascii="Times New Roman" w:hAnsi="Times New Roman" w:cs="Times New Roman"/>
          <w:b/>
          <w:sz w:val="24"/>
          <w:szCs w:val="24"/>
        </w:rPr>
        <w:t>Agri</w:t>
      </w:r>
      <w:proofErr w:type="spellEnd"/>
      <w:r>
        <w:rPr>
          <w:rFonts w:ascii="Times New Roman" w:hAnsi="Times New Roman" w:cs="Times New Roman"/>
          <w:b/>
          <w:sz w:val="24"/>
          <w:szCs w:val="24"/>
        </w:rPr>
        <w:t xml:space="preserve">-Science Literacy </w:t>
      </w:r>
    </w:p>
    <w:p w:rsidR="00AC2A22" w:rsidRDefault="00BE3B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Through A State Fair Learning Scavenger Hunt </w:t>
      </w:r>
    </w:p>
    <w:p w:rsidR="00AC2A22" w:rsidRDefault="00AC2A22" w:rsidP="00AC2A22">
      <w:pPr>
        <w:spacing w:line="240" w:lineRule="auto"/>
        <w:rPr>
          <w:rFonts w:ascii="Times New Roman" w:hAnsi="Times New Roman" w:cs="Times New Roman"/>
          <w:b/>
          <w:sz w:val="24"/>
          <w:szCs w:val="24"/>
        </w:rPr>
      </w:pPr>
    </w:p>
    <w:p w:rsidR="00AC2A22" w:rsidRDefault="00AC2A22" w:rsidP="00AC2A22">
      <w:pPr>
        <w:spacing w:line="240" w:lineRule="auto"/>
        <w:rPr>
          <w:rFonts w:ascii="Times New Roman" w:hAnsi="Times New Roman" w:cs="Times New Roman"/>
          <w:b/>
          <w:sz w:val="24"/>
          <w:szCs w:val="24"/>
        </w:rPr>
      </w:pPr>
    </w:p>
    <w:p w:rsidR="00AC2A22" w:rsidRDefault="00BE3BAC">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Bekah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Nortrup</w:t>
      </w:r>
      <w:proofErr w:type="spellEnd"/>
      <w:r>
        <w:rPr>
          <w:rFonts w:ascii="Times New Roman" w:hAnsi="Times New Roman" w:cs="Times New Roman"/>
          <w:sz w:val="24"/>
          <w:szCs w:val="24"/>
        </w:rPr>
        <w:t xml:space="preserve"> </w:t>
      </w:r>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Graduate Research Assistant</w:t>
      </w:r>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Department of Youth Development and Agricultural Education</w:t>
      </w:r>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Purdue University</w:t>
      </w:r>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221 Agricultural </w:t>
      </w:r>
      <w:proofErr w:type="gramStart"/>
      <w:r>
        <w:rPr>
          <w:rFonts w:ascii="Times New Roman" w:hAnsi="Times New Roman" w:cs="Times New Roman"/>
          <w:sz w:val="24"/>
          <w:szCs w:val="24"/>
        </w:rPr>
        <w:t>Administration</w:t>
      </w:r>
      <w:proofErr w:type="gramEnd"/>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West Lafayette, IN 47906</w:t>
      </w:r>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Phone: 317-642-7566</w:t>
      </w:r>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Email: rnortrup@purdue.edu</w:t>
      </w:r>
    </w:p>
    <w:p w:rsidR="00AC2A22" w:rsidRDefault="00AC2A22">
      <w:pPr>
        <w:spacing w:after="0" w:line="240" w:lineRule="auto"/>
        <w:jc w:val="center"/>
        <w:rPr>
          <w:rFonts w:ascii="Times New Roman" w:hAnsi="Times New Roman" w:cs="Times New Roman"/>
          <w:sz w:val="24"/>
          <w:szCs w:val="24"/>
        </w:rPr>
      </w:pPr>
    </w:p>
    <w:p w:rsidR="00AC2A22" w:rsidRDefault="00AC2A22">
      <w:pPr>
        <w:spacing w:after="0" w:line="240" w:lineRule="auto"/>
        <w:jc w:val="center"/>
        <w:rPr>
          <w:rFonts w:ascii="Times New Roman" w:hAnsi="Times New Roman" w:cs="Times New Roman"/>
          <w:sz w:val="24"/>
          <w:szCs w:val="24"/>
        </w:rPr>
      </w:pPr>
    </w:p>
    <w:p w:rsidR="00AC2A22" w:rsidRDefault="00BE3BAC">
      <w:pPr>
        <w:spacing w:after="0" w:line="240" w:lineRule="auto"/>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Levon</w:t>
      </w:r>
      <w:proofErr w:type="spellEnd"/>
      <w:r>
        <w:rPr>
          <w:rFonts w:ascii="Times New Roman" w:hAnsi="Times New Roman" w:cs="Times New Roman"/>
          <w:sz w:val="24"/>
          <w:szCs w:val="24"/>
        </w:rPr>
        <w:t xml:space="preserve"> Esters, Ph.D.</w:t>
      </w:r>
      <w:proofErr w:type="gramEnd"/>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Assistant Professor </w:t>
      </w:r>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Department of Youth Development and Agricultural Education</w:t>
      </w:r>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Purdue University</w:t>
      </w:r>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219 Agricultural </w:t>
      </w:r>
      <w:proofErr w:type="gramStart"/>
      <w:r>
        <w:rPr>
          <w:rFonts w:ascii="Times New Roman" w:hAnsi="Times New Roman" w:cs="Times New Roman"/>
          <w:sz w:val="24"/>
          <w:szCs w:val="24"/>
        </w:rPr>
        <w:t>Administration</w:t>
      </w:r>
      <w:proofErr w:type="gramEnd"/>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West Lafayette, IN 47906</w:t>
      </w:r>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Phone: 765-494-8423</w:t>
      </w:r>
    </w:p>
    <w:p w:rsidR="00AC2A22" w:rsidRDefault="00BE3BA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Email: </w:t>
      </w:r>
      <w:hyperlink r:id="rId8" w:history="1">
        <w:r w:rsidR="00AC2A22" w:rsidRPr="00AC2A22">
          <w:rPr>
            <w:rStyle w:val="Hyperlink"/>
            <w:rFonts w:ascii="Times New Roman" w:hAnsi="Times New Roman" w:cs="Times New Roman"/>
            <w:color w:val="auto"/>
            <w:sz w:val="24"/>
            <w:szCs w:val="24"/>
            <w:u w:val="none"/>
          </w:rPr>
          <w:t>lesters@purdue.edu</w:t>
        </w:r>
      </w:hyperlink>
    </w:p>
    <w:p w:rsidR="00AC2A22" w:rsidRDefault="00AC2A22">
      <w:pPr>
        <w:spacing w:after="0" w:line="240" w:lineRule="auto"/>
        <w:jc w:val="center"/>
        <w:rPr>
          <w:rFonts w:ascii="Times New Roman" w:hAnsi="Times New Roman" w:cs="Times New Roman"/>
          <w:sz w:val="24"/>
          <w:szCs w:val="24"/>
        </w:rPr>
      </w:pPr>
    </w:p>
    <w:p w:rsidR="00AC2A22" w:rsidRDefault="00AC2A22">
      <w:pPr>
        <w:spacing w:after="0" w:line="240" w:lineRule="auto"/>
        <w:jc w:val="center"/>
        <w:rPr>
          <w:rFonts w:ascii="Times New Roman" w:hAnsi="Times New Roman" w:cs="Times New Roman"/>
          <w:sz w:val="24"/>
          <w:szCs w:val="24"/>
        </w:rPr>
      </w:pPr>
    </w:p>
    <w:p w:rsidR="00AC2A22" w:rsidRPr="00AC2A22" w:rsidRDefault="00AC2A22" w:rsidP="00AC2A22">
      <w:pPr>
        <w:spacing w:after="0" w:line="240" w:lineRule="auto"/>
        <w:jc w:val="center"/>
        <w:rPr>
          <w:rFonts w:ascii="Times New Roman" w:hAnsi="Times New Roman" w:cs="Times New Roman"/>
          <w:sz w:val="24"/>
          <w:szCs w:val="24"/>
        </w:rPr>
      </w:pPr>
      <w:r w:rsidRPr="00AC2A22">
        <w:rPr>
          <w:rFonts w:ascii="Times New Roman" w:hAnsi="Times New Roman" w:cs="Times New Roman"/>
          <w:sz w:val="24"/>
          <w:szCs w:val="24"/>
        </w:rPr>
        <w:t>Justin Armstrong</w:t>
      </w:r>
    </w:p>
    <w:p w:rsidR="00AC2A22" w:rsidRPr="00AC2A22" w:rsidRDefault="00AC2A22" w:rsidP="00AC2A22">
      <w:pPr>
        <w:spacing w:after="0" w:line="240" w:lineRule="auto"/>
        <w:jc w:val="center"/>
        <w:rPr>
          <w:rFonts w:ascii="Times New Roman" w:hAnsi="Times New Roman" w:cs="Times New Roman"/>
          <w:sz w:val="24"/>
          <w:szCs w:val="24"/>
        </w:rPr>
      </w:pPr>
      <w:r w:rsidRPr="00AC2A22">
        <w:rPr>
          <w:rFonts w:ascii="Times New Roman" w:hAnsi="Times New Roman" w:cs="Times New Roman"/>
          <w:sz w:val="24"/>
          <w:szCs w:val="24"/>
        </w:rPr>
        <w:t>Director of Advancement</w:t>
      </w:r>
    </w:p>
    <w:p w:rsidR="00AC2A22" w:rsidRPr="00AC2A22" w:rsidRDefault="00AC2A22" w:rsidP="00AC2A22">
      <w:pPr>
        <w:spacing w:after="0" w:line="240" w:lineRule="auto"/>
        <w:jc w:val="center"/>
        <w:rPr>
          <w:rFonts w:ascii="Times New Roman" w:hAnsi="Times New Roman" w:cs="Times New Roman"/>
          <w:sz w:val="24"/>
          <w:szCs w:val="24"/>
        </w:rPr>
      </w:pPr>
      <w:r w:rsidRPr="00AC2A22">
        <w:rPr>
          <w:rFonts w:ascii="Times New Roman" w:hAnsi="Times New Roman" w:cs="Times New Roman"/>
          <w:sz w:val="24"/>
          <w:szCs w:val="24"/>
        </w:rPr>
        <w:t>Indiana State Fair Commission</w:t>
      </w:r>
    </w:p>
    <w:p w:rsidR="00AC2A22" w:rsidRPr="00AC2A22" w:rsidRDefault="00AC2A22" w:rsidP="00AC2A22">
      <w:pPr>
        <w:spacing w:after="0" w:line="240" w:lineRule="auto"/>
        <w:jc w:val="center"/>
        <w:rPr>
          <w:rStyle w:val="st"/>
          <w:rFonts w:ascii="Times New Roman" w:hAnsi="Times New Roman" w:cs="Times New Roman"/>
          <w:sz w:val="24"/>
          <w:szCs w:val="24"/>
        </w:rPr>
      </w:pPr>
      <w:r w:rsidRPr="00AC2A22">
        <w:rPr>
          <w:rStyle w:val="st"/>
          <w:rFonts w:ascii="Times New Roman" w:hAnsi="Times New Roman" w:cs="Times New Roman"/>
          <w:sz w:val="24"/>
          <w:szCs w:val="24"/>
        </w:rPr>
        <w:t>1202 East 38th St.</w:t>
      </w:r>
    </w:p>
    <w:p w:rsidR="00AC2A22" w:rsidRPr="00AC2A22" w:rsidRDefault="00AC2A22" w:rsidP="00AC2A22">
      <w:pPr>
        <w:spacing w:after="0" w:line="240" w:lineRule="auto"/>
        <w:jc w:val="center"/>
        <w:rPr>
          <w:rStyle w:val="st"/>
          <w:rFonts w:ascii="Times New Roman" w:hAnsi="Times New Roman" w:cs="Times New Roman"/>
          <w:sz w:val="24"/>
          <w:szCs w:val="24"/>
        </w:rPr>
      </w:pPr>
      <w:r w:rsidRPr="00AC2A22">
        <w:rPr>
          <w:rStyle w:val="st"/>
          <w:rFonts w:ascii="Times New Roman" w:hAnsi="Times New Roman" w:cs="Times New Roman"/>
          <w:sz w:val="24"/>
          <w:szCs w:val="24"/>
        </w:rPr>
        <w:t>Indianapolis, IN 46205</w:t>
      </w:r>
    </w:p>
    <w:p w:rsidR="00AC2A22" w:rsidRPr="00AC2A22" w:rsidRDefault="00AC2A22" w:rsidP="00AC2A22">
      <w:pPr>
        <w:spacing w:after="0" w:line="240" w:lineRule="auto"/>
        <w:jc w:val="center"/>
        <w:rPr>
          <w:rStyle w:val="st"/>
          <w:rFonts w:ascii="Times New Roman" w:hAnsi="Times New Roman" w:cs="Times New Roman"/>
          <w:sz w:val="24"/>
          <w:szCs w:val="24"/>
        </w:rPr>
      </w:pPr>
      <w:r w:rsidRPr="00AC2A22">
        <w:rPr>
          <w:rStyle w:val="st"/>
          <w:rFonts w:ascii="Times New Roman" w:hAnsi="Times New Roman" w:cs="Times New Roman"/>
          <w:sz w:val="24"/>
          <w:szCs w:val="24"/>
        </w:rPr>
        <w:t>Phone: 317-927-7500</w:t>
      </w:r>
    </w:p>
    <w:p w:rsidR="00AC2A22" w:rsidRPr="00AC2A22" w:rsidRDefault="00AC2A22" w:rsidP="00AC2A22">
      <w:pPr>
        <w:spacing w:after="0" w:line="240" w:lineRule="auto"/>
        <w:jc w:val="center"/>
        <w:rPr>
          <w:rFonts w:ascii="Times New Roman" w:hAnsi="Times New Roman" w:cs="Times New Roman"/>
          <w:sz w:val="24"/>
          <w:szCs w:val="24"/>
        </w:rPr>
      </w:pPr>
      <w:r w:rsidRPr="00AC2A22">
        <w:rPr>
          <w:rStyle w:val="st"/>
          <w:rFonts w:ascii="Times New Roman" w:hAnsi="Times New Roman" w:cs="Times New Roman"/>
          <w:sz w:val="24"/>
          <w:szCs w:val="24"/>
        </w:rPr>
        <w:t>Email: jarmstrong@indianastatefair.com</w:t>
      </w:r>
    </w:p>
    <w:p w:rsidR="00AC2A22" w:rsidRDefault="00AC2A22" w:rsidP="00AC2A22">
      <w:pPr>
        <w:spacing w:line="240" w:lineRule="auto"/>
        <w:rPr>
          <w:rFonts w:ascii="Times New Roman" w:hAnsi="Times New Roman" w:cs="Times New Roman"/>
          <w:b/>
          <w:sz w:val="24"/>
          <w:szCs w:val="24"/>
        </w:rPr>
      </w:pPr>
    </w:p>
    <w:p w:rsidR="00AC2A22" w:rsidRDefault="00BE3BAC" w:rsidP="00AC2A22">
      <w:pPr>
        <w:spacing w:line="240" w:lineRule="auto"/>
        <w:rPr>
          <w:rFonts w:ascii="Times New Roman" w:hAnsi="Times New Roman" w:cs="Times New Roman"/>
          <w:b/>
          <w:sz w:val="24"/>
          <w:szCs w:val="24"/>
        </w:rPr>
      </w:pPr>
      <w:r>
        <w:rPr>
          <w:rFonts w:ascii="Times New Roman" w:hAnsi="Times New Roman" w:cs="Times New Roman"/>
          <w:b/>
          <w:sz w:val="24"/>
          <w:szCs w:val="24"/>
        </w:rPr>
        <w:br w:type="page"/>
      </w:r>
    </w:p>
    <w:p w:rsidR="00AC2A22" w:rsidRDefault="00BE3B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Promoting </w:t>
      </w:r>
      <w:proofErr w:type="spellStart"/>
      <w:r>
        <w:rPr>
          <w:rFonts w:ascii="Times New Roman" w:hAnsi="Times New Roman" w:cs="Times New Roman"/>
          <w:b/>
          <w:sz w:val="24"/>
          <w:szCs w:val="24"/>
        </w:rPr>
        <w:t>Agri</w:t>
      </w:r>
      <w:proofErr w:type="spellEnd"/>
      <w:r>
        <w:rPr>
          <w:rFonts w:ascii="Times New Roman" w:hAnsi="Times New Roman" w:cs="Times New Roman"/>
          <w:b/>
          <w:sz w:val="24"/>
          <w:szCs w:val="24"/>
        </w:rPr>
        <w:t xml:space="preserve">-Science Literacy </w:t>
      </w:r>
    </w:p>
    <w:p w:rsidR="00AC2A22" w:rsidRDefault="00BE3B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Through A State Fair Learning Scavenger Hunt </w:t>
      </w:r>
    </w:p>
    <w:p w:rsidR="00AC2A22" w:rsidRDefault="00AC2A22">
      <w:pPr>
        <w:spacing w:after="0" w:line="240" w:lineRule="auto"/>
        <w:jc w:val="center"/>
        <w:rPr>
          <w:rFonts w:ascii="Times New Roman" w:hAnsi="Times New Roman" w:cs="Times New Roman"/>
          <w:b/>
          <w:sz w:val="24"/>
          <w:szCs w:val="24"/>
        </w:rPr>
      </w:pPr>
    </w:p>
    <w:p w:rsidR="00AC2A22" w:rsidRDefault="00BE3BAC">
      <w:pPr>
        <w:tabs>
          <w:tab w:val="center" w:pos="4680"/>
        </w:tabs>
        <w:spacing w:after="0" w:line="240" w:lineRule="auto"/>
        <w:rPr>
          <w:rFonts w:ascii="Times New Roman" w:hAnsi="Times New Roman" w:cs="Times New Roman"/>
          <w:b/>
          <w:sz w:val="24"/>
          <w:szCs w:val="24"/>
        </w:rPr>
      </w:pPr>
      <w:r>
        <w:rPr>
          <w:rFonts w:ascii="Times New Roman" w:hAnsi="Times New Roman" w:cs="Times New Roman"/>
          <w:b/>
          <w:sz w:val="24"/>
          <w:szCs w:val="24"/>
        </w:rPr>
        <w:tab/>
        <w:t>Introduction</w:t>
      </w:r>
    </w:p>
    <w:p w:rsidR="00AC2A22" w:rsidRDefault="00AC2A22">
      <w:pPr>
        <w:spacing w:after="0" w:line="240" w:lineRule="auto"/>
        <w:jc w:val="center"/>
        <w:rPr>
          <w:rFonts w:ascii="Times New Roman" w:hAnsi="Times New Roman" w:cs="Times New Roman"/>
          <w:b/>
          <w:sz w:val="24"/>
          <w:szCs w:val="24"/>
        </w:rPr>
      </w:pPr>
    </w:p>
    <w:p w:rsidR="00AC2A22" w:rsidRDefault="00BE3BAC">
      <w:pPr>
        <w:spacing w:after="0" w:line="240" w:lineRule="auto"/>
        <w:ind w:firstLine="720"/>
        <w:rPr>
          <w:rStyle w:val="addmd1"/>
          <w:rFonts w:ascii="Times New Roman" w:hAnsi="Times New Roman" w:cs="Times New Roman"/>
          <w:color w:val="000000"/>
          <w:sz w:val="24"/>
          <w:szCs w:val="24"/>
        </w:rPr>
      </w:pPr>
      <w:r>
        <w:rPr>
          <w:rFonts w:ascii="Times New Roman" w:hAnsi="Times New Roman" w:cs="Times New Roman"/>
          <w:sz w:val="24"/>
          <w:szCs w:val="24"/>
        </w:rPr>
        <w:t xml:space="preserve">Communicating the science behind agriculture and its importance is essential for developing a factually based view of agriculture; however, the challenge lies in using an appropriate educational outlet.  The </w:t>
      </w:r>
      <w:r>
        <w:rPr>
          <w:rStyle w:val="addmd1"/>
          <w:rFonts w:ascii="Times New Roman" w:hAnsi="Times New Roman" w:cs="Times New Roman"/>
          <w:color w:val="000000"/>
          <w:sz w:val="24"/>
          <w:szCs w:val="24"/>
        </w:rPr>
        <w:t xml:space="preserve">National Research Council Committee on Learning Science in Informal Environments (2009) states that “Designed spaces…can support science learning. </w:t>
      </w:r>
      <w:proofErr w:type="gramStart"/>
      <w:r>
        <w:rPr>
          <w:rStyle w:val="addmd1"/>
          <w:rFonts w:ascii="Times New Roman" w:hAnsi="Times New Roman" w:cs="Times New Roman"/>
          <w:color w:val="000000"/>
          <w:sz w:val="24"/>
          <w:szCs w:val="24"/>
        </w:rPr>
        <w:t>Rich with real-world phenomena, these are the places where people can pursue and develop science interests, engage in science inquiry and reflect” (p. 293).</w:t>
      </w:r>
      <w:proofErr w:type="gramEnd"/>
      <w:r>
        <w:rPr>
          <w:rStyle w:val="addmd1"/>
          <w:rFonts w:ascii="Times New Roman" w:hAnsi="Times New Roman" w:cs="Times New Roman"/>
          <w:color w:val="000000"/>
          <w:sz w:val="24"/>
          <w:szCs w:val="24"/>
        </w:rPr>
        <w:t xml:space="preserve"> One example of this is The Wonder Trail (TWT), an agricultural science exploration program at the [State] State Fair ([S</w:t>
      </w:r>
      <w:proofErr w:type="gramStart"/>
      <w:r>
        <w:rPr>
          <w:rStyle w:val="addmd1"/>
          <w:rFonts w:ascii="Times New Roman" w:hAnsi="Times New Roman" w:cs="Times New Roman"/>
          <w:color w:val="000000"/>
          <w:sz w:val="24"/>
          <w:szCs w:val="24"/>
        </w:rPr>
        <w:t>]SF</w:t>
      </w:r>
      <w:proofErr w:type="gramEnd"/>
      <w:r>
        <w:rPr>
          <w:rStyle w:val="addmd1"/>
          <w:rFonts w:ascii="Times New Roman" w:hAnsi="Times New Roman" w:cs="Times New Roman"/>
          <w:color w:val="000000"/>
          <w:sz w:val="24"/>
          <w:szCs w:val="24"/>
        </w:rPr>
        <w:t>). With an audience of nearly one million visitors annually, with the majority of them being families, the [S</w:t>
      </w:r>
      <w:proofErr w:type="gramStart"/>
      <w:r>
        <w:rPr>
          <w:rStyle w:val="addmd1"/>
          <w:rFonts w:ascii="Times New Roman" w:hAnsi="Times New Roman" w:cs="Times New Roman"/>
          <w:color w:val="000000"/>
          <w:sz w:val="24"/>
          <w:szCs w:val="24"/>
        </w:rPr>
        <w:t>]SF</w:t>
      </w:r>
      <w:proofErr w:type="gramEnd"/>
      <w:r>
        <w:rPr>
          <w:rStyle w:val="addmd1"/>
          <w:rFonts w:ascii="Times New Roman" w:hAnsi="Times New Roman" w:cs="Times New Roman"/>
          <w:color w:val="000000"/>
          <w:sz w:val="24"/>
          <w:szCs w:val="24"/>
        </w:rPr>
        <w:t xml:space="preserve"> provides an ideal event to facilitate an agricultural education experience ([State] State Fair, 2011). The [S</w:t>
      </w:r>
      <w:proofErr w:type="gramStart"/>
      <w:r>
        <w:rPr>
          <w:rStyle w:val="addmd1"/>
          <w:rFonts w:ascii="Times New Roman" w:hAnsi="Times New Roman" w:cs="Times New Roman"/>
          <w:color w:val="000000"/>
          <w:sz w:val="24"/>
          <w:szCs w:val="24"/>
        </w:rPr>
        <w:t>]SF</w:t>
      </w:r>
      <w:proofErr w:type="gramEnd"/>
      <w:r>
        <w:rPr>
          <w:rStyle w:val="addmd1"/>
          <w:rFonts w:ascii="Times New Roman" w:hAnsi="Times New Roman" w:cs="Times New Roman"/>
          <w:color w:val="000000"/>
          <w:sz w:val="24"/>
          <w:szCs w:val="24"/>
        </w:rPr>
        <w:t xml:space="preserve"> is an experiential educational event, designed to promote agriculture and science education in a family-friendly environment. </w:t>
      </w:r>
    </w:p>
    <w:p w:rsidR="00AC2A22" w:rsidRDefault="00BE3BAC" w:rsidP="00AC2A22">
      <w:pPr>
        <w:spacing w:after="0" w:line="240" w:lineRule="auto"/>
        <w:ind w:firstLine="720"/>
        <w:rPr>
          <w:rFonts w:ascii="Times New Roman" w:hAnsi="Times New Roman" w:cs="Times New Roman"/>
          <w:b/>
          <w:sz w:val="24"/>
          <w:szCs w:val="24"/>
        </w:rPr>
      </w:pPr>
      <w:r>
        <w:rPr>
          <w:rStyle w:val="addmd1"/>
          <w:rFonts w:ascii="Times New Roman" w:hAnsi="Times New Roman" w:cs="Times New Roman"/>
          <w:color w:val="000000"/>
          <w:sz w:val="24"/>
          <w:szCs w:val="24"/>
        </w:rPr>
        <w:t>In children’s informal encounters with science, parents play an important role in scaffolding and creating a meaningful learning experience</w:t>
      </w:r>
      <w:r>
        <w:rPr>
          <w:rStyle w:val="addmd1"/>
          <w:rFonts w:ascii="Times New Roman" w:hAnsi="Times New Roman" w:cs="Times New Roman"/>
          <w:noProof/>
          <w:color w:val="000000"/>
          <w:sz w:val="24"/>
          <w:szCs w:val="24"/>
        </w:rPr>
        <w:t xml:space="preserve"> </w:t>
      </w:r>
      <w:r>
        <w:rPr>
          <w:rFonts w:ascii="Times New Roman" w:hAnsi="Times New Roman" w:cs="Times New Roman"/>
          <w:noProof/>
          <w:color w:val="000000"/>
          <w:sz w:val="24"/>
          <w:szCs w:val="24"/>
        </w:rPr>
        <w:t>(Crowley et al., 2001)</w:t>
      </w:r>
      <w:r>
        <w:rPr>
          <w:rFonts w:ascii="Times New Roman" w:hAnsi="Times New Roman" w:cs="Times New Roman"/>
          <w:sz w:val="24"/>
          <w:szCs w:val="24"/>
        </w:rPr>
        <w:t xml:space="preserve">, thus incorporating adults into the program is essential.  The agricultural and science </w:t>
      </w:r>
      <w:proofErr w:type="gramStart"/>
      <w:r>
        <w:rPr>
          <w:rFonts w:ascii="Times New Roman" w:hAnsi="Times New Roman" w:cs="Times New Roman"/>
          <w:sz w:val="24"/>
          <w:szCs w:val="24"/>
        </w:rPr>
        <w:t>experience  needs</w:t>
      </w:r>
      <w:proofErr w:type="gramEnd"/>
      <w:r>
        <w:rPr>
          <w:rFonts w:ascii="Times New Roman" w:hAnsi="Times New Roman" w:cs="Times New Roman"/>
          <w:sz w:val="24"/>
          <w:szCs w:val="24"/>
        </w:rPr>
        <w:t xml:space="preserve"> to be structured in a way that encourages family conversation and exploration as they discover and take part in learning together. TWT is grounded on the principles of experiential learning, placing emphasis on participants’ individual encounters and encouraging interaction with the environment</w:t>
      </w:r>
      <w:sdt>
        <w:sdtPr>
          <w:rPr>
            <w:rFonts w:ascii="Times New Roman" w:hAnsi="Times New Roman" w:cs="Times New Roman"/>
            <w:sz w:val="24"/>
            <w:szCs w:val="24"/>
          </w:rPr>
          <w:id w:val="781580231"/>
          <w:citation/>
        </w:sdtPr>
        <w:sdtContent>
          <w:r w:rsidR="00126DB4" w:rsidRPr="005D0376">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Kol84 \l 1033  \m Lew94</w:instrText>
          </w:r>
          <w:r w:rsidR="00126DB4" w:rsidRPr="005D0376">
            <w:rPr>
              <w:rFonts w:ascii="Times New Roman" w:hAnsi="Times New Roman" w:cs="Times New Roman"/>
              <w:sz w:val="24"/>
              <w:szCs w:val="24"/>
            </w:rPr>
            <w:fldChar w:fldCharType="separate"/>
          </w:r>
          <w:r>
            <w:rPr>
              <w:rFonts w:ascii="Times New Roman" w:hAnsi="Times New Roman" w:cs="Times New Roman"/>
              <w:noProof/>
              <w:sz w:val="24"/>
              <w:szCs w:val="24"/>
            </w:rPr>
            <w:t xml:space="preserve"> (Kolb, 1984; Lewis &amp; Williams, 1994)</w:t>
          </w:r>
          <w:r w:rsidR="00126DB4" w:rsidRPr="005D0376">
            <w:rPr>
              <w:rFonts w:ascii="Times New Roman" w:hAnsi="Times New Roman" w:cs="Times New Roman"/>
              <w:sz w:val="24"/>
              <w:szCs w:val="24"/>
            </w:rPr>
            <w:fldChar w:fldCharType="end"/>
          </w:r>
        </w:sdtContent>
      </w:sdt>
      <w:r>
        <w:rPr>
          <w:rFonts w:ascii="Times New Roman" w:hAnsi="Times New Roman" w:cs="Times New Roman"/>
          <w:sz w:val="24"/>
          <w:szCs w:val="24"/>
        </w:rPr>
        <w:t>.  Finally, the incorporation of supplemental project-based activities to be completed after the Fair experience seeks to promote a deeper understanding of the science in agriculture.</w:t>
      </w:r>
    </w:p>
    <w:p w:rsidR="00AC2A22" w:rsidRDefault="00AC2A22" w:rsidP="00AC2A22">
      <w:pPr>
        <w:spacing w:after="0" w:line="240" w:lineRule="auto"/>
        <w:ind w:firstLine="720"/>
        <w:rPr>
          <w:rFonts w:ascii="Times New Roman" w:hAnsi="Times New Roman" w:cs="Times New Roman"/>
          <w:b/>
          <w:sz w:val="24"/>
          <w:szCs w:val="24"/>
        </w:rPr>
      </w:pPr>
    </w:p>
    <w:p w:rsidR="00AC2A22" w:rsidRDefault="00BE3B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How It Works</w:t>
      </w:r>
    </w:p>
    <w:p w:rsidR="00AC2A22" w:rsidRDefault="00AC2A22">
      <w:pPr>
        <w:spacing w:after="0" w:line="240" w:lineRule="auto"/>
        <w:jc w:val="center"/>
        <w:rPr>
          <w:rFonts w:ascii="Times New Roman" w:hAnsi="Times New Roman" w:cs="Times New Roman"/>
          <w:b/>
          <w:sz w:val="24"/>
          <w:szCs w:val="24"/>
        </w:rPr>
      </w:pPr>
    </w:p>
    <w:p w:rsidR="00AC2A22" w:rsidRDefault="00BE3BA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TWT demonstrates a unique aspect of individual exploration and family learning. Designed to encourage interaction and conversational investigation on the topics of science and agriculture with youth and their families, two important components were developed. The first component is the scavenger hunt taking place at the [S</w:t>
      </w:r>
      <w:proofErr w:type="gramStart"/>
      <w:r>
        <w:rPr>
          <w:rFonts w:ascii="Times New Roman" w:hAnsi="Times New Roman" w:cs="Times New Roman"/>
          <w:sz w:val="24"/>
          <w:szCs w:val="24"/>
        </w:rPr>
        <w:t>]SF</w:t>
      </w:r>
      <w:proofErr w:type="gramEnd"/>
      <w:r>
        <w:rPr>
          <w:rFonts w:ascii="Times New Roman" w:hAnsi="Times New Roman" w:cs="Times New Roman"/>
          <w:sz w:val="24"/>
          <w:szCs w:val="24"/>
        </w:rPr>
        <w:t xml:space="preserve">. To participate, children acquire a Wonder Trail Map from various locations around the fairgrounds and with the help of an adult, begin a self-guided quest. The map lists a variety of places to visit around the fairgrounds, with each stop, having an educational display, referred to as a kiosk. These kiosks share educational information related to agricultural objectives and promote participants to interact with the exhibits located around the kiosk. At each kiosk, there is a question and answer related to the objectives. This answer must then be recorded on the space provided on the map. Upon visiting a certain percentage of the stops and recording the correct answer, participants are rewarded with a small prize. While the prize has small monetary value, its purpose is to motivate trail completion. </w:t>
      </w:r>
    </w:p>
    <w:p w:rsidR="00AC2A22" w:rsidRDefault="00BE3BA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second component is the online curriculum. Designed to promote further literacy, learning and discovery, the lessons utilize a project-based model of agricultural and scientific themes</w:t>
      </w:r>
      <w:sdt>
        <w:sdtPr>
          <w:rPr>
            <w:rFonts w:ascii="Times New Roman" w:hAnsi="Times New Roman" w:cs="Times New Roman"/>
            <w:sz w:val="24"/>
            <w:szCs w:val="24"/>
          </w:rPr>
          <w:id w:val="781580232"/>
          <w:citation/>
        </w:sdtPr>
        <w:sdtContent>
          <w:r w:rsidR="00126DB4" w:rsidRPr="005D0376">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Mab96 \l 1033 </w:instrText>
          </w:r>
          <w:r w:rsidR="00126DB4" w:rsidRPr="005D0376">
            <w:rPr>
              <w:rFonts w:ascii="Times New Roman" w:hAnsi="Times New Roman" w:cs="Times New Roman"/>
              <w:sz w:val="24"/>
              <w:szCs w:val="24"/>
            </w:rPr>
            <w:fldChar w:fldCharType="separate"/>
          </w:r>
          <w:r>
            <w:rPr>
              <w:rFonts w:ascii="Times New Roman" w:hAnsi="Times New Roman" w:cs="Times New Roman"/>
              <w:noProof/>
              <w:sz w:val="24"/>
              <w:szCs w:val="24"/>
            </w:rPr>
            <w:t xml:space="preserve"> (Mabie &amp; Baker, 1996)</w:t>
          </w:r>
          <w:r w:rsidR="00126DB4" w:rsidRPr="005D0376">
            <w:rPr>
              <w:rFonts w:ascii="Times New Roman" w:hAnsi="Times New Roman" w:cs="Times New Roman"/>
              <w:sz w:val="24"/>
              <w:szCs w:val="24"/>
            </w:rPr>
            <w:fldChar w:fldCharType="end"/>
          </w:r>
        </w:sdtContent>
      </w:sdt>
      <w:r>
        <w:rPr>
          <w:rFonts w:ascii="Times New Roman" w:hAnsi="Times New Roman" w:cs="Times New Roman"/>
          <w:sz w:val="24"/>
          <w:szCs w:val="24"/>
        </w:rPr>
        <w:t>. Aimed for implementation after the fair or as a stand-alone curriculum for a classroom, the learning objectives of the lessons correspond with topics located at each kiosk and stimulates participants to explore ideas beyond the information learned at the [S</w:t>
      </w:r>
      <w:proofErr w:type="gramStart"/>
      <w:r>
        <w:rPr>
          <w:rFonts w:ascii="Times New Roman" w:hAnsi="Times New Roman" w:cs="Times New Roman"/>
          <w:sz w:val="24"/>
          <w:szCs w:val="24"/>
        </w:rPr>
        <w:t>]SF</w:t>
      </w:r>
      <w:proofErr w:type="gramEnd"/>
      <w:r>
        <w:rPr>
          <w:rFonts w:ascii="Times New Roman" w:hAnsi="Times New Roman" w:cs="Times New Roman"/>
          <w:sz w:val="24"/>
          <w:szCs w:val="24"/>
        </w:rPr>
        <w:t xml:space="preserve">. Focused on a central learning activity, there are also discussion questions to help </w:t>
      </w:r>
      <w:r>
        <w:rPr>
          <w:rFonts w:ascii="Times New Roman" w:hAnsi="Times New Roman" w:cs="Times New Roman"/>
          <w:sz w:val="24"/>
          <w:szCs w:val="24"/>
        </w:rPr>
        <w:lastRenderedPageBreak/>
        <w:t>participants reflect on their learning, as well as additional projects that are more challenging in nature. The more advanced activities are designed to appeal to older youth or as a continuation of learning for children that enjoyed the first section. The activities, questions and information are intended to promote discovery, leading to a well-developed understanding of agriculture, science, their purposes and importance.</w:t>
      </w:r>
    </w:p>
    <w:p w:rsidR="00AC2A22" w:rsidRDefault="00AC2A22">
      <w:pPr>
        <w:spacing w:after="0" w:line="240" w:lineRule="auto"/>
        <w:ind w:firstLine="720"/>
        <w:rPr>
          <w:rFonts w:ascii="Times New Roman" w:hAnsi="Times New Roman" w:cs="Times New Roman"/>
          <w:sz w:val="24"/>
          <w:szCs w:val="24"/>
        </w:rPr>
      </w:pPr>
    </w:p>
    <w:p w:rsidR="00AC2A22" w:rsidRDefault="00BE3B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 to Date</w:t>
      </w:r>
    </w:p>
    <w:p w:rsidR="00AC2A22" w:rsidRDefault="00AC2A22">
      <w:pPr>
        <w:spacing w:after="0" w:line="240" w:lineRule="auto"/>
        <w:jc w:val="center"/>
        <w:rPr>
          <w:rFonts w:ascii="Times New Roman" w:hAnsi="Times New Roman" w:cs="Times New Roman"/>
          <w:b/>
          <w:sz w:val="24"/>
          <w:szCs w:val="24"/>
        </w:rPr>
      </w:pPr>
    </w:p>
    <w:p w:rsidR="00AC2A22" w:rsidRDefault="00BE3BA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2011, over 20,000 youth and their families were exposed to agriculture in a scientific context through displays on the [State] State Fairgrounds and the online modules of TWT. Summer staff of the [S</w:t>
      </w:r>
      <w:proofErr w:type="gramStart"/>
      <w:r>
        <w:rPr>
          <w:rFonts w:ascii="Times New Roman" w:hAnsi="Times New Roman" w:cs="Times New Roman"/>
          <w:sz w:val="24"/>
          <w:szCs w:val="24"/>
        </w:rPr>
        <w:t>]SF</w:t>
      </w:r>
      <w:proofErr w:type="gramEnd"/>
      <w:r>
        <w:rPr>
          <w:rFonts w:ascii="Times New Roman" w:hAnsi="Times New Roman" w:cs="Times New Roman"/>
          <w:sz w:val="24"/>
          <w:szCs w:val="24"/>
        </w:rPr>
        <w:t xml:space="preserve"> observed participants interacting with the display and surrounding exhibits and reported t</w:t>
      </w:r>
      <w:r w:rsidR="00981DA1">
        <w:rPr>
          <w:rFonts w:ascii="Times New Roman" w:hAnsi="Times New Roman" w:cs="Times New Roman"/>
          <w:sz w:val="24"/>
          <w:szCs w:val="24"/>
        </w:rPr>
        <w:t xml:space="preserve">hat participants described </w:t>
      </w:r>
      <w:r>
        <w:rPr>
          <w:rFonts w:ascii="Times New Roman" w:hAnsi="Times New Roman" w:cs="Times New Roman"/>
          <w:sz w:val="24"/>
          <w:szCs w:val="24"/>
        </w:rPr>
        <w:t xml:space="preserve">TWT experience as a positive encounter with agriculture. Observations of the youth and their families as they interacted with TWT, by the [S]SF summer staff indicated that there was extensive dialogue between adults and children as they worked together to answer the questions and examine the display. This family learning experience not only impacted children, but provided an educational experience for the older youth and adults alike, while promoting an understanding of modern agriculture. </w:t>
      </w:r>
    </w:p>
    <w:p w:rsidR="00AC2A22" w:rsidRDefault="00AC2A22">
      <w:pPr>
        <w:spacing w:after="0" w:line="240" w:lineRule="auto"/>
        <w:ind w:firstLine="720"/>
        <w:rPr>
          <w:rFonts w:ascii="Times New Roman" w:hAnsi="Times New Roman" w:cs="Times New Roman"/>
          <w:sz w:val="24"/>
          <w:szCs w:val="24"/>
        </w:rPr>
      </w:pPr>
    </w:p>
    <w:p w:rsidR="00AC2A22" w:rsidRDefault="00BE3B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Future Plans</w:t>
      </w:r>
    </w:p>
    <w:p w:rsidR="00AC2A22" w:rsidRDefault="00AC2A22">
      <w:pPr>
        <w:spacing w:after="0" w:line="240" w:lineRule="auto"/>
        <w:jc w:val="center"/>
        <w:rPr>
          <w:rFonts w:ascii="Times New Roman" w:hAnsi="Times New Roman" w:cs="Times New Roman"/>
          <w:b/>
          <w:sz w:val="24"/>
          <w:szCs w:val="24"/>
        </w:rPr>
      </w:pPr>
    </w:p>
    <w:p w:rsidR="00AC2A22" w:rsidRDefault="00BE3BAC">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Making TWT relevant and appealing will be important in helping to maintain its effectiveness. Future plans include the use of Quick Response (QR) codes to connect the participants, via their smart phones, to the online modules. Allowing the immediate access to the learning activities is expected to increase the use of the educational materials after the Fair experience. Also planned is the matching of educational materials with [State] Academic Standards. Connecting the activities with state learning standards assists educators in aligning TWT activities with their selected lessons, and increases the likelihood of class field trips to the Fair. Finally, increased promotion of TWT is needed; plans include encouraging families to participate by use of technology, such as </w:t>
      </w:r>
      <w:proofErr w:type="spellStart"/>
      <w:r>
        <w:rPr>
          <w:rFonts w:ascii="Times New Roman" w:hAnsi="Times New Roman" w:cs="Times New Roman"/>
          <w:sz w:val="24"/>
          <w:szCs w:val="24"/>
        </w:rPr>
        <w:t>microblogging</w:t>
      </w:r>
      <w:proofErr w:type="spellEnd"/>
      <w:r>
        <w:rPr>
          <w:rFonts w:ascii="Times New Roman" w:hAnsi="Times New Roman" w:cs="Times New Roman"/>
          <w:sz w:val="24"/>
          <w:szCs w:val="24"/>
        </w:rPr>
        <w:t xml:space="preserve"> (e.g., Twitter), </w:t>
      </w:r>
      <w:r w:rsidR="005D0376">
        <w:rPr>
          <w:rFonts w:ascii="Times New Roman" w:hAnsi="Times New Roman" w:cs="Times New Roman"/>
          <w:sz w:val="24"/>
          <w:szCs w:val="24"/>
        </w:rPr>
        <w:t xml:space="preserve">online </w:t>
      </w:r>
      <w:r>
        <w:rPr>
          <w:rFonts w:ascii="Times New Roman" w:hAnsi="Times New Roman" w:cs="Times New Roman"/>
          <w:sz w:val="24"/>
          <w:szCs w:val="24"/>
        </w:rPr>
        <w:t xml:space="preserve">parent forums and other blogs. </w:t>
      </w:r>
    </w:p>
    <w:p w:rsidR="00AC2A22" w:rsidRDefault="00AC2A22">
      <w:pPr>
        <w:spacing w:after="0" w:line="240" w:lineRule="auto"/>
        <w:rPr>
          <w:rFonts w:ascii="Times New Roman" w:hAnsi="Times New Roman" w:cs="Times New Roman"/>
          <w:sz w:val="24"/>
          <w:szCs w:val="24"/>
        </w:rPr>
      </w:pPr>
    </w:p>
    <w:p w:rsidR="00AC2A22" w:rsidRDefault="00BE3B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Costs Associated with Developing </w:t>
      </w:r>
      <w:proofErr w:type="gramStart"/>
      <w:r>
        <w:rPr>
          <w:rFonts w:ascii="Times New Roman" w:hAnsi="Times New Roman" w:cs="Times New Roman"/>
          <w:b/>
          <w:sz w:val="24"/>
          <w:szCs w:val="24"/>
        </w:rPr>
        <w:t>The</w:t>
      </w:r>
      <w:proofErr w:type="gramEnd"/>
      <w:r>
        <w:rPr>
          <w:rFonts w:ascii="Times New Roman" w:hAnsi="Times New Roman" w:cs="Times New Roman"/>
          <w:b/>
          <w:sz w:val="24"/>
          <w:szCs w:val="24"/>
        </w:rPr>
        <w:t xml:space="preserve"> Wonder Trail</w:t>
      </w:r>
    </w:p>
    <w:p w:rsidR="00AC2A22" w:rsidRDefault="00AC2A22">
      <w:pPr>
        <w:spacing w:after="0" w:line="240" w:lineRule="auto"/>
        <w:jc w:val="center"/>
        <w:rPr>
          <w:rFonts w:ascii="Times New Roman" w:hAnsi="Times New Roman" w:cs="Times New Roman"/>
          <w:b/>
          <w:sz w:val="24"/>
          <w:szCs w:val="24"/>
        </w:rPr>
      </w:pPr>
    </w:p>
    <w:p w:rsidR="00AC2A22" w:rsidRDefault="00BE3BA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costs and resources associated with developing The Wonder Trail are:</w:t>
      </w:r>
    </w:p>
    <w:p w:rsidR="00AC2A22" w:rsidRDefault="00BE3BAC">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Personnel costs for curriculum development, including exhibit displays.</w:t>
      </w:r>
    </w:p>
    <w:p w:rsidR="00AC2A22" w:rsidRDefault="00BE3BAC">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Costs of creating and maintaining kiosks.</w:t>
      </w:r>
    </w:p>
    <w:p w:rsidR="00AC2A22" w:rsidRDefault="00BE3BAC">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Costs of lanyards, maps and prizes for </w:t>
      </w:r>
      <w:r w:rsidR="00981DA1">
        <w:rPr>
          <w:rFonts w:ascii="Times New Roman" w:hAnsi="Times New Roman" w:cs="Times New Roman"/>
          <w:sz w:val="24"/>
          <w:szCs w:val="24"/>
        </w:rPr>
        <w:t>the</w:t>
      </w:r>
      <w:r>
        <w:rPr>
          <w:rFonts w:ascii="Times New Roman" w:hAnsi="Times New Roman" w:cs="Times New Roman"/>
          <w:sz w:val="24"/>
          <w:szCs w:val="24"/>
        </w:rPr>
        <w:t xml:space="preserve"> participants.</w:t>
      </w:r>
    </w:p>
    <w:p w:rsidR="00AC2A22" w:rsidRDefault="00BE3BAC">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Costs of advertising and promotion of TWT.</w:t>
      </w:r>
    </w:p>
    <w:p w:rsidR="00AC2A22" w:rsidRDefault="00BE3BAC">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Costs of website design and maintenance </w:t>
      </w:r>
      <w:r w:rsidR="00981DA1">
        <w:rPr>
          <w:rFonts w:ascii="Times New Roman" w:hAnsi="Times New Roman" w:cs="Times New Roman"/>
          <w:sz w:val="24"/>
          <w:szCs w:val="24"/>
        </w:rPr>
        <w:t>of the</w:t>
      </w:r>
      <w:r>
        <w:rPr>
          <w:rFonts w:ascii="Times New Roman" w:hAnsi="Times New Roman" w:cs="Times New Roman"/>
          <w:sz w:val="24"/>
          <w:szCs w:val="24"/>
        </w:rPr>
        <w:t xml:space="preserve"> online curriculum.</w:t>
      </w:r>
    </w:p>
    <w:p w:rsidR="00AC2A22" w:rsidRDefault="00BE3BAC" w:rsidP="00AC2A22">
      <w:pPr>
        <w:spacing w:line="240"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eastAsia="en-US"/>
        </w:rPr>
        <w:id w:val="781580233"/>
        <w:docPartObj>
          <w:docPartGallery w:val="Bibliographies"/>
          <w:docPartUnique/>
        </w:docPartObj>
      </w:sdtPr>
      <w:sdtContent>
        <w:p w:rsidR="00AC2A22" w:rsidRDefault="00BE3BAC" w:rsidP="00AC2A22">
          <w:pPr>
            <w:pStyle w:val="Heading1"/>
            <w:spacing w:line="24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References</w:t>
          </w:r>
        </w:p>
        <w:p w:rsidR="00AC2A22" w:rsidRPr="00AC2A22" w:rsidRDefault="00AC2A22" w:rsidP="00AC2A22">
          <w:pPr>
            <w:spacing w:line="240" w:lineRule="auto"/>
            <w:rPr>
              <w:rFonts w:ascii="Times New Roman" w:hAnsi="Times New Roman" w:cs="Times New Roman"/>
              <w:sz w:val="24"/>
              <w:szCs w:val="24"/>
              <w:lang w:eastAsia="ja-JP"/>
            </w:rPr>
          </w:pPr>
        </w:p>
        <w:p w:rsidR="00AC2A22" w:rsidRDefault="00BE3BAC">
          <w:pPr>
            <w:pStyle w:val="Bibliography"/>
            <w:spacing w:after="0" w:line="24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Crowley, K., Callanan, M.A., Jipson, J.L., Glaco, J., Topping, K., &amp; Shrager, J. (2001). Shared scientific thinking in everyday parent-child activity. </w:t>
          </w:r>
          <w:r>
            <w:rPr>
              <w:rFonts w:ascii="Times New Roman" w:hAnsi="Times New Roman" w:cs="Times New Roman"/>
              <w:i/>
              <w:iCs/>
              <w:noProof/>
              <w:sz w:val="24"/>
              <w:szCs w:val="24"/>
            </w:rPr>
            <w:t>Science Education, 85</w:t>
          </w:r>
          <w:r>
            <w:rPr>
              <w:rFonts w:ascii="Times New Roman" w:hAnsi="Times New Roman" w:cs="Times New Roman"/>
              <w:noProof/>
              <w:sz w:val="24"/>
              <w:szCs w:val="24"/>
            </w:rPr>
            <w:t>(6), 712-732.</w:t>
          </w:r>
        </w:p>
        <w:p w:rsidR="00AC2A22" w:rsidRDefault="00AC2A22">
          <w:pPr>
            <w:pStyle w:val="Bibliography"/>
            <w:spacing w:after="0" w:line="240" w:lineRule="auto"/>
            <w:ind w:left="720" w:hanging="720"/>
            <w:rPr>
              <w:rFonts w:ascii="Times New Roman" w:hAnsi="Times New Roman" w:cs="Times New Roman"/>
              <w:noProof/>
              <w:sz w:val="24"/>
              <w:szCs w:val="24"/>
            </w:rPr>
          </w:pPr>
        </w:p>
        <w:p w:rsidR="00AC2A22" w:rsidRDefault="00BE3BAC">
          <w:pPr>
            <w:pStyle w:val="Bibliography"/>
            <w:spacing w:after="0" w:line="24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[State] State Fair. (2011). </w:t>
          </w:r>
          <w:r>
            <w:rPr>
              <w:rFonts w:ascii="Times New Roman" w:hAnsi="Times New Roman" w:cs="Times New Roman"/>
              <w:i/>
              <w:iCs/>
              <w:noProof/>
              <w:sz w:val="24"/>
              <w:szCs w:val="24"/>
            </w:rPr>
            <w:t>Sponsors.</w:t>
          </w:r>
          <w:r>
            <w:rPr>
              <w:rFonts w:ascii="Times New Roman" w:hAnsi="Times New Roman" w:cs="Times New Roman"/>
              <w:noProof/>
              <w:sz w:val="24"/>
              <w:szCs w:val="24"/>
            </w:rPr>
            <w:t xml:space="preserve"> Retrieved October 20, 2011, from [State] State Fair: www.[State].gov/statefair/fair/docs/2011/2011SponsorshipMenu.pdf</w:t>
          </w:r>
        </w:p>
        <w:p w:rsidR="00AC2A22" w:rsidRDefault="00AC2A22">
          <w:pPr>
            <w:pStyle w:val="Bibliography"/>
            <w:spacing w:after="0" w:line="240" w:lineRule="auto"/>
            <w:ind w:left="720" w:hanging="720"/>
            <w:rPr>
              <w:rFonts w:ascii="Times New Roman" w:hAnsi="Times New Roman" w:cs="Times New Roman"/>
              <w:noProof/>
              <w:sz w:val="24"/>
              <w:szCs w:val="24"/>
            </w:rPr>
          </w:pPr>
        </w:p>
        <w:p w:rsidR="00AC2A22" w:rsidRDefault="00BE3BAC">
          <w:pPr>
            <w:pStyle w:val="Bibliography"/>
            <w:spacing w:after="0" w:line="24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Kolb, D.A. (1984). </w:t>
          </w:r>
          <w:r>
            <w:rPr>
              <w:rFonts w:ascii="Times New Roman" w:hAnsi="Times New Roman" w:cs="Times New Roman"/>
              <w:i/>
              <w:iCs/>
              <w:noProof/>
              <w:sz w:val="24"/>
              <w:szCs w:val="24"/>
            </w:rPr>
            <w:t xml:space="preserve">Experiential learning: </w:t>
          </w:r>
          <w:r w:rsidR="00981DA1">
            <w:rPr>
              <w:rFonts w:ascii="Times New Roman" w:hAnsi="Times New Roman" w:cs="Times New Roman"/>
              <w:i/>
              <w:iCs/>
              <w:noProof/>
              <w:sz w:val="24"/>
              <w:szCs w:val="24"/>
            </w:rPr>
            <w:t>E</w:t>
          </w:r>
          <w:r>
            <w:rPr>
              <w:rFonts w:ascii="Times New Roman" w:hAnsi="Times New Roman" w:cs="Times New Roman"/>
              <w:i/>
              <w:iCs/>
              <w:noProof/>
              <w:sz w:val="24"/>
              <w:szCs w:val="24"/>
            </w:rPr>
            <w:t>xperience as the source of learning and development.</w:t>
          </w:r>
          <w:r>
            <w:rPr>
              <w:rFonts w:ascii="Times New Roman" w:hAnsi="Times New Roman" w:cs="Times New Roman"/>
              <w:noProof/>
              <w:sz w:val="24"/>
              <w:szCs w:val="24"/>
            </w:rPr>
            <w:t xml:space="preserve"> Englewood Cliffs, NJ: Prentice Hall.</w:t>
          </w:r>
        </w:p>
        <w:p w:rsidR="00AC2A22" w:rsidRDefault="00AC2A22">
          <w:pPr>
            <w:pStyle w:val="Bibliography"/>
            <w:spacing w:after="0" w:line="240" w:lineRule="auto"/>
            <w:ind w:left="720" w:hanging="720"/>
            <w:rPr>
              <w:rFonts w:ascii="Times New Roman" w:hAnsi="Times New Roman" w:cs="Times New Roman"/>
              <w:noProof/>
              <w:sz w:val="24"/>
              <w:szCs w:val="24"/>
            </w:rPr>
          </w:pPr>
        </w:p>
        <w:p w:rsidR="00AC2A22" w:rsidRDefault="00BE3BAC">
          <w:pPr>
            <w:pStyle w:val="Bibliography"/>
            <w:spacing w:after="0" w:line="24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Lewis, L.H., &amp; Williams, C.J. </w:t>
          </w:r>
          <w:r w:rsidR="00981DA1">
            <w:rPr>
              <w:rFonts w:ascii="Times New Roman" w:hAnsi="Times New Roman" w:cs="Times New Roman"/>
              <w:noProof/>
              <w:sz w:val="24"/>
              <w:szCs w:val="24"/>
            </w:rPr>
            <w:t>(1994). Experiential learning: P</w:t>
          </w:r>
          <w:r>
            <w:rPr>
              <w:rFonts w:ascii="Times New Roman" w:hAnsi="Times New Roman" w:cs="Times New Roman"/>
              <w:noProof/>
              <w:sz w:val="24"/>
              <w:szCs w:val="24"/>
            </w:rPr>
            <w:t xml:space="preserve">ast and present. </w:t>
          </w:r>
          <w:r>
            <w:rPr>
              <w:rFonts w:ascii="Times New Roman" w:hAnsi="Times New Roman" w:cs="Times New Roman"/>
              <w:i/>
              <w:iCs/>
              <w:noProof/>
              <w:sz w:val="24"/>
              <w:szCs w:val="24"/>
            </w:rPr>
            <w:t>New Dire</w:t>
          </w:r>
          <w:bookmarkStart w:id="0" w:name="_GoBack"/>
          <w:bookmarkEnd w:id="0"/>
          <w:r>
            <w:rPr>
              <w:rFonts w:ascii="Times New Roman" w:hAnsi="Times New Roman" w:cs="Times New Roman"/>
              <w:i/>
              <w:iCs/>
              <w:noProof/>
              <w:sz w:val="24"/>
              <w:szCs w:val="24"/>
            </w:rPr>
            <w:t>ctions for Adult and Continuing Education, 62</w:t>
          </w:r>
          <w:r>
            <w:rPr>
              <w:rFonts w:ascii="Times New Roman" w:hAnsi="Times New Roman" w:cs="Times New Roman"/>
              <w:noProof/>
              <w:sz w:val="24"/>
              <w:szCs w:val="24"/>
            </w:rPr>
            <w:t>, 5-16.</w:t>
          </w:r>
        </w:p>
        <w:p w:rsidR="00AC2A22" w:rsidRDefault="00AC2A22">
          <w:pPr>
            <w:pStyle w:val="Bibliography"/>
            <w:spacing w:after="0" w:line="240" w:lineRule="auto"/>
            <w:ind w:left="720" w:hanging="720"/>
            <w:rPr>
              <w:rFonts w:ascii="Times New Roman" w:hAnsi="Times New Roman" w:cs="Times New Roman"/>
              <w:noProof/>
              <w:sz w:val="24"/>
              <w:szCs w:val="24"/>
            </w:rPr>
          </w:pPr>
        </w:p>
        <w:p w:rsidR="00AC2A22" w:rsidRDefault="00BE3BAC">
          <w:pPr>
            <w:pStyle w:val="Bibliography"/>
            <w:spacing w:after="0" w:line="24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Mabie, R., &amp; Baker, M. (1996). A comparison of experiential instructional strategies upon the science process skills of urban elementary students. </w:t>
          </w:r>
          <w:r>
            <w:rPr>
              <w:rFonts w:ascii="Times New Roman" w:hAnsi="Times New Roman" w:cs="Times New Roman"/>
              <w:i/>
              <w:iCs/>
              <w:noProof/>
              <w:sz w:val="24"/>
              <w:szCs w:val="24"/>
            </w:rPr>
            <w:t>Journal of Agricultural Education, 37</w:t>
          </w:r>
          <w:r>
            <w:rPr>
              <w:rFonts w:ascii="Times New Roman" w:hAnsi="Times New Roman" w:cs="Times New Roman"/>
              <w:noProof/>
              <w:sz w:val="24"/>
              <w:szCs w:val="24"/>
            </w:rPr>
            <w:t>(2), 1-7.</w:t>
          </w:r>
        </w:p>
        <w:p w:rsidR="00AC2A22" w:rsidRDefault="00AC2A22">
          <w:pPr>
            <w:pStyle w:val="Bibliography"/>
            <w:spacing w:after="0" w:line="240" w:lineRule="auto"/>
            <w:ind w:left="720" w:hanging="720"/>
            <w:rPr>
              <w:rFonts w:ascii="Times New Roman" w:hAnsi="Times New Roman" w:cs="Times New Roman"/>
              <w:noProof/>
              <w:sz w:val="24"/>
              <w:szCs w:val="24"/>
            </w:rPr>
          </w:pPr>
        </w:p>
        <w:p w:rsidR="00AC2A22" w:rsidRDefault="00BE3BAC">
          <w:pPr>
            <w:pStyle w:val="Bibliography"/>
            <w:spacing w:after="0" w:line="24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National Research Council. (2009). </w:t>
          </w:r>
          <w:r>
            <w:rPr>
              <w:rFonts w:ascii="Times New Roman" w:hAnsi="Times New Roman" w:cs="Times New Roman"/>
              <w:i/>
              <w:iCs/>
              <w:noProof/>
              <w:sz w:val="24"/>
              <w:szCs w:val="24"/>
            </w:rPr>
            <w:t>Learning science in informal environments: People, places, and pursuits.</w:t>
          </w:r>
          <w:r>
            <w:rPr>
              <w:rFonts w:ascii="Times New Roman" w:hAnsi="Times New Roman" w:cs="Times New Roman"/>
              <w:noProof/>
              <w:sz w:val="24"/>
              <w:szCs w:val="24"/>
            </w:rPr>
            <w:t xml:space="preserve"> Washington DC: National Academies Press.</w:t>
          </w:r>
        </w:p>
      </w:sdtContent>
    </w:sdt>
    <w:p w:rsidR="00AC2A22" w:rsidRDefault="00AC2A22">
      <w:pPr>
        <w:pStyle w:val="Bibliography"/>
        <w:spacing w:after="0" w:line="240" w:lineRule="auto"/>
        <w:ind w:left="720" w:hanging="720"/>
        <w:rPr>
          <w:rFonts w:ascii="Times New Roman" w:hAnsi="Times New Roman" w:cs="Times New Roman"/>
          <w:noProof/>
          <w:sz w:val="24"/>
          <w:szCs w:val="24"/>
        </w:rPr>
      </w:pPr>
    </w:p>
    <w:sectPr w:rsidR="00AC2A22" w:rsidSect="00BD1331">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7FDF" w:rsidRDefault="00177FDF" w:rsidP="00102BA5">
      <w:pPr>
        <w:spacing w:after="0" w:line="240" w:lineRule="auto"/>
      </w:pPr>
      <w:r>
        <w:separator/>
      </w:r>
    </w:p>
  </w:endnote>
  <w:endnote w:type="continuationSeparator" w:id="0">
    <w:p w:rsidR="00177FDF" w:rsidRDefault="00177FDF" w:rsidP="00102B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7FDF" w:rsidRDefault="00177FDF" w:rsidP="00102BA5">
      <w:pPr>
        <w:spacing w:after="0" w:line="240" w:lineRule="auto"/>
      </w:pPr>
      <w:r>
        <w:separator/>
      </w:r>
    </w:p>
  </w:footnote>
  <w:footnote w:type="continuationSeparator" w:id="0">
    <w:p w:rsidR="00177FDF" w:rsidRDefault="00177FDF" w:rsidP="00102B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CAA" w:rsidRPr="007B0B17" w:rsidRDefault="00A30CAA" w:rsidP="00102BA5">
    <w:pPr>
      <w:pStyle w:val="Header"/>
      <w:jc w:val="right"/>
      <w:rPr>
        <w:rFonts w:ascii="Times New Roman" w:hAnsi="Times New Roman" w:cs="Times New Roman"/>
        <w:sz w:val="24"/>
        <w:szCs w:val="24"/>
      </w:rPr>
    </w:pPr>
    <w:r w:rsidRPr="007B0B17">
      <w:rPr>
        <w:rFonts w:ascii="Times New Roman" w:hAnsi="Times New Roman" w:cs="Times New Roman"/>
        <w:sz w:val="24"/>
        <w:szCs w:val="24"/>
      </w:rPr>
      <w:t>Innovative Idea</w:t>
    </w:r>
  </w:p>
  <w:p w:rsidR="00A30CAA" w:rsidRDefault="00A30CAA" w:rsidP="00102BA5">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4E4A94"/>
    <w:multiLevelType w:val="hybridMultilevel"/>
    <w:tmpl w:val="A1E40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6662D"/>
    <w:rsid w:val="00013F04"/>
    <w:rsid w:val="00020AE6"/>
    <w:rsid w:val="00032BAD"/>
    <w:rsid w:val="0004538D"/>
    <w:rsid w:val="000627A4"/>
    <w:rsid w:val="000928B7"/>
    <w:rsid w:val="000A1F28"/>
    <w:rsid w:val="000B0584"/>
    <w:rsid w:val="000C001A"/>
    <w:rsid w:val="000C6780"/>
    <w:rsid w:val="00102BA5"/>
    <w:rsid w:val="001142E3"/>
    <w:rsid w:val="001209F4"/>
    <w:rsid w:val="001224AD"/>
    <w:rsid w:val="00126DB4"/>
    <w:rsid w:val="001272A2"/>
    <w:rsid w:val="00130269"/>
    <w:rsid w:val="001627A4"/>
    <w:rsid w:val="00165F51"/>
    <w:rsid w:val="00177FDF"/>
    <w:rsid w:val="00186F90"/>
    <w:rsid w:val="001C6086"/>
    <w:rsid w:val="001D1DDE"/>
    <w:rsid w:val="001D3D73"/>
    <w:rsid w:val="00210663"/>
    <w:rsid w:val="00235406"/>
    <w:rsid w:val="00240B22"/>
    <w:rsid w:val="00250881"/>
    <w:rsid w:val="00253E4E"/>
    <w:rsid w:val="0025786C"/>
    <w:rsid w:val="002607C1"/>
    <w:rsid w:val="002618D2"/>
    <w:rsid w:val="002663BC"/>
    <w:rsid w:val="00275E2F"/>
    <w:rsid w:val="00293F46"/>
    <w:rsid w:val="002A2102"/>
    <w:rsid w:val="002D1FC9"/>
    <w:rsid w:val="002E3A25"/>
    <w:rsid w:val="002E3DC1"/>
    <w:rsid w:val="002E771E"/>
    <w:rsid w:val="002F5C2D"/>
    <w:rsid w:val="00304249"/>
    <w:rsid w:val="0031652D"/>
    <w:rsid w:val="00374AEF"/>
    <w:rsid w:val="00384A00"/>
    <w:rsid w:val="003B56BA"/>
    <w:rsid w:val="003C5855"/>
    <w:rsid w:val="003D29C1"/>
    <w:rsid w:val="00411AF7"/>
    <w:rsid w:val="004344C3"/>
    <w:rsid w:val="0044669D"/>
    <w:rsid w:val="00465CCE"/>
    <w:rsid w:val="004A7C0C"/>
    <w:rsid w:val="004B3C13"/>
    <w:rsid w:val="004F0CC9"/>
    <w:rsid w:val="00505D89"/>
    <w:rsid w:val="00505E6E"/>
    <w:rsid w:val="00517DA0"/>
    <w:rsid w:val="00571B87"/>
    <w:rsid w:val="005A7DCC"/>
    <w:rsid w:val="005D0376"/>
    <w:rsid w:val="005E0B97"/>
    <w:rsid w:val="005E143E"/>
    <w:rsid w:val="005E26E6"/>
    <w:rsid w:val="005E36F6"/>
    <w:rsid w:val="005E550E"/>
    <w:rsid w:val="006202ED"/>
    <w:rsid w:val="006358F2"/>
    <w:rsid w:val="00636A1E"/>
    <w:rsid w:val="00641BE7"/>
    <w:rsid w:val="00646716"/>
    <w:rsid w:val="00660839"/>
    <w:rsid w:val="0068225E"/>
    <w:rsid w:val="00682ACC"/>
    <w:rsid w:val="00690D4C"/>
    <w:rsid w:val="006D45AA"/>
    <w:rsid w:val="006F7096"/>
    <w:rsid w:val="00701E95"/>
    <w:rsid w:val="007061CF"/>
    <w:rsid w:val="007129FD"/>
    <w:rsid w:val="0071589A"/>
    <w:rsid w:val="007324C7"/>
    <w:rsid w:val="00736AE9"/>
    <w:rsid w:val="00795889"/>
    <w:rsid w:val="00797809"/>
    <w:rsid w:val="007B020B"/>
    <w:rsid w:val="007B0771"/>
    <w:rsid w:val="007B0B17"/>
    <w:rsid w:val="007E09EC"/>
    <w:rsid w:val="007F770C"/>
    <w:rsid w:val="00836EAF"/>
    <w:rsid w:val="00846024"/>
    <w:rsid w:val="00851098"/>
    <w:rsid w:val="008610BC"/>
    <w:rsid w:val="00870C72"/>
    <w:rsid w:val="008A62CE"/>
    <w:rsid w:val="008C4B71"/>
    <w:rsid w:val="008C5ECF"/>
    <w:rsid w:val="008C629C"/>
    <w:rsid w:val="008D0908"/>
    <w:rsid w:val="008F7320"/>
    <w:rsid w:val="00956497"/>
    <w:rsid w:val="00981DA1"/>
    <w:rsid w:val="00994493"/>
    <w:rsid w:val="009A3BA3"/>
    <w:rsid w:val="009B5A38"/>
    <w:rsid w:val="009D6BF4"/>
    <w:rsid w:val="009F6B27"/>
    <w:rsid w:val="00A30CAA"/>
    <w:rsid w:val="00A7369D"/>
    <w:rsid w:val="00A86EB5"/>
    <w:rsid w:val="00AC2A22"/>
    <w:rsid w:val="00AC5E20"/>
    <w:rsid w:val="00AD3452"/>
    <w:rsid w:val="00AF3AFD"/>
    <w:rsid w:val="00B155AD"/>
    <w:rsid w:val="00B85E32"/>
    <w:rsid w:val="00B97998"/>
    <w:rsid w:val="00BB5678"/>
    <w:rsid w:val="00BC2EF0"/>
    <w:rsid w:val="00BD1331"/>
    <w:rsid w:val="00BE3BAC"/>
    <w:rsid w:val="00BE419A"/>
    <w:rsid w:val="00BF552E"/>
    <w:rsid w:val="00C20F2B"/>
    <w:rsid w:val="00C469A9"/>
    <w:rsid w:val="00C642AC"/>
    <w:rsid w:val="00C64895"/>
    <w:rsid w:val="00C8568D"/>
    <w:rsid w:val="00CA2C33"/>
    <w:rsid w:val="00CA53E3"/>
    <w:rsid w:val="00CA599C"/>
    <w:rsid w:val="00CC1481"/>
    <w:rsid w:val="00CE662C"/>
    <w:rsid w:val="00D0125B"/>
    <w:rsid w:val="00D017D4"/>
    <w:rsid w:val="00D01BC7"/>
    <w:rsid w:val="00D05794"/>
    <w:rsid w:val="00D0771F"/>
    <w:rsid w:val="00D56705"/>
    <w:rsid w:val="00D60170"/>
    <w:rsid w:val="00D8466A"/>
    <w:rsid w:val="00DB0750"/>
    <w:rsid w:val="00DB5BFC"/>
    <w:rsid w:val="00DE4D5F"/>
    <w:rsid w:val="00DF70CD"/>
    <w:rsid w:val="00E17F4C"/>
    <w:rsid w:val="00E31E11"/>
    <w:rsid w:val="00E34B6E"/>
    <w:rsid w:val="00E418CB"/>
    <w:rsid w:val="00E51BA9"/>
    <w:rsid w:val="00E54EAF"/>
    <w:rsid w:val="00E8640D"/>
    <w:rsid w:val="00EB464A"/>
    <w:rsid w:val="00EB4C20"/>
    <w:rsid w:val="00ED427E"/>
    <w:rsid w:val="00EE4243"/>
    <w:rsid w:val="00EE65CE"/>
    <w:rsid w:val="00EF5ED7"/>
    <w:rsid w:val="00F052AB"/>
    <w:rsid w:val="00F063B7"/>
    <w:rsid w:val="00F142C2"/>
    <w:rsid w:val="00F6662D"/>
    <w:rsid w:val="00F8472C"/>
    <w:rsid w:val="00F860CE"/>
    <w:rsid w:val="00F941BF"/>
    <w:rsid w:val="00F96F1C"/>
    <w:rsid w:val="00FA384B"/>
    <w:rsid w:val="00FA6828"/>
    <w:rsid w:val="00FB7C1A"/>
    <w:rsid w:val="00FC6920"/>
    <w:rsid w:val="00FE753C"/>
    <w:rsid w:val="00FF5C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EAF"/>
  </w:style>
  <w:style w:type="paragraph" w:styleId="Heading1">
    <w:name w:val="heading 1"/>
    <w:basedOn w:val="Normal"/>
    <w:next w:val="Normal"/>
    <w:link w:val="Heading1Char"/>
    <w:uiPriority w:val="9"/>
    <w:qFormat/>
    <w:rsid w:val="004A7C0C"/>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1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8D2"/>
    <w:rPr>
      <w:rFonts w:ascii="Tahoma" w:hAnsi="Tahoma" w:cs="Tahoma"/>
      <w:sz w:val="16"/>
      <w:szCs w:val="16"/>
    </w:rPr>
  </w:style>
  <w:style w:type="character" w:styleId="Hyperlink">
    <w:name w:val="Hyperlink"/>
    <w:basedOn w:val="DefaultParagraphFont"/>
    <w:uiPriority w:val="99"/>
    <w:unhideWhenUsed/>
    <w:rsid w:val="002E3A25"/>
    <w:rPr>
      <w:color w:val="0000FF" w:themeColor="hyperlink"/>
      <w:u w:val="single"/>
    </w:rPr>
  </w:style>
  <w:style w:type="paragraph" w:styleId="ListParagraph">
    <w:name w:val="List Paragraph"/>
    <w:basedOn w:val="Normal"/>
    <w:uiPriority w:val="34"/>
    <w:qFormat/>
    <w:rsid w:val="00CC1481"/>
    <w:pPr>
      <w:ind w:left="720"/>
      <w:contextualSpacing/>
    </w:pPr>
  </w:style>
  <w:style w:type="character" w:styleId="FollowedHyperlink">
    <w:name w:val="FollowedHyperlink"/>
    <w:basedOn w:val="DefaultParagraphFont"/>
    <w:uiPriority w:val="99"/>
    <w:semiHidden/>
    <w:unhideWhenUsed/>
    <w:rsid w:val="007F770C"/>
    <w:rPr>
      <w:color w:val="800080" w:themeColor="followedHyperlink"/>
      <w:u w:val="single"/>
    </w:rPr>
  </w:style>
  <w:style w:type="character" w:customStyle="1" w:styleId="addmd1">
    <w:name w:val="addmd1"/>
    <w:basedOn w:val="DefaultParagraphFont"/>
    <w:rsid w:val="002A2102"/>
    <w:rPr>
      <w:sz w:val="20"/>
      <w:szCs w:val="20"/>
    </w:rPr>
  </w:style>
  <w:style w:type="character" w:styleId="HTMLCite">
    <w:name w:val="HTML Cite"/>
    <w:basedOn w:val="DefaultParagraphFont"/>
    <w:uiPriority w:val="99"/>
    <w:semiHidden/>
    <w:unhideWhenUsed/>
    <w:rsid w:val="007061CF"/>
    <w:rPr>
      <w:i/>
      <w:iCs/>
    </w:rPr>
  </w:style>
  <w:style w:type="character" w:customStyle="1" w:styleId="groupname">
    <w:name w:val="groupname"/>
    <w:basedOn w:val="DefaultParagraphFont"/>
    <w:rsid w:val="007061CF"/>
  </w:style>
  <w:style w:type="character" w:customStyle="1" w:styleId="author">
    <w:name w:val="author"/>
    <w:basedOn w:val="DefaultParagraphFont"/>
    <w:rsid w:val="007061CF"/>
  </w:style>
  <w:style w:type="character" w:styleId="Emphasis">
    <w:name w:val="Emphasis"/>
    <w:basedOn w:val="DefaultParagraphFont"/>
    <w:uiPriority w:val="20"/>
    <w:qFormat/>
    <w:rsid w:val="007061CF"/>
    <w:rPr>
      <w:i/>
      <w:iCs/>
    </w:rPr>
  </w:style>
  <w:style w:type="character" w:customStyle="1" w:styleId="pubyear">
    <w:name w:val="pubyear"/>
    <w:basedOn w:val="DefaultParagraphFont"/>
    <w:rsid w:val="007061CF"/>
  </w:style>
  <w:style w:type="character" w:customStyle="1" w:styleId="Heading1Char">
    <w:name w:val="Heading 1 Char"/>
    <w:basedOn w:val="DefaultParagraphFont"/>
    <w:link w:val="Heading1"/>
    <w:uiPriority w:val="9"/>
    <w:rsid w:val="004A7C0C"/>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4A7C0C"/>
  </w:style>
  <w:style w:type="character" w:styleId="CommentReference">
    <w:name w:val="annotation reference"/>
    <w:basedOn w:val="DefaultParagraphFont"/>
    <w:uiPriority w:val="99"/>
    <w:semiHidden/>
    <w:unhideWhenUsed/>
    <w:rsid w:val="00E34B6E"/>
    <w:rPr>
      <w:sz w:val="16"/>
      <w:szCs w:val="16"/>
    </w:rPr>
  </w:style>
  <w:style w:type="paragraph" w:styleId="CommentText">
    <w:name w:val="annotation text"/>
    <w:basedOn w:val="Normal"/>
    <w:link w:val="CommentTextChar"/>
    <w:uiPriority w:val="99"/>
    <w:semiHidden/>
    <w:unhideWhenUsed/>
    <w:rsid w:val="00E34B6E"/>
    <w:pPr>
      <w:spacing w:line="240" w:lineRule="auto"/>
    </w:pPr>
    <w:rPr>
      <w:sz w:val="20"/>
      <w:szCs w:val="20"/>
    </w:rPr>
  </w:style>
  <w:style w:type="character" w:customStyle="1" w:styleId="CommentTextChar">
    <w:name w:val="Comment Text Char"/>
    <w:basedOn w:val="DefaultParagraphFont"/>
    <w:link w:val="CommentText"/>
    <w:uiPriority w:val="99"/>
    <w:semiHidden/>
    <w:rsid w:val="00E34B6E"/>
    <w:rPr>
      <w:sz w:val="20"/>
      <w:szCs w:val="20"/>
    </w:rPr>
  </w:style>
  <w:style w:type="paragraph" w:styleId="CommentSubject">
    <w:name w:val="annotation subject"/>
    <w:basedOn w:val="CommentText"/>
    <w:next w:val="CommentText"/>
    <w:link w:val="CommentSubjectChar"/>
    <w:uiPriority w:val="99"/>
    <w:semiHidden/>
    <w:unhideWhenUsed/>
    <w:rsid w:val="00E34B6E"/>
    <w:rPr>
      <w:b/>
      <w:bCs/>
    </w:rPr>
  </w:style>
  <w:style w:type="character" w:customStyle="1" w:styleId="CommentSubjectChar">
    <w:name w:val="Comment Subject Char"/>
    <w:basedOn w:val="CommentTextChar"/>
    <w:link w:val="CommentSubject"/>
    <w:uiPriority w:val="99"/>
    <w:semiHidden/>
    <w:rsid w:val="00E34B6E"/>
    <w:rPr>
      <w:b/>
      <w:bCs/>
      <w:sz w:val="20"/>
      <w:szCs w:val="20"/>
    </w:rPr>
  </w:style>
  <w:style w:type="paragraph" w:styleId="Header">
    <w:name w:val="header"/>
    <w:basedOn w:val="Normal"/>
    <w:link w:val="HeaderChar"/>
    <w:uiPriority w:val="99"/>
    <w:semiHidden/>
    <w:unhideWhenUsed/>
    <w:rsid w:val="00102BA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2BA5"/>
  </w:style>
  <w:style w:type="paragraph" w:styleId="Footer">
    <w:name w:val="footer"/>
    <w:basedOn w:val="Normal"/>
    <w:link w:val="FooterChar"/>
    <w:uiPriority w:val="99"/>
    <w:semiHidden/>
    <w:unhideWhenUsed/>
    <w:rsid w:val="00102BA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02BA5"/>
  </w:style>
  <w:style w:type="character" w:customStyle="1" w:styleId="st">
    <w:name w:val="st"/>
    <w:basedOn w:val="DefaultParagraphFont"/>
    <w:rsid w:val="00F941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7C0C"/>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1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8D2"/>
    <w:rPr>
      <w:rFonts w:ascii="Tahoma" w:hAnsi="Tahoma" w:cs="Tahoma"/>
      <w:sz w:val="16"/>
      <w:szCs w:val="16"/>
    </w:rPr>
  </w:style>
  <w:style w:type="character" w:styleId="Hyperlink">
    <w:name w:val="Hyperlink"/>
    <w:basedOn w:val="DefaultParagraphFont"/>
    <w:uiPriority w:val="99"/>
    <w:unhideWhenUsed/>
    <w:rsid w:val="002E3A25"/>
    <w:rPr>
      <w:color w:val="0000FF" w:themeColor="hyperlink"/>
      <w:u w:val="single"/>
    </w:rPr>
  </w:style>
  <w:style w:type="paragraph" w:styleId="ListParagraph">
    <w:name w:val="List Paragraph"/>
    <w:basedOn w:val="Normal"/>
    <w:uiPriority w:val="34"/>
    <w:qFormat/>
    <w:rsid w:val="00CC1481"/>
    <w:pPr>
      <w:ind w:left="720"/>
      <w:contextualSpacing/>
    </w:pPr>
  </w:style>
  <w:style w:type="character" w:styleId="FollowedHyperlink">
    <w:name w:val="FollowedHyperlink"/>
    <w:basedOn w:val="DefaultParagraphFont"/>
    <w:uiPriority w:val="99"/>
    <w:semiHidden/>
    <w:unhideWhenUsed/>
    <w:rsid w:val="007F770C"/>
    <w:rPr>
      <w:color w:val="800080" w:themeColor="followedHyperlink"/>
      <w:u w:val="single"/>
    </w:rPr>
  </w:style>
  <w:style w:type="character" w:customStyle="1" w:styleId="addmd1">
    <w:name w:val="addmd1"/>
    <w:basedOn w:val="DefaultParagraphFont"/>
    <w:rsid w:val="002A2102"/>
    <w:rPr>
      <w:sz w:val="20"/>
      <w:szCs w:val="20"/>
    </w:rPr>
  </w:style>
  <w:style w:type="character" w:styleId="HTMLCite">
    <w:name w:val="HTML Cite"/>
    <w:basedOn w:val="DefaultParagraphFont"/>
    <w:uiPriority w:val="99"/>
    <w:semiHidden/>
    <w:unhideWhenUsed/>
    <w:rsid w:val="007061CF"/>
    <w:rPr>
      <w:i/>
      <w:iCs/>
    </w:rPr>
  </w:style>
  <w:style w:type="character" w:customStyle="1" w:styleId="groupname">
    <w:name w:val="groupname"/>
    <w:basedOn w:val="DefaultParagraphFont"/>
    <w:rsid w:val="007061CF"/>
  </w:style>
  <w:style w:type="character" w:customStyle="1" w:styleId="author">
    <w:name w:val="author"/>
    <w:basedOn w:val="DefaultParagraphFont"/>
    <w:rsid w:val="007061CF"/>
  </w:style>
  <w:style w:type="character" w:styleId="Emphasis">
    <w:name w:val="Emphasis"/>
    <w:basedOn w:val="DefaultParagraphFont"/>
    <w:uiPriority w:val="20"/>
    <w:qFormat/>
    <w:rsid w:val="007061CF"/>
    <w:rPr>
      <w:i/>
      <w:iCs/>
    </w:rPr>
  </w:style>
  <w:style w:type="character" w:customStyle="1" w:styleId="pubyear">
    <w:name w:val="pubyear"/>
    <w:basedOn w:val="DefaultParagraphFont"/>
    <w:rsid w:val="007061CF"/>
  </w:style>
  <w:style w:type="character" w:customStyle="1" w:styleId="Heading1Char">
    <w:name w:val="Heading 1 Char"/>
    <w:basedOn w:val="DefaultParagraphFont"/>
    <w:link w:val="Heading1"/>
    <w:uiPriority w:val="9"/>
    <w:rsid w:val="004A7C0C"/>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4A7C0C"/>
  </w:style>
  <w:style w:type="character" w:styleId="CommentReference">
    <w:name w:val="annotation reference"/>
    <w:basedOn w:val="DefaultParagraphFont"/>
    <w:uiPriority w:val="99"/>
    <w:semiHidden/>
    <w:unhideWhenUsed/>
    <w:rsid w:val="00E34B6E"/>
    <w:rPr>
      <w:sz w:val="16"/>
      <w:szCs w:val="16"/>
    </w:rPr>
  </w:style>
  <w:style w:type="paragraph" w:styleId="CommentText">
    <w:name w:val="annotation text"/>
    <w:basedOn w:val="Normal"/>
    <w:link w:val="CommentTextChar"/>
    <w:uiPriority w:val="99"/>
    <w:semiHidden/>
    <w:unhideWhenUsed/>
    <w:rsid w:val="00E34B6E"/>
    <w:pPr>
      <w:spacing w:line="240" w:lineRule="auto"/>
    </w:pPr>
    <w:rPr>
      <w:sz w:val="20"/>
      <w:szCs w:val="20"/>
    </w:rPr>
  </w:style>
  <w:style w:type="character" w:customStyle="1" w:styleId="CommentTextChar">
    <w:name w:val="Comment Text Char"/>
    <w:basedOn w:val="DefaultParagraphFont"/>
    <w:link w:val="CommentText"/>
    <w:uiPriority w:val="99"/>
    <w:semiHidden/>
    <w:rsid w:val="00E34B6E"/>
    <w:rPr>
      <w:sz w:val="20"/>
      <w:szCs w:val="20"/>
    </w:rPr>
  </w:style>
  <w:style w:type="paragraph" w:styleId="CommentSubject">
    <w:name w:val="annotation subject"/>
    <w:basedOn w:val="CommentText"/>
    <w:next w:val="CommentText"/>
    <w:link w:val="CommentSubjectChar"/>
    <w:uiPriority w:val="99"/>
    <w:semiHidden/>
    <w:unhideWhenUsed/>
    <w:rsid w:val="00E34B6E"/>
    <w:rPr>
      <w:b/>
      <w:bCs/>
    </w:rPr>
  </w:style>
  <w:style w:type="character" w:customStyle="1" w:styleId="CommentSubjectChar">
    <w:name w:val="Comment Subject Char"/>
    <w:basedOn w:val="CommentTextChar"/>
    <w:link w:val="CommentSubject"/>
    <w:uiPriority w:val="99"/>
    <w:semiHidden/>
    <w:rsid w:val="00E34B6E"/>
    <w:rPr>
      <w:b/>
      <w:bCs/>
      <w:sz w:val="20"/>
      <w:szCs w:val="20"/>
    </w:rPr>
  </w:style>
  <w:style w:type="paragraph" w:styleId="Header">
    <w:name w:val="header"/>
    <w:basedOn w:val="Normal"/>
    <w:link w:val="HeaderChar"/>
    <w:uiPriority w:val="99"/>
    <w:semiHidden/>
    <w:unhideWhenUsed/>
    <w:rsid w:val="00102BA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2BA5"/>
  </w:style>
  <w:style w:type="paragraph" w:styleId="Footer">
    <w:name w:val="footer"/>
    <w:basedOn w:val="Normal"/>
    <w:link w:val="FooterChar"/>
    <w:uiPriority w:val="99"/>
    <w:semiHidden/>
    <w:unhideWhenUsed/>
    <w:rsid w:val="00102BA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02BA5"/>
  </w:style>
</w:styles>
</file>

<file path=word/webSettings.xml><?xml version="1.0" encoding="utf-8"?>
<w:webSettings xmlns:r="http://schemas.openxmlformats.org/officeDocument/2006/relationships" xmlns:w="http://schemas.openxmlformats.org/wordprocessingml/2006/main">
  <w:divs>
    <w:div w:id="2969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sters@purdue.ed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Kol84</b:Tag>
    <b:SourceType>Book</b:SourceType>
    <b:Guid>{7A17067C-4B91-47EB-B2FA-233AC8EA1E1A}</b:Guid>
    <b:Author>
      <b:Author>
        <b:NameList>
          <b:Person>
            <b:Last>Kolb</b:Last>
            <b:First>David</b:First>
            <b:Middle>A</b:Middle>
          </b:Person>
        </b:NameList>
      </b:Author>
    </b:Author>
    <b:Title>Experiential learning: experience as the source of learning and development</b:Title>
    <b:Year>1984</b:Year>
    <b:City>Englewood Cliffs, NJ</b:City>
    <b:Publisher>Prentice Hall</b:Publisher>
    <b:RefOrder>1</b:RefOrder>
  </b:Source>
  <b:Source>
    <b:Tag>Lew94</b:Tag>
    <b:SourceType>JournalArticle</b:SourceType>
    <b:Guid>{7CCD0C1E-50F9-474C-9AE7-0D2E98B91297}</b:Guid>
    <b:Author>
      <b:Author>
        <b:NameList>
          <b:Person>
            <b:Last>Lewis</b:Last>
            <b:First>Linda</b:First>
            <b:Middle>H</b:Middle>
          </b:Person>
          <b:Person>
            <b:Last>Williams</b:Last>
            <b:First>Carol</b:First>
            <b:Middle>J</b:Middle>
          </b:Person>
        </b:NameList>
      </b:Author>
    </b:Author>
    <b:Title>Experiential learning: past and present</b:Title>
    <b:Year>1994</b:Year>
    <b:JournalName>New Directions for Adult and Continuing Education</b:JournalName>
    <b:Pages>5-16</b:Pages>
    <b:Volume>62 </b:Volume>
    <b:RefOrder>2</b:RefOrder>
  </b:Source>
  <b:Source>
    <b:Tag>Bel09</b:Tag>
    <b:SourceType>Book</b:SourceType>
    <b:Guid>{0879C328-78D0-4D45-924C-6F0C79410D00}</b:Guid>
    <b:Title>Learning science in informal environments: people, places, and pursuits</b:Title>
    <b:Year>2009</b:Year>
    <b:Author>
      <b:Author>
        <b:Corporate>National Research Council</b:Corporate>
      </b:Author>
    </b:Author>
    <b:Publisher>National Academies Press</b:Publisher>
    <b:StateProvince>Washington DC</b:StateProvince>
    <b:RefOrder>4</b:RefOrder>
  </b:Source>
  <b:Source>
    <b:Tag>Ind11</b:Tag>
    <b:SourceType>DocumentFromInternetSite</b:SourceType>
    <b:Guid>{86FED404-AFE7-4DED-95F6-79F3379054FF}</b:Guid>
    <b:Title>Sponsors</b:Title>
    <b:Author>
      <b:Author>
        <b:Corporate>Indiana State Fair</b:Corporate>
      </b:Author>
    </b:Author>
    <b:InternetSiteTitle>Indiana State Fair</b:InternetSiteTitle>
    <b:YearAccessed>2011</b:YearAccessed>
    <b:MonthAccessed>October</b:MonthAccessed>
    <b:DayAccessed>20</b:DayAccessed>
    <b:URL>www.in.gov/statefair/fair/docs/2011/2011SponsorshipMenu.pdf</b:URL>
    <b:Year>2011</b:Year>
    <b:RefOrder>5</b:RefOrder>
  </b:Source>
  <b:Source>
    <b:Tag>Cro01</b:Tag>
    <b:SourceType>JournalArticle</b:SourceType>
    <b:Guid>{64D47734-FF22-4505-B61C-641BDA1553DB}</b:Guid>
    <b:Title>Shared scientific thinking in everyday parent-child activity</b:Title>
    <b:Year>2001</b:Year>
    <b:Author>
      <b:Author>
        <b:NameList>
          <b:Person>
            <b:Last>Crowley</b:Last>
            <b:First>Kevin</b:First>
          </b:Person>
          <b:Person>
            <b:Last>Callanan</b:Last>
            <b:First>Maureen</b:First>
            <b:Middle>A</b:Middle>
          </b:Person>
          <b:Person>
            <b:Last>Jipson</b:Last>
            <b:First>Jennifer</b:First>
            <b:Middle>L</b:Middle>
          </b:Person>
          <b:Person>
            <b:Last>Glaco</b:Last>
            <b:First>Jodi</b:First>
          </b:Person>
          <b:Person>
            <b:Last>Topping</b:Last>
            <b:First>Karen</b:First>
          </b:Person>
          <b:Person>
            <b:Last>Shrager</b:Last>
            <b:First>Jeff</b:First>
          </b:Person>
        </b:NameList>
      </b:Author>
    </b:Author>
    <b:JournalName>Science Education</b:JournalName>
    <b:Pages>712-732</b:Pages>
    <b:Volume>85</b:Volume>
    <b:Issue>6</b:Issue>
    <b:RefOrder>6</b:RefOrder>
  </b:Source>
  <b:Source>
    <b:Tag>Mab96</b:Tag>
    <b:SourceType>JournalArticle</b:SourceType>
    <b:Guid>{693CE355-B238-4CEB-9219-A196DE87F917}</b:Guid>
    <b:Author>
      <b:Author>
        <b:NameList>
          <b:Person>
            <b:Last>Mabie</b:Last>
            <b:First>Rachel</b:First>
          </b:Person>
          <b:Person>
            <b:Last>Baker</b:Last>
            <b:First>Matt</b:First>
          </b:Person>
        </b:NameList>
      </b:Author>
    </b:Author>
    <b:Title>A comparison of experiential instructional strategies upon the science process skills of urban elementary students</b:Title>
    <b:Year>1996</b:Year>
    <b:JournalName>Journal of Agricultural Education</b:JournalName>
    <b:Pages>1-7</b:Pages>
    <b:Volume>37</b:Volume>
    <b:Issue>2</b:Issue>
    <b:RefOrder>3</b:RefOrder>
  </b:Source>
</b:Sources>
</file>

<file path=customXml/itemProps1.xml><?xml version="1.0" encoding="utf-8"?>
<ds:datastoreItem xmlns:ds="http://schemas.openxmlformats.org/officeDocument/2006/customXml" ds:itemID="{A386BD51-1C28-48DF-A093-1323DD1B3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4</Pages>
  <Words>1180</Words>
  <Characters>6731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2011-12-07T17:21:00Z</cp:lastPrinted>
  <dcterms:created xsi:type="dcterms:W3CDTF">2012-01-25T14:54:00Z</dcterms:created>
  <dcterms:modified xsi:type="dcterms:W3CDTF">2012-02-17T18:33:00Z</dcterms:modified>
</cp:coreProperties>
</file>