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D04" w:rsidRDefault="00297D04" w:rsidP="00297D04">
      <w:pPr>
        <w:pStyle w:val="Title"/>
        <w:jc w:val="right"/>
      </w:pPr>
      <w:r>
        <w:t>Poster Type: Innovative Idea</w:t>
      </w:r>
    </w:p>
    <w:p w:rsidR="00297D04" w:rsidRDefault="00297D04" w:rsidP="00297D04">
      <w:pPr>
        <w:pStyle w:val="Title"/>
      </w:pPr>
    </w:p>
    <w:p w:rsidR="00297D04" w:rsidRDefault="00297D04" w:rsidP="00297D04">
      <w:pPr>
        <w:pStyle w:val="Title"/>
      </w:pPr>
    </w:p>
    <w:p w:rsidR="00297D04" w:rsidRDefault="00297D04" w:rsidP="00297D04">
      <w:pPr>
        <w:pStyle w:val="Title"/>
      </w:pPr>
    </w:p>
    <w:p w:rsidR="00297D04" w:rsidRDefault="00297D04" w:rsidP="00297D04">
      <w:pPr>
        <w:pStyle w:val="Title"/>
      </w:pPr>
    </w:p>
    <w:p w:rsidR="00297D04" w:rsidRDefault="00297D04" w:rsidP="00297D04">
      <w:pPr>
        <w:pStyle w:val="Title"/>
      </w:pPr>
      <w:r w:rsidRPr="00A76E87">
        <w:t xml:space="preserve">Developing an Interdisciplinary Project-Based Curriculum: A Collaboration </w:t>
      </w:r>
      <w:proofErr w:type="gramStart"/>
      <w:r w:rsidRPr="00A76E87">
        <w:t>Among</w:t>
      </w:r>
      <w:proofErr w:type="gramEnd"/>
      <w:r w:rsidRPr="00A76E87">
        <w:t xml:space="preserve"> Industry, Higher Education, and State Government</w:t>
      </w:r>
    </w:p>
    <w:p w:rsidR="00297D04" w:rsidRDefault="00297D04" w:rsidP="00297D04">
      <w:pPr>
        <w:pStyle w:val="Title"/>
        <w:rPr>
          <w:b w:val="0"/>
        </w:rPr>
      </w:pPr>
    </w:p>
    <w:p w:rsidR="00297D04" w:rsidRDefault="00297D04" w:rsidP="00297D04">
      <w:pPr>
        <w:pStyle w:val="Title"/>
        <w:rPr>
          <w:b w:val="0"/>
        </w:rPr>
      </w:pPr>
      <w:r>
        <w:rPr>
          <w:b w:val="0"/>
        </w:rPr>
        <w:t>Dr. Cory Epler</w:t>
      </w:r>
      <w:r w:rsidR="008101F5">
        <w:rPr>
          <w:b w:val="0"/>
        </w:rPr>
        <w:t>, Nebraska Department of Education</w:t>
      </w:r>
    </w:p>
    <w:p w:rsidR="00297D04" w:rsidRDefault="00297D04" w:rsidP="00297D04">
      <w:pPr>
        <w:pStyle w:val="Title"/>
        <w:rPr>
          <w:b w:val="0"/>
        </w:rPr>
      </w:pPr>
      <w:r>
        <w:rPr>
          <w:b w:val="0"/>
        </w:rPr>
        <w:t>Dr. Katherine McKee</w:t>
      </w:r>
      <w:r w:rsidR="008101F5">
        <w:rPr>
          <w:b w:val="0"/>
        </w:rPr>
        <w:t>, Nebraska Department of Education</w:t>
      </w:r>
    </w:p>
    <w:p w:rsidR="00297D04" w:rsidRDefault="00297D04" w:rsidP="00297D04">
      <w:pPr>
        <w:pStyle w:val="Title"/>
        <w:rPr>
          <w:b w:val="0"/>
        </w:rPr>
      </w:pPr>
      <w:r>
        <w:rPr>
          <w:b w:val="0"/>
        </w:rPr>
        <w:t>Ms. Carol Ringenberg</w:t>
      </w:r>
      <w:r w:rsidR="008101F5">
        <w:rPr>
          <w:b w:val="0"/>
        </w:rPr>
        <w:t>, Nebraska Department of Education</w:t>
      </w:r>
    </w:p>
    <w:p w:rsidR="00297D04" w:rsidRDefault="00297D04" w:rsidP="00297D04">
      <w:pPr>
        <w:pStyle w:val="Title"/>
        <w:rPr>
          <w:b w:val="0"/>
        </w:rPr>
      </w:pPr>
      <w:r>
        <w:rPr>
          <w:b w:val="0"/>
        </w:rPr>
        <w:t>Mr. Matt Kreifels</w:t>
      </w:r>
      <w:r w:rsidR="008101F5">
        <w:rPr>
          <w:b w:val="0"/>
        </w:rPr>
        <w:t>, Nebraska Department of Education</w:t>
      </w:r>
    </w:p>
    <w:p w:rsidR="008101F5" w:rsidRDefault="008101F5" w:rsidP="00297D04">
      <w:pPr>
        <w:pStyle w:val="Title"/>
        <w:rPr>
          <w:b w:val="0"/>
        </w:rPr>
      </w:pPr>
      <w:r>
        <w:rPr>
          <w:b w:val="0"/>
        </w:rPr>
        <w:t>Dr. Dann Husmann, University of Nebraska-Lincoln</w:t>
      </w:r>
    </w:p>
    <w:p w:rsidR="008101F5" w:rsidRDefault="008101F5" w:rsidP="00297D04">
      <w:pPr>
        <w:pStyle w:val="Title"/>
        <w:rPr>
          <w:b w:val="0"/>
        </w:rPr>
      </w:pPr>
    </w:p>
    <w:p w:rsidR="008101F5" w:rsidRDefault="008101F5" w:rsidP="00297D04">
      <w:pPr>
        <w:pStyle w:val="Title"/>
        <w:rPr>
          <w:b w:val="0"/>
        </w:rPr>
      </w:pPr>
    </w:p>
    <w:p w:rsidR="00297D04" w:rsidRDefault="00297D04" w:rsidP="00297D04">
      <w:pPr>
        <w:pStyle w:val="Title"/>
        <w:rPr>
          <w:b w:val="0"/>
        </w:rPr>
      </w:pPr>
      <w:r>
        <w:rPr>
          <w:b w:val="0"/>
        </w:rPr>
        <w:t>Nebraska Career Education</w:t>
      </w:r>
    </w:p>
    <w:p w:rsidR="008101F5" w:rsidRDefault="008101F5" w:rsidP="00297D04">
      <w:pPr>
        <w:pStyle w:val="Title"/>
        <w:rPr>
          <w:b w:val="0"/>
        </w:rPr>
      </w:pPr>
      <w:r>
        <w:rPr>
          <w:b w:val="0"/>
        </w:rPr>
        <w:t>310 Centennial Mall South</w:t>
      </w:r>
    </w:p>
    <w:p w:rsidR="008101F5" w:rsidRDefault="008101F5" w:rsidP="00297D04">
      <w:pPr>
        <w:pStyle w:val="Title"/>
        <w:rPr>
          <w:b w:val="0"/>
        </w:rPr>
      </w:pPr>
      <w:r>
        <w:rPr>
          <w:b w:val="0"/>
        </w:rPr>
        <w:t>P.O. Box 94987</w:t>
      </w:r>
    </w:p>
    <w:p w:rsidR="00297D04" w:rsidRDefault="008101F5" w:rsidP="00297D04">
      <w:pPr>
        <w:pStyle w:val="Title"/>
        <w:rPr>
          <w:b w:val="0"/>
        </w:rPr>
      </w:pPr>
      <w:r>
        <w:rPr>
          <w:b w:val="0"/>
        </w:rPr>
        <w:t>Lincoln, NE 68509-4987</w:t>
      </w:r>
      <w:r w:rsidR="00297D04">
        <w:rPr>
          <w:b w:val="0"/>
        </w:rPr>
        <w:t xml:space="preserve"> </w:t>
      </w:r>
    </w:p>
    <w:p w:rsidR="008101F5" w:rsidRPr="00763512" w:rsidRDefault="00C6175E" w:rsidP="00297D04">
      <w:pPr>
        <w:pStyle w:val="Title"/>
        <w:rPr>
          <w:b w:val="0"/>
        </w:rPr>
      </w:pPr>
      <w:hyperlink r:id="rId5" w:history="1">
        <w:r w:rsidR="00403CC8" w:rsidRPr="00A43553">
          <w:rPr>
            <w:rStyle w:val="Hyperlink"/>
            <w:b w:val="0"/>
          </w:rPr>
          <w:t>cory.epler@nebraska.gov</w:t>
        </w:r>
      </w:hyperlink>
      <w:r w:rsidR="00403CC8">
        <w:rPr>
          <w:b w:val="0"/>
        </w:rPr>
        <w:t xml:space="preserve"> </w:t>
      </w:r>
    </w:p>
    <w:p w:rsidR="00297D04" w:rsidRDefault="00297D04" w:rsidP="00297D04">
      <w:pPr>
        <w:pStyle w:val="Title"/>
        <w:rPr>
          <w:b w:val="0"/>
        </w:rPr>
      </w:pPr>
    </w:p>
    <w:p w:rsidR="00297D04" w:rsidRDefault="00297D04" w:rsidP="00297D04">
      <w:pPr>
        <w:pStyle w:val="Title"/>
        <w:rPr>
          <w:b w:val="0"/>
        </w:rPr>
      </w:pPr>
    </w:p>
    <w:p w:rsidR="00297D04" w:rsidRDefault="00297D04" w:rsidP="00297D04">
      <w:pPr>
        <w:pStyle w:val="Title"/>
        <w:rPr>
          <w:b w:val="0"/>
        </w:rPr>
      </w:pPr>
    </w:p>
    <w:p w:rsidR="00297D04" w:rsidRDefault="00297D04" w:rsidP="00297D04">
      <w:pPr>
        <w:pStyle w:val="Title"/>
        <w:rPr>
          <w:b w:val="0"/>
        </w:rPr>
      </w:pPr>
    </w:p>
    <w:p w:rsidR="00297D04" w:rsidRDefault="00297D04" w:rsidP="00297D04">
      <w:pPr>
        <w:pStyle w:val="Title"/>
        <w:rPr>
          <w:b w:val="0"/>
        </w:rPr>
      </w:pPr>
    </w:p>
    <w:p w:rsidR="00297D04" w:rsidRDefault="00297D04">
      <w:pPr>
        <w:rPr>
          <w:b/>
        </w:rPr>
      </w:pPr>
      <w:r>
        <w:rPr>
          <w:b/>
        </w:rPr>
        <w:br w:type="page"/>
      </w:r>
    </w:p>
    <w:p w:rsidR="00AD7F9F" w:rsidRPr="00A76E87" w:rsidRDefault="00E31B60" w:rsidP="00AD7F9F">
      <w:pPr>
        <w:ind w:firstLine="720"/>
        <w:jc w:val="center"/>
        <w:rPr>
          <w:b/>
        </w:rPr>
      </w:pPr>
      <w:r w:rsidRPr="00A76E87">
        <w:rPr>
          <w:b/>
        </w:rPr>
        <w:lastRenderedPageBreak/>
        <w:t xml:space="preserve">Developing an Interdisciplinary Project-Based Curriculum: A Collaboration </w:t>
      </w:r>
      <w:proofErr w:type="gramStart"/>
      <w:r w:rsidRPr="00A76E87">
        <w:rPr>
          <w:b/>
        </w:rPr>
        <w:t>Among</w:t>
      </w:r>
      <w:proofErr w:type="gramEnd"/>
      <w:r w:rsidRPr="00A76E87">
        <w:rPr>
          <w:b/>
        </w:rPr>
        <w:t xml:space="preserve"> Industry, Higher Education, and State Government</w:t>
      </w:r>
    </w:p>
    <w:p w:rsidR="003F2727" w:rsidRDefault="00E31B60" w:rsidP="00297D04">
      <w:pPr>
        <w:spacing w:after="0"/>
        <w:rPr>
          <w:b/>
        </w:rPr>
      </w:pPr>
      <w:r w:rsidRPr="00A76E87">
        <w:rPr>
          <w:b/>
        </w:rPr>
        <w:t>Introduction/</w:t>
      </w:r>
      <w:r w:rsidR="00AD7F9F" w:rsidRPr="00A76E87">
        <w:rPr>
          <w:b/>
        </w:rPr>
        <w:t>Need for Innovation</w:t>
      </w:r>
      <w:r w:rsidRPr="00A76E87">
        <w:rPr>
          <w:b/>
        </w:rPr>
        <w:t xml:space="preserve"> </w:t>
      </w:r>
    </w:p>
    <w:p w:rsidR="00E31B60" w:rsidRPr="003F2727" w:rsidRDefault="006D20B7" w:rsidP="003F2727">
      <w:pPr>
        <w:ind w:firstLine="720"/>
        <w:rPr>
          <w:b/>
        </w:rPr>
      </w:pPr>
      <w:r w:rsidRPr="00A76E87">
        <w:t xml:space="preserve">In the </w:t>
      </w:r>
      <w:r w:rsidRPr="00F207C1">
        <w:rPr>
          <w:i/>
        </w:rPr>
        <w:t>Pathways to Prosperity</w:t>
      </w:r>
      <w:r w:rsidRPr="00A76E87">
        <w:t xml:space="preserve"> report, Symonds, Schwartz, &amp; Ferguson (2011) articulated that a fundamental obligation of a society is </w:t>
      </w:r>
      <w:r w:rsidR="002D6C5D">
        <w:t xml:space="preserve">to </w:t>
      </w:r>
      <w:r w:rsidRPr="00A76E87">
        <w:t xml:space="preserve">prepare youth for productive and prosperous lives as adults.  This means “preparing all young people with a foundation of literacy, numeracy, and thinking skills for responsible citizenship, career development, and lifelong learning” (Symonds et al., 2011, p. 1).  Despite this charge, there are signs that the United States is </w:t>
      </w:r>
      <w:r w:rsidR="00E31B60" w:rsidRPr="00A76E87">
        <w:t>struggling</w:t>
      </w:r>
      <w:r w:rsidR="001378B5" w:rsidRPr="00A76E87">
        <w:t xml:space="preserve"> to meet that obligation.  In fact, over one million teenagers drop out of high school each year, and an estimated 1 in 8 children never graduate from high school (Christens</w:t>
      </w:r>
      <w:r w:rsidR="004E5F59" w:rsidRPr="00A76E87">
        <w:t xml:space="preserve">on &amp; </w:t>
      </w:r>
      <w:proofErr w:type="spellStart"/>
      <w:r w:rsidR="004E5F59" w:rsidRPr="00A76E87">
        <w:t>Thurlow</w:t>
      </w:r>
      <w:proofErr w:type="spellEnd"/>
      <w:r w:rsidR="004E5F59" w:rsidRPr="00A76E87">
        <w:t>, 2004).</w:t>
      </w:r>
      <w:r w:rsidR="00E31B60" w:rsidRPr="00A76E87">
        <w:t xml:space="preserve">  With this in mind, the need to meet this fundamental obligation is of u</w:t>
      </w:r>
      <w:r w:rsidR="00A8058B">
        <w:t>t</w:t>
      </w:r>
      <w:r w:rsidR="00E31B60" w:rsidRPr="00A76E87">
        <w:t xml:space="preserve">most importance.  </w:t>
      </w:r>
    </w:p>
    <w:p w:rsidR="006E6B2A" w:rsidRPr="00A76E87" w:rsidRDefault="004E5F59" w:rsidP="00E31B60">
      <w:pPr>
        <w:ind w:firstLine="720"/>
      </w:pPr>
      <w:r w:rsidRPr="00A76E87">
        <w:t xml:space="preserve">  Although efforts to identify potential dropouts have been implemented, there is not one common factor attributed with student disengage in school.  While some students drop out because </w:t>
      </w:r>
      <w:r w:rsidR="006E6B2A" w:rsidRPr="00A76E87">
        <w:t xml:space="preserve">of academic difficulties, others </w:t>
      </w:r>
      <w:r w:rsidR="009A7BF4">
        <w:t xml:space="preserve">leave </w:t>
      </w:r>
      <w:r w:rsidRPr="00A76E87">
        <w:t>because</w:t>
      </w:r>
      <w:r w:rsidR="000F00E8">
        <w:t xml:space="preserve"> they felt that their</w:t>
      </w:r>
      <w:r w:rsidRPr="00A76E87">
        <w:t xml:space="preserve"> classes </w:t>
      </w:r>
      <w:r w:rsidR="00811078" w:rsidRPr="00A76E87">
        <w:t>were</w:t>
      </w:r>
      <w:r w:rsidRPr="00A76E87">
        <w:t xml:space="preserve"> not interesting, </w:t>
      </w:r>
      <w:r w:rsidR="006E6B2A" w:rsidRPr="00A76E87">
        <w:t>their courses were not</w:t>
      </w:r>
      <w:r w:rsidRPr="00A76E87">
        <w:t xml:space="preserve"> </w:t>
      </w:r>
      <w:r w:rsidR="006E6B2A" w:rsidRPr="00A76E87">
        <w:t>authentic</w:t>
      </w:r>
      <w:r w:rsidRPr="00A76E87">
        <w:t xml:space="preserve">, </w:t>
      </w:r>
      <w:r w:rsidR="00274A18" w:rsidRPr="00A76E87">
        <w:t xml:space="preserve">and high school </w:t>
      </w:r>
      <w:r w:rsidR="00811078" w:rsidRPr="00A76E87">
        <w:t>did</w:t>
      </w:r>
      <w:r w:rsidR="00274A18" w:rsidRPr="00A76E87">
        <w:t xml:space="preserve"> not provide a pathway for their career aspirations (Knes</w:t>
      </w:r>
      <w:r w:rsidR="009A7BF4">
        <w:t>ting, 2008; Symonds et al., 2011;</w:t>
      </w:r>
      <w:r w:rsidR="009A7BF4" w:rsidRPr="009A7BF4">
        <w:t xml:space="preserve"> </w:t>
      </w:r>
      <w:r w:rsidR="009A7BF4" w:rsidRPr="00A76E87">
        <w:t xml:space="preserve">Plank, </w:t>
      </w:r>
      <w:proofErr w:type="spellStart"/>
      <w:r w:rsidR="009A7BF4" w:rsidRPr="00A76E87">
        <w:t>DeLuca</w:t>
      </w:r>
      <w:proofErr w:type="spellEnd"/>
      <w:r w:rsidR="009A7BF4" w:rsidRPr="00A76E87">
        <w:t xml:space="preserve">, &amp; </w:t>
      </w:r>
      <w:proofErr w:type="spellStart"/>
      <w:r w:rsidR="009A7BF4" w:rsidRPr="00A76E87">
        <w:t>Estacion</w:t>
      </w:r>
      <w:proofErr w:type="spellEnd"/>
      <w:r w:rsidR="009A7BF4" w:rsidRPr="00A76E87">
        <w:t>, 2008</w:t>
      </w:r>
      <w:r w:rsidR="00274A18" w:rsidRPr="00A76E87">
        <w:t>).</w:t>
      </w:r>
      <w:r w:rsidR="00811078" w:rsidRPr="00A76E87">
        <w:t xml:space="preserve">  </w:t>
      </w:r>
      <w:r w:rsidR="006E6B2A" w:rsidRPr="00A76E87">
        <w:t>Additionally</w:t>
      </w:r>
      <w:r w:rsidR="00AD7F9F" w:rsidRPr="00A76E87">
        <w:t xml:space="preserve">, </w:t>
      </w:r>
      <w:r w:rsidR="00811078" w:rsidRPr="00A76E87">
        <w:t xml:space="preserve">many students drop out because they are unable to see a clear connection between their high school course work and the opportunities in the labor market (Symonds </w:t>
      </w:r>
      <w:r w:rsidR="009A7BF4">
        <w:t>et al., 2011</w:t>
      </w:r>
      <w:r w:rsidR="00811078" w:rsidRPr="00A76E87">
        <w:t>).</w:t>
      </w:r>
    </w:p>
    <w:p w:rsidR="006E6B2A" w:rsidRPr="00A76E87" w:rsidRDefault="006E6B2A" w:rsidP="006E6B2A">
      <w:pPr>
        <w:ind w:firstLine="720"/>
      </w:pPr>
      <w:r w:rsidRPr="00A76E87">
        <w:t xml:space="preserve">One approach to </w:t>
      </w:r>
      <w:r w:rsidR="00A76E87">
        <w:t>engaging</w:t>
      </w:r>
      <w:r w:rsidRPr="00A76E87">
        <w:t xml:space="preserve"> students </w:t>
      </w:r>
      <w:r w:rsidR="00A76E87">
        <w:t xml:space="preserve">and preparing them </w:t>
      </w:r>
      <w:r w:rsidRPr="00A76E87">
        <w:t>for productive lives is Project-Based Learning (PBL).  PBL "engages students in learning knowledge and skills through an extended inquiry process structured around complex, authentic questions" (Markham, 2003, p. 4).  Complex problems - questions with multiple entry points that build upon previous knowledge or assumptions - support constructivist learning environments by promoting the learners' construction of knowl</w:t>
      </w:r>
      <w:r w:rsidR="00C32657">
        <w:t xml:space="preserve">edge (Brooks &amp; Brooks, 1993).  </w:t>
      </w:r>
      <w:r w:rsidRPr="00A76E87">
        <w:t>Thus, by posing questions that are accessible with current knowledge but that require learning and development to solve, a PBL curriculum can support the development and implementation of a constru</w:t>
      </w:r>
      <w:r w:rsidR="004F52BA">
        <w:t>ctivist learning environment (Sa</w:t>
      </w:r>
      <w:r w:rsidRPr="00A76E87">
        <w:t>lomon &amp; Perkins, 1998).</w:t>
      </w:r>
    </w:p>
    <w:p w:rsidR="00BA3767" w:rsidRDefault="00BA3767" w:rsidP="00BA3767">
      <w:pPr>
        <w:ind w:firstLine="720"/>
      </w:pPr>
      <w:r w:rsidRPr="00C6514D">
        <w:t>In 2010, the Department</w:t>
      </w:r>
      <w:r w:rsidR="009A7BF4">
        <w:t>s</w:t>
      </w:r>
      <w:r w:rsidRPr="00C6514D">
        <w:t xml:space="preserve"> of Economic Development </w:t>
      </w:r>
      <w:r w:rsidR="009A7BF4">
        <w:t xml:space="preserve">and </w:t>
      </w:r>
      <w:r w:rsidRPr="00C6514D">
        <w:t>Labor commissioned</w:t>
      </w:r>
      <w:r w:rsidR="009A7BF4">
        <w:t xml:space="preserve"> </w:t>
      </w:r>
      <w:proofErr w:type="gramStart"/>
      <w:r w:rsidR="009A7BF4">
        <w:t>an assessment of [State’s] economic drivers</w:t>
      </w:r>
      <w:proofErr w:type="gramEnd"/>
      <w:r w:rsidR="009A7BF4">
        <w:t xml:space="preserve">.  </w:t>
      </w:r>
      <w:r w:rsidRPr="00C6514D">
        <w:t xml:space="preserve">As a result, </w:t>
      </w:r>
      <w:r>
        <w:t>five primary industry clusters were targeted to drive</w:t>
      </w:r>
      <w:r w:rsidRPr="00C6514D">
        <w:t xml:space="preserve"> future economic development.  </w:t>
      </w:r>
      <w:r>
        <w:t>Specifically mentioned was Agriculture and Food Processing.  In response, the [State] Department of Education</w:t>
      </w:r>
      <w:r w:rsidR="009A7BF4">
        <w:t xml:space="preserve"> (DOE)</w:t>
      </w:r>
      <w:r>
        <w:t xml:space="preserve">, in cooperation with the Southern Region Education Board, partnered with ConAgra Foods to develop a project-based curriculum in the career areas of </w:t>
      </w:r>
      <w:r w:rsidR="009A7BF4">
        <w:t>Food and Nutrition Science</w:t>
      </w:r>
      <w:r>
        <w:t xml:space="preserve">.  The goal of the project is to provide students with a clear link between their high school courses and </w:t>
      </w:r>
      <w:r w:rsidR="009A7BF4">
        <w:t xml:space="preserve">growing career fields.  </w:t>
      </w:r>
      <w:r>
        <w:t xml:space="preserve">Furthermore, the use of PBL will engage students in learning knowledge and skills structured around complex, authentic questions.  </w:t>
      </w:r>
    </w:p>
    <w:p w:rsidR="002C69D3" w:rsidRDefault="00AD7F9F" w:rsidP="00297D04">
      <w:pPr>
        <w:spacing w:after="0"/>
        <w:rPr>
          <w:b/>
        </w:rPr>
      </w:pPr>
      <w:r w:rsidRPr="00A76E87">
        <w:rPr>
          <w:b/>
        </w:rPr>
        <w:t>Program Phases</w:t>
      </w:r>
    </w:p>
    <w:p w:rsidR="003C6299" w:rsidRDefault="00292278" w:rsidP="009D495F">
      <w:pPr>
        <w:ind w:firstLine="720"/>
      </w:pPr>
      <w:r>
        <w:lastRenderedPageBreak/>
        <w:t>The Food and Nutrition Science curriculum project is a synergistic collaboration</w:t>
      </w:r>
      <w:r w:rsidR="005B21E5">
        <w:t xml:space="preserve"> among industry, higher education, and state g</w:t>
      </w:r>
      <w:r w:rsidR="005B21E5" w:rsidRPr="005B21E5">
        <w:t>overnment</w:t>
      </w:r>
      <w:r>
        <w:t xml:space="preserve">.  </w:t>
      </w:r>
      <w:r w:rsidR="005B21E5">
        <w:t xml:space="preserve">In the first phase of developing the </w:t>
      </w:r>
      <w:r w:rsidR="00C23514">
        <w:t xml:space="preserve">PBL </w:t>
      </w:r>
      <w:r w:rsidR="005B21E5">
        <w:t>curriculum</w:t>
      </w:r>
      <w:r w:rsidR="009A7BF4">
        <w:t xml:space="preserve">, </w:t>
      </w:r>
      <w:r>
        <w:t xml:space="preserve">[State] </w:t>
      </w:r>
      <w:r w:rsidR="009A7BF4">
        <w:t>DOE</w:t>
      </w:r>
      <w:r>
        <w:t xml:space="preserve"> </w:t>
      </w:r>
      <w:r w:rsidR="009D495F">
        <w:t xml:space="preserve">facilitated </w:t>
      </w:r>
      <w:r w:rsidR="005B21E5">
        <w:t>meetings</w:t>
      </w:r>
      <w:r w:rsidR="009D495F">
        <w:t xml:space="preserve"> where </w:t>
      </w:r>
      <w:r w:rsidR="005B21E5">
        <w:t>industry representatives</w:t>
      </w:r>
      <w:r w:rsidR="009D495F">
        <w:t xml:space="preserve"> and Food Science and Nutrition </w:t>
      </w:r>
      <w:r w:rsidR="008A7B4F">
        <w:t xml:space="preserve">and Health </w:t>
      </w:r>
      <w:r w:rsidR="009D495F">
        <w:t>Science</w:t>
      </w:r>
      <w:r w:rsidR="008A7B4F">
        <w:t>s</w:t>
      </w:r>
      <w:r w:rsidR="009D495F">
        <w:t xml:space="preserve"> faculty from the [University] </w:t>
      </w:r>
      <w:r w:rsidR="005B21E5">
        <w:t>identified</w:t>
      </w:r>
      <w:r w:rsidR="009D495F">
        <w:t xml:space="preserve"> the technical content associated with the four-course sequence.  </w:t>
      </w:r>
      <w:r w:rsidR="005B21E5">
        <w:t xml:space="preserve">In the second phase, </w:t>
      </w:r>
      <w:r w:rsidR="009D495F">
        <w:t xml:space="preserve">industry and higher education </w:t>
      </w:r>
      <w:r w:rsidR="005B21E5">
        <w:t xml:space="preserve">representatives </w:t>
      </w:r>
      <w:r w:rsidR="009D495F">
        <w:t xml:space="preserve">identify the complex and authentic projects </w:t>
      </w:r>
      <w:r w:rsidR="005B21E5">
        <w:t>that will be used to teach the technical content</w:t>
      </w:r>
      <w:r w:rsidR="009D495F">
        <w:t xml:space="preserve">.  </w:t>
      </w:r>
      <w:r>
        <w:t xml:space="preserve">This </w:t>
      </w:r>
      <w:r w:rsidRPr="00B42B35">
        <w:t xml:space="preserve">input </w:t>
      </w:r>
      <w:r w:rsidR="005B21E5">
        <w:t>provide</w:t>
      </w:r>
      <w:r w:rsidR="00592CAA">
        <w:t>s</w:t>
      </w:r>
      <w:r w:rsidR="009D495F">
        <w:t xml:space="preserve"> the</w:t>
      </w:r>
      <w:r w:rsidRPr="00B42B35">
        <w:t xml:space="preserve"> framework </w:t>
      </w:r>
      <w:r w:rsidR="009D495F">
        <w:t>for an</w:t>
      </w:r>
      <w:r w:rsidRPr="00B42B35">
        <w:t xml:space="preserve"> industry-validated Food </w:t>
      </w:r>
      <w:r w:rsidR="009D495F">
        <w:t xml:space="preserve">and Nutrition Sciences curriculum.  </w:t>
      </w:r>
      <w:r w:rsidR="009A7BF4">
        <w:t>Finally</w:t>
      </w:r>
      <w:r w:rsidR="005B21E5">
        <w:t xml:space="preserve">, professional curriculum writers utilize the input provided by industry and higher education representatives to write the project-based courses.  </w:t>
      </w:r>
    </w:p>
    <w:p w:rsidR="00AD7F9F" w:rsidRDefault="00292278" w:rsidP="00297D04">
      <w:pPr>
        <w:spacing w:after="0"/>
        <w:rPr>
          <w:b/>
        </w:rPr>
      </w:pPr>
      <w:r>
        <w:t>Re</w:t>
      </w:r>
      <w:r w:rsidR="00AD7F9F" w:rsidRPr="00A76E87">
        <w:rPr>
          <w:b/>
        </w:rPr>
        <w:t>sults to Date</w:t>
      </w:r>
    </w:p>
    <w:p w:rsidR="008A7B4F" w:rsidRPr="008A7B4F" w:rsidRDefault="008A7B4F" w:rsidP="00292278">
      <w:r>
        <w:rPr>
          <w:b/>
        </w:rPr>
        <w:tab/>
      </w:r>
      <w:r>
        <w:t xml:space="preserve"> [State] </w:t>
      </w:r>
      <w:r w:rsidR="009A7BF4">
        <w:t>DOE</w:t>
      </w:r>
      <w:r>
        <w:t xml:space="preserve"> staff met with Food Scientists and Nutrition Scientists </w:t>
      </w:r>
      <w:r w:rsidR="00C32657">
        <w:t>and university</w:t>
      </w:r>
      <w:r>
        <w:t xml:space="preserve"> faculty to identify the courses and technical content beginning in January 2012.   </w:t>
      </w:r>
      <w:r w:rsidR="00494F40">
        <w:t>The following courses were identified for development: (1) Food Production, Nutrition, and Health, (2) Food Science, (3) Nutrition Science, and (4) Food and Nutrition Science Research and Development.  In March 2012, industry, higher education, and state g</w:t>
      </w:r>
      <w:r w:rsidR="00494F40" w:rsidRPr="005B21E5">
        <w:t>overnment</w:t>
      </w:r>
      <w:r w:rsidR="00494F40">
        <w:t xml:space="preserve"> officials met and identified the projects associated with the first cour</w:t>
      </w:r>
      <w:r w:rsidR="00F81E1E">
        <w:t>se in the sequence.  A</w:t>
      </w:r>
      <w:r w:rsidR="00494F40">
        <w:t xml:space="preserve"> curriculum writer is developing the first course, utilizing the technical content experts as resources.  The anticipated completion date for the first course is May 2013, and the course will be offered beginning with the 2013 school year.</w:t>
      </w:r>
      <w:r w:rsidR="00F81E1E">
        <w:t xml:space="preserve">  Currently, five schools will offer the course for the 2013-2014 school </w:t>
      </w:r>
      <w:proofErr w:type="gramStart"/>
      <w:r w:rsidR="00F81E1E">
        <w:t>year</w:t>
      </w:r>
      <w:proofErr w:type="gramEnd"/>
      <w:r w:rsidR="00F81E1E">
        <w:t>.</w:t>
      </w:r>
    </w:p>
    <w:p w:rsidR="00AD7F9F" w:rsidRDefault="00AD7F9F" w:rsidP="00297D04">
      <w:pPr>
        <w:spacing w:after="0"/>
        <w:rPr>
          <w:b/>
        </w:rPr>
      </w:pPr>
      <w:r w:rsidRPr="00A76E87">
        <w:rPr>
          <w:b/>
        </w:rPr>
        <w:t xml:space="preserve">Future Plans/Advice to Others </w:t>
      </w:r>
    </w:p>
    <w:p w:rsidR="00271DE7" w:rsidRDefault="00F81E1E" w:rsidP="00AD7F9F">
      <w:r>
        <w:rPr>
          <w:b/>
        </w:rPr>
        <w:tab/>
      </w:r>
      <w:r w:rsidR="00592CAA">
        <w:t>In</w:t>
      </w:r>
      <w:r>
        <w:t xml:space="preserve"> September 2012, development will begin for the second and third courses in the four-course sequence</w:t>
      </w:r>
      <w:r w:rsidR="00A8058B">
        <w:t xml:space="preserve">, following the same development procedure as the first course.  </w:t>
      </w:r>
      <w:r>
        <w:t>The second and third courses are anticipated to be completed by May 2014 and will be offered</w:t>
      </w:r>
      <w:r w:rsidR="003F2727">
        <w:t xml:space="preserve"> in schools beginning with the 2014 school year.  The same process will </w:t>
      </w:r>
      <w:r w:rsidR="00A8058B">
        <w:t xml:space="preserve">also </w:t>
      </w:r>
      <w:r w:rsidR="003F2727">
        <w:t>be used to develop the fourth course, which is schedule</w:t>
      </w:r>
      <w:r w:rsidR="00271DE7">
        <w:t>d</w:t>
      </w:r>
      <w:r w:rsidR="003F2727">
        <w:t xml:space="preserve"> for completion in 2015.  </w:t>
      </w:r>
    </w:p>
    <w:p w:rsidR="00271DE7" w:rsidRDefault="00271DE7" w:rsidP="00AD7F9F">
      <w:r>
        <w:tab/>
        <w:t xml:space="preserve">Future plans include creating opportunities for teacher professional development and research associated with the effectiveness of the PBL curriculum.  Teachers teaching the courses will be expected to attend a Food and Nutrition Science Summer Institute.  The Summer Institute will provide support related to the curriculum’s technical content and to assist teachers as they implement </w:t>
      </w:r>
      <w:r w:rsidR="00592CAA">
        <w:t>PBL in</w:t>
      </w:r>
      <w:r>
        <w:t xml:space="preserve"> their classrooms.  </w:t>
      </w:r>
      <w:r w:rsidR="00427A9D">
        <w:t xml:space="preserve">The first Summer Institute will be held July 18-20, 2012.  </w:t>
      </w:r>
      <w:r>
        <w:t xml:space="preserve">Furthermore, research associated with the project will be designed around implementation of </w:t>
      </w:r>
      <w:r w:rsidR="00592CAA">
        <w:t>PBL</w:t>
      </w:r>
      <w:r>
        <w:t>, student engagement</w:t>
      </w:r>
      <w:r w:rsidR="00427A9D">
        <w:t xml:space="preserve"> in </w:t>
      </w:r>
      <w:r w:rsidR="00592CAA">
        <w:t>PBL</w:t>
      </w:r>
      <w:r w:rsidR="00427A9D">
        <w:t xml:space="preserve">, knowledge </w:t>
      </w:r>
      <w:r w:rsidR="00592CAA">
        <w:t xml:space="preserve">obtained </w:t>
      </w:r>
      <w:r w:rsidR="00427A9D">
        <w:t xml:space="preserve">within </w:t>
      </w:r>
      <w:r w:rsidR="00592CAA">
        <w:t>PBL courses</w:t>
      </w:r>
      <w:r w:rsidR="00427A9D">
        <w:t xml:space="preserve">, and student matriculation into postsecondary training or careers within Food and Nutrition Science.    </w:t>
      </w:r>
    </w:p>
    <w:p w:rsidR="00AD7F9F" w:rsidRDefault="00271DE7" w:rsidP="00297D04">
      <w:pPr>
        <w:spacing w:after="0"/>
        <w:rPr>
          <w:b/>
        </w:rPr>
      </w:pPr>
      <w:r>
        <w:t xml:space="preserve"> </w:t>
      </w:r>
      <w:r w:rsidR="00A8058B">
        <w:rPr>
          <w:b/>
        </w:rPr>
        <w:t xml:space="preserve">Costs/Resources Needed </w:t>
      </w:r>
      <w:r w:rsidR="00A97A1D">
        <w:rPr>
          <w:b/>
        </w:rPr>
        <w:t>(Per Course)</w:t>
      </w:r>
    </w:p>
    <w:tbl>
      <w:tblPr>
        <w:tblStyle w:val="TableGrid"/>
        <w:tblW w:w="0" w:type="auto"/>
        <w:tblLook w:val="04A0"/>
      </w:tblPr>
      <w:tblGrid>
        <w:gridCol w:w="8028"/>
        <w:gridCol w:w="1548"/>
      </w:tblGrid>
      <w:tr w:rsidR="00427A9D" w:rsidRPr="00427A9D" w:rsidTr="00A8058B">
        <w:tc>
          <w:tcPr>
            <w:tcW w:w="8028" w:type="dxa"/>
          </w:tcPr>
          <w:p w:rsidR="00427A9D" w:rsidRPr="00427A9D" w:rsidRDefault="00C32657" w:rsidP="00C32657">
            <w:r>
              <w:t>Phase 1</w:t>
            </w:r>
            <w:r w:rsidR="00A56F34">
              <w:t xml:space="preserve"> Meetings</w:t>
            </w:r>
            <w:r w:rsidR="00A8058B">
              <w:t>:</w:t>
            </w:r>
            <w:r w:rsidR="00427A9D" w:rsidRPr="00427A9D">
              <w:t xml:space="preserve"> </w:t>
            </w:r>
            <w:r>
              <w:t>Includes supplies, meals</w:t>
            </w:r>
            <w:r w:rsidRPr="00427A9D">
              <w:t xml:space="preserve">, lodging, </w:t>
            </w:r>
            <w:r>
              <w:t>&amp;</w:t>
            </w:r>
            <w:r w:rsidRPr="00427A9D">
              <w:t xml:space="preserve"> travel </w:t>
            </w:r>
            <w:r>
              <w:t>expenses</w:t>
            </w:r>
          </w:p>
        </w:tc>
        <w:tc>
          <w:tcPr>
            <w:tcW w:w="1548" w:type="dxa"/>
          </w:tcPr>
          <w:p w:rsidR="00427A9D" w:rsidRPr="00427A9D" w:rsidRDefault="00A8058B" w:rsidP="00A30C4F">
            <w:r>
              <w:t>$1,200</w:t>
            </w:r>
          </w:p>
        </w:tc>
      </w:tr>
      <w:tr w:rsidR="00427A9D" w:rsidRPr="00427A9D" w:rsidTr="00A8058B">
        <w:tc>
          <w:tcPr>
            <w:tcW w:w="8028" w:type="dxa"/>
          </w:tcPr>
          <w:p w:rsidR="00427A9D" w:rsidRPr="00427A9D" w:rsidRDefault="00C32657" w:rsidP="00C32657">
            <w:r>
              <w:t>Phase 2</w:t>
            </w:r>
            <w:r w:rsidR="00A56F34">
              <w:t xml:space="preserve"> Meetings</w:t>
            </w:r>
            <w:r>
              <w:t>: Includes supplies, meals</w:t>
            </w:r>
            <w:r w:rsidRPr="00427A9D">
              <w:t xml:space="preserve">, lodging, </w:t>
            </w:r>
            <w:r>
              <w:t>&amp;</w:t>
            </w:r>
            <w:r w:rsidRPr="00427A9D">
              <w:t xml:space="preserve"> travel </w:t>
            </w:r>
            <w:r>
              <w:t>expenses</w:t>
            </w:r>
          </w:p>
        </w:tc>
        <w:tc>
          <w:tcPr>
            <w:tcW w:w="1548" w:type="dxa"/>
          </w:tcPr>
          <w:p w:rsidR="00427A9D" w:rsidRPr="00427A9D" w:rsidRDefault="00A8058B" w:rsidP="00A30C4F">
            <w:r>
              <w:t>$3,600</w:t>
            </w:r>
          </w:p>
        </w:tc>
      </w:tr>
      <w:tr w:rsidR="00427A9D" w:rsidRPr="00427A9D" w:rsidTr="00A8058B">
        <w:tc>
          <w:tcPr>
            <w:tcW w:w="8028" w:type="dxa"/>
          </w:tcPr>
          <w:p w:rsidR="00A8058B" w:rsidRPr="00427A9D" w:rsidRDefault="00427A9D" w:rsidP="00A30C4F">
            <w:r w:rsidRPr="00427A9D">
              <w:t>Curriculum Writer</w:t>
            </w:r>
            <w:r w:rsidR="00A8058B">
              <w:t>:</w:t>
            </w:r>
            <w:r w:rsidR="00C32657">
              <w:t xml:space="preserve">  </w:t>
            </w:r>
            <w:r w:rsidR="00A8058B">
              <w:t>Includes fees and expenses</w:t>
            </w:r>
          </w:p>
        </w:tc>
        <w:tc>
          <w:tcPr>
            <w:tcW w:w="1548" w:type="dxa"/>
          </w:tcPr>
          <w:p w:rsidR="00427A9D" w:rsidRPr="00427A9D" w:rsidRDefault="00A8058B" w:rsidP="00A30C4F">
            <w:r>
              <w:t>$48,000</w:t>
            </w:r>
          </w:p>
        </w:tc>
      </w:tr>
      <w:tr w:rsidR="00427A9D" w:rsidRPr="00427A9D" w:rsidTr="00A8058B">
        <w:tc>
          <w:tcPr>
            <w:tcW w:w="8028" w:type="dxa"/>
          </w:tcPr>
          <w:p w:rsidR="00427A9D" w:rsidRPr="00427A9D" w:rsidRDefault="00427A9D" w:rsidP="00C32657">
            <w:r w:rsidRPr="00427A9D">
              <w:t>Summer Institute</w:t>
            </w:r>
            <w:r w:rsidR="00A8058B">
              <w:t>:</w:t>
            </w:r>
            <w:r w:rsidR="00C32657">
              <w:t xml:space="preserve"> </w:t>
            </w:r>
            <w:r w:rsidR="00A8058B">
              <w:t>I</w:t>
            </w:r>
            <w:r w:rsidRPr="00427A9D">
              <w:t>ncludes</w:t>
            </w:r>
            <w:r w:rsidR="00A8058B">
              <w:t xml:space="preserve"> </w:t>
            </w:r>
            <w:r>
              <w:t>stipends,</w:t>
            </w:r>
            <w:r w:rsidR="00C32657">
              <w:t xml:space="preserve"> supplies, meals</w:t>
            </w:r>
            <w:r w:rsidRPr="00427A9D">
              <w:t xml:space="preserve">, lodging, </w:t>
            </w:r>
            <w:r w:rsidR="00C32657">
              <w:t>&amp;</w:t>
            </w:r>
            <w:r w:rsidRPr="00427A9D">
              <w:t xml:space="preserve"> travel </w:t>
            </w:r>
            <w:r w:rsidR="00C32657">
              <w:t xml:space="preserve"> expenses</w:t>
            </w:r>
          </w:p>
        </w:tc>
        <w:tc>
          <w:tcPr>
            <w:tcW w:w="1548" w:type="dxa"/>
          </w:tcPr>
          <w:p w:rsidR="00427A9D" w:rsidRPr="00427A9D" w:rsidRDefault="00A8058B" w:rsidP="00A30C4F">
            <w:r>
              <w:t>$26,000</w:t>
            </w:r>
          </w:p>
        </w:tc>
      </w:tr>
    </w:tbl>
    <w:p w:rsidR="00E31B60" w:rsidRPr="00A76E87" w:rsidRDefault="00AD7F9F" w:rsidP="002C69D3">
      <w:pPr>
        <w:rPr>
          <w:b/>
        </w:rPr>
      </w:pPr>
      <w:r w:rsidRPr="00A76E87">
        <w:rPr>
          <w:b/>
        </w:rPr>
        <w:br w:type="page"/>
      </w:r>
      <w:r w:rsidRPr="00A76E87">
        <w:rPr>
          <w:b/>
        </w:rPr>
        <w:lastRenderedPageBreak/>
        <w:t>References</w:t>
      </w:r>
    </w:p>
    <w:p w:rsidR="000D150C" w:rsidRPr="004F52BA" w:rsidRDefault="000D150C" w:rsidP="000D150C">
      <w:pPr>
        <w:spacing w:after="120" w:line="240" w:lineRule="auto"/>
        <w:ind w:left="720" w:hanging="720"/>
      </w:pPr>
      <w:r w:rsidRPr="004F52BA">
        <w:t xml:space="preserve">Brooks, G.B. &amp; Brooks, M. (1993). </w:t>
      </w:r>
      <w:r w:rsidRPr="004F52BA">
        <w:rPr>
          <w:i/>
        </w:rPr>
        <w:t xml:space="preserve">In search of understanding: The case for constructivist classrooms. </w:t>
      </w:r>
      <w:r w:rsidRPr="004F52BA">
        <w:t>Alexandria, Virginia: Association for Supervision and Curriculum Development.</w:t>
      </w:r>
    </w:p>
    <w:p w:rsidR="00A30C4F" w:rsidRPr="004F52BA" w:rsidRDefault="00837791" w:rsidP="004F52BA">
      <w:pPr>
        <w:ind w:left="720" w:hanging="720"/>
      </w:pPr>
      <w:proofErr w:type="gramStart"/>
      <w:r w:rsidRPr="004F52BA">
        <w:t>Christenson, S. &amp; Thurlow, M. (2004).</w:t>
      </w:r>
      <w:proofErr w:type="gramEnd"/>
      <w:r w:rsidRPr="004F52BA">
        <w:t xml:space="preserve"> School dropouts: Prevention, considerations, interventions, and challenges. </w:t>
      </w:r>
      <w:r w:rsidRPr="004F52BA">
        <w:rPr>
          <w:i/>
        </w:rPr>
        <w:t>Current Directions in Psychological Science, 13</w:t>
      </w:r>
      <w:r w:rsidRPr="004F52BA">
        <w:t xml:space="preserve">(1), 36-39. </w:t>
      </w:r>
    </w:p>
    <w:p w:rsidR="00837791" w:rsidRPr="004F52BA" w:rsidRDefault="00837791" w:rsidP="00837791">
      <w:pPr>
        <w:spacing w:before="240"/>
        <w:ind w:left="720" w:hanging="720"/>
      </w:pPr>
      <w:r w:rsidRPr="004F52BA">
        <w:t xml:space="preserve">Knesting, K. (2008). Students at risk of school dropout: Supporting their persistence. </w:t>
      </w:r>
      <w:r w:rsidRPr="004F52BA">
        <w:rPr>
          <w:i/>
        </w:rPr>
        <w:t>Preventing School Failure, 52</w:t>
      </w:r>
      <w:r w:rsidRPr="004F52BA">
        <w:t>(4), 3-10.</w:t>
      </w:r>
    </w:p>
    <w:p w:rsidR="00A30C4F" w:rsidRPr="004F52BA" w:rsidRDefault="00A30C4F" w:rsidP="004F52BA">
      <w:pPr>
        <w:spacing w:after="120"/>
        <w:ind w:left="720" w:hanging="720"/>
      </w:pPr>
      <w:r w:rsidRPr="004F52BA">
        <w:t xml:space="preserve">Markham, T. (2003). </w:t>
      </w:r>
      <w:r w:rsidRPr="004F52BA">
        <w:rPr>
          <w:i/>
          <w:iCs/>
        </w:rPr>
        <w:t xml:space="preserve">Project based learning: A guide to standards-focused project based learning for middle and high school teachers. </w:t>
      </w:r>
      <w:r w:rsidRPr="004F52BA">
        <w:t>Novato, California: Buck Institute for Education.</w:t>
      </w:r>
    </w:p>
    <w:p w:rsidR="00837791" w:rsidRPr="004F52BA" w:rsidRDefault="00837791" w:rsidP="00837791">
      <w:pPr>
        <w:ind w:left="720" w:hanging="720"/>
      </w:pPr>
      <w:r w:rsidRPr="004F52BA">
        <w:t xml:space="preserve">Plank, S., DeLuca, S., Estacion, A. (2008). High school dropout and the role of Career and Technical Education: A survival analysis of surviving high school. </w:t>
      </w:r>
      <w:r w:rsidRPr="004F52BA">
        <w:rPr>
          <w:i/>
        </w:rPr>
        <w:t xml:space="preserve">Sociology of Education, 81, </w:t>
      </w:r>
      <w:r w:rsidRPr="004F52BA">
        <w:t xml:space="preserve">345-370. </w:t>
      </w:r>
    </w:p>
    <w:p w:rsidR="000D150C" w:rsidRPr="004F52BA" w:rsidRDefault="000D150C" w:rsidP="002C69D3">
      <w:pPr>
        <w:ind w:left="720" w:hanging="720"/>
      </w:pPr>
      <w:r w:rsidRPr="004F52BA">
        <w:t xml:space="preserve">Salomon. G., &amp; Perkins, D.N. (1998). Individual and social aspects of learning. In P.D. Pearson &amp; A. Iran-Nejad (Eds.) </w:t>
      </w:r>
      <w:r w:rsidRPr="004F52BA">
        <w:rPr>
          <w:i/>
        </w:rPr>
        <w:t xml:space="preserve">Review of research in education. </w:t>
      </w:r>
      <w:r w:rsidRPr="004F52BA">
        <w:t>(pp. 1-23). Washington, DC: American Educational Research Association</w:t>
      </w:r>
    </w:p>
    <w:p w:rsidR="002C69D3" w:rsidRPr="00A76E87" w:rsidRDefault="002C69D3" w:rsidP="002C69D3">
      <w:pPr>
        <w:ind w:left="720" w:hanging="720"/>
      </w:pPr>
      <w:r w:rsidRPr="004F52BA">
        <w:t xml:space="preserve">Symonds, W., Schwartz, R., &amp; Ferguson, R. (2011). Pathways to prosperity: Meeting the challenge of preparing young Americans for the 21st Century. Retrieved from Harvard Graduate School of Education, Pathways to Prosperity Project website: </w:t>
      </w:r>
      <w:hyperlink r:id="rId6" w:history="1">
        <w:r w:rsidRPr="004F52BA">
          <w:rPr>
            <w:rStyle w:val="Hyperlink"/>
          </w:rPr>
          <w:t>http://www.gse.harvard.edu/news_events/features/2011/Pathways_to_Prosperity_Feb2011.pdf</w:t>
        </w:r>
      </w:hyperlink>
      <w:r w:rsidRPr="00A76E87">
        <w:t xml:space="preserve"> </w:t>
      </w:r>
    </w:p>
    <w:p w:rsidR="004E5F59" w:rsidRPr="00A76E87" w:rsidRDefault="004E5F59" w:rsidP="002C69D3">
      <w:pPr>
        <w:ind w:left="720" w:hanging="720"/>
      </w:pPr>
    </w:p>
    <w:p w:rsidR="00837791" w:rsidRDefault="00837791">
      <w:pPr>
        <w:ind w:left="720" w:hanging="720"/>
      </w:pPr>
    </w:p>
    <w:sectPr w:rsidR="00837791" w:rsidSect="008A7B4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20"/>
  <w:displayHorizontalDrawingGridEvery w:val="2"/>
  <w:characterSpacingControl w:val="doNotCompress"/>
  <w:compat/>
  <w:rsids>
    <w:rsidRoot w:val="002C69D3"/>
    <w:rsid w:val="00004CA9"/>
    <w:rsid w:val="000200D9"/>
    <w:rsid w:val="000D150C"/>
    <w:rsid w:val="000F00E8"/>
    <w:rsid w:val="001378B5"/>
    <w:rsid w:val="00192A25"/>
    <w:rsid w:val="001F3E83"/>
    <w:rsid w:val="002160B8"/>
    <w:rsid w:val="002204C0"/>
    <w:rsid w:val="00271DE7"/>
    <w:rsid w:val="00274A18"/>
    <w:rsid w:val="00282B45"/>
    <w:rsid w:val="00292278"/>
    <w:rsid w:val="0029778A"/>
    <w:rsid w:val="00297D04"/>
    <w:rsid w:val="002C69D3"/>
    <w:rsid w:val="002D6C5D"/>
    <w:rsid w:val="003C6299"/>
    <w:rsid w:val="003F2727"/>
    <w:rsid w:val="003F49C3"/>
    <w:rsid w:val="00403CC8"/>
    <w:rsid w:val="00427A9D"/>
    <w:rsid w:val="00494F40"/>
    <w:rsid w:val="004E5F59"/>
    <w:rsid w:val="004F52BA"/>
    <w:rsid w:val="00560967"/>
    <w:rsid w:val="00592CAA"/>
    <w:rsid w:val="00595253"/>
    <w:rsid w:val="005B21E5"/>
    <w:rsid w:val="006D20B7"/>
    <w:rsid w:val="006E6B2A"/>
    <w:rsid w:val="007E2129"/>
    <w:rsid w:val="008101F5"/>
    <w:rsid w:val="00811078"/>
    <w:rsid w:val="00837791"/>
    <w:rsid w:val="008A7B4F"/>
    <w:rsid w:val="009A7BF4"/>
    <w:rsid w:val="009D495F"/>
    <w:rsid w:val="00A30C4F"/>
    <w:rsid w:val="00A3127E"/>
    <w:rsid w:val="00A56F34"/>
    <w:rsid w:val="00A7156D"/>
    <w:rsid w:val="00A76E87"/>
    <w:rsid w:val="00A8058B"/>
    <w:rsid w:val="00A97A1D"/>
    <w:rsid w:val="00AB4AF9"/>
    <w:rsid w:val="00AD7F9F"/>
    <w:rsid w:val="00BA3767"/>
    <w:rsid w:val="00C23514"/>
    <w:rsid w:val="00C245C6"/>
    <w:rsid w:val="00C32657"/>
    <w:rsid w:val="00C6175E"/>
    <w:rsid w:val="00C64B46"/>
    <w:rsid w:val="00C70B7E"/>
    <w:rsid w:val="00CF39D5"/>
    <w:rsid w:val="00E31B60"/>
    <w:rsid w:val="00ED0B8E"/>
    <w:rsid w:val="00F207C1"/>
    <w:rsid w:val="00F81E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A25"/>
  </w:style>
  <w:style w:type="paragraph" w:styleId="Heading1">
    <w:name w:val="heading 1"/>
    <w:basedOn w:val="Normal"/>
    <w:next w:val="Normal"/>
    <w:link w:val="Heading1Char"/>
    <w:uiPriority w:val="9"/>
    <w:qFormat/>
    <w:rsid w:val="00BA3767"/>
    <w:pPr>
      <w:keepNext/>
      <w:keepLines/>
      <w:spacing w:before="480" w:after="0"/>
      <w:outlineLvl w:val="0"/>
    </w:pPr>
    <w:rPr>
      <w:rFonts w:ascii="Cambria" w:eastAsia="Times New Roman" w:hAnsi="Cambria"/>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9D3"/>
    <w:rPr>
      <w:color w:val="0000FF" w:themeColor="hyperlink"/>
      <w:u w:val="single"/>
    </w:rPr>
  </w:style>
  <w:style w:type="table" w:styleId="TableGrid">
    <w:name w:val="Table Grid"/>
    <w:basedOn w:val="TableNormal"/>
    <w:uiPriority w:val="59"/>
    <w:rsid w:val="00427A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A3767"/>
    <w:rPr>
      <w:rFonts w:ascii="Cambria" w:eastAsia="Times New Roman" w:hAnsi="Cambria"/>
      <w:b/>
      <w:bCs/>
      <w:color w:val="365F91"/>
      <w:sz w:val="28"/>
      <w:szCs w:val="28"/>
      <w:lang w:bidi="en-US"/>
    </w:rPr>
  </w:style>
  <w:style w:type="paragraph" w:styleId="NoSpacing">
    <w:name w:val="No Spacing"/>
    <w:uiPriority w:val="1"/>
    <w:qFormat/>
    <w:rsid w:val="00BA3767"/>
    <w:pPr>
      <w:spacing w:after="0" w:line="240" w:lineRule="auto"/>
    </w:pPr>
    <w:rPr>
      <w:rFonts w:ascii="Calibri" w:eastAsia="Times New Roman" w:hAnsi="Calibri"/>
      <w:sz w:val="22"/>
      <w:szCs w:val="22"/>
      <w:lang w:bidi="en-US"/>
    </w:rPr>
  </w:style>
  <w:style w:type="character" w:styleId="CommentReference">
    <w:name w:val="annotation reference"/>
    <w:basedOn w:val="DefaultParagraphFont"/>
    <w:uiPriority w:val="99"/>
    <w:semiHidden/>
    <w:unhideWhenUsed/>
    <w:rsid w:val="002160B8"/>
    <w:rPr>
      <w:sz w:val="16"/>
      <w:szCs w:val="16"/>
    </w:rPr>
  </w:style>
  <w:style w:type="paragraph" w:styleId="CommentText">
    <w:name w:val="annotation text"/>
    <w:basedOn w:val="Normal"/>
    <w:link w:val="CommentTextChar"/>
    <w:uiPriority w:val="99"/>
    <w:semiHidden/>
    <w:unhideWhenUsed/>
    <w:rsid w:val="002160B8"/>
    <w:pPr>
      <w:spacing w:line="240" w:lineRule="auto"/>
    </w:pPr>
    <w:rPr>
      <w:sz w:val="20"/>
      <w:szCs w:val="20"/>
    </w:rPr>
  </w:style>
  <w:style w:type="character" w:customStyle="1" w:styleId="CommentTextChar">
    <w:name w:val="Comment Text Char"/>
    <w:basedOn w:val="DefaultParagraphFont"/>
    <w:link w:val="CommentText"/>
    <w:uiPriority w:val="99"/>
    <w:semiHidden/>
    <w:rsid w:val="002160B8"/>
    <w:rPr>
      <w:sz w:val="20"/>
      <w:szCs w:val="20"/>
    </w:rPr>
  </w:style>
  <w:style w:type="paragraph" w:styleId="CommentSubject">
    <w:name w:val="annotation subject"/>
    <w:basedOn w:val="CommentText"/>
    <w:next w:val="CommentText"/>
    <w:link w:val="CommentSubjectChar"/>
    <w:uiPriority w:val="99"/>
    <w:semiHidden/>
    <w:unhideWhenUsed/>
    <w:rsid w:val="002160B8"/>
    <w:rPr>
      <w:b/>
      <w:bCs/>
    </w:rPr>
  </w:style>
  <w:style w:type="character" w:customStyle="1" w:styleId="CommentSubjectChar">
    <w:name w:val="Comment Subject Char"/>
    <w:basedOn w:val="CommentTextChar"/>
    <w:link w:val="CommentSubject"/>
    <w:uiPriority w:val="99"/>
    <w:semiHidden/>
    <w:rsid w:val="002160B8"/>
    <w:rPr>
      <w:b/>
      <w:bCs/>
    </w:rPr>
  </w:style>
  <w:style w:type="paragraph" w:styleId="BalloonText">
    <w:name w:val="Balloon Text"/>
    <w:basedOn w:val="Normal"/>
    <w:link w:val="BalloonTextChar"/>
    <w:uiPriority w:val="99"/>
    <w:semiHidden/>
    <w:unhideWhenUsed/>
    <w:rsid w:val="00216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0B8"/>
    <w:rPr>
      <w:rFonts w:ascii="Tahoma" w:hAnsi="Tahoma" w:cs="Tahoma"/>
      <w:sz w:val="16"/>
      <w:szCs w:val="16"/>
    </w:rPr>
  </w:style>
  <w:style w:type="paragraph" w:styleId="Title">
    <w:name w:val="Title"/>
    <w:basedOn w:val="Normal"/>
    <w:link w:val="TitleChar"/>
    <w:qFormat/>
    <w:rsid w:val="00297D04"/>
    <w:pPr>
      <w:spacing w:after="60" w:line="240" w:lineRule="auto"/>
      <w:jc w:val="center"/>
      <w:outlineLvl w:val="0"/>
    </w:pPr>
    <w:rPr>
      <w:rFonts w:eastAsia="Times New Roman" w:cs="Arial"/>
      <w:b/>
      <w:bCs/>
      <w:kern w:val="28"/>
      <w:szCs w:val="32"/>
    </w:rPr>
  </w:style>
  <w:style w:type="character" w:customStyle="1" w:styleId="TitleChar">
    <w:name w:val="Title Char"/>
    <w:basedOn w:val="DefaultParagraphFont"/>
    <w:link w:val="Title"/>
    <w:rsid w:val="00297D04"/>
    <w:rPr>
      <w:rFonts w:eastAsia="Times New Roman" w:cs="Arial"/>
      <w:b/>
      <w:bCs/>
      <w:kern w:val="28"/>
      <w:szCs w:val="32"/>
    </w:rPr>
  </w:style>
</w:styles>
</file>

<file path=word/webSettings.xml><?xml version="1.0" encoding="utf-8"?>
<w:webSettings xmlns:r="http://schemas.openxmlformats.org/officeDocument/2006/relationships" xmlns:w="http://schemas.openxmlformats.org/wordprocessingml/2006/main">
  <w:divs>
    <w:div w:id="149828680">
      <w:bodyDiv w:val="1"/>
      <w:marLeft w:val="0"/>
      <w:marRight w:val="0"/>
      <w:marTop w:val="0"/>
      <w:marBottom w:val="0"/>
      <w:divBdr>
        <w:top w:val="none" w:sz="0" w:space="0" w:color="auto"/>
        <w:left w:val="none" w:sz="0" w:space="0" w:color="auto"/>
        <w:bottom w:val="none" w:sz="0" w:space="0" w:color="auto"/>
        <w:right w:val="none" w:sz="0" w:space="0" w:color="auto"/>
      </w:divBdr>
    </w:div>
    <w:div w:id="189615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se.harvard.edu/news_events/features/2011/Pathways_to_Prosperity_Feb2011.pdf" TargetMode="External"/><Relationship Id="rId5" Type="http://schemas.openxmlformats.org/officeDocument/2006/relationships/hyperlink" Target="mailto:cory.epler@nebrask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CEB6E-0C3E-4D0B-A630-7A7A3B63A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1262</Words>
  <Characters>7197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Nebraska Department of Education</Company>
  <LinksUpToDate>false</LinksUpToDate>
  <CharactersWithSpaces>8443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cepler</dc:creator>
  <cp:lastModifiedBy>cepler</cp:lastModifiedBy>
  <cp:revision>10</cp:revision>
  <dcterms:created xsi:type="dcterms:W3CDTF">2012-06-28T16:57:00Z</dcterms:created>
  <dcterms:modified xsi:type="dcterms:W3CDTF">2012-07-02T20:24:00Z</dcterms:modified>
</cp:coreProperties>
</file>