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21E" w:rsidRDefault="003D321E" w:rsidP="003D321E">
      <w:pPr>
        <w:jc w:val="center"/>
      </w:pPr>
    </w:p>
    <w:p w:rsidR="003D321E" w:rsidRDefault="003D321E" w:rsidP="003D321E">
      <w:pPr>
        <w:jc w:val="center"/>
      </w:pPr>
    </w:p>
    <w:p w:rsidR="003D321E" w:rsidRDefault="003D321E" w:rsidP="003D321E">
      <w:pPr>
        <w:jc w:val="center"/>
      </w:pPr>
    </w:p>
    <w:p w:rsidR="003D321E" w:rsidRDefault="003D321E" w:rsidP="003D321E">
      <w:pPr>
        <w:jc w:val="center"/>
      </w:pPr>
    </w:p>
    <w:p w:rsidR="003D321E" w:rsidRDefault="003D321E" w:rsidP="003D321E">
      <w:pPr>
        <w:jc w:val="center"/>
      </w:pPr>
    </w:p>
    <w:p w:rsidR="003D321E" w:rsidRDefault="003D321E" w:rsidP="003D321E">
      <w:pPr>
        <w:jc w:val="center"/>
      </w:pPr>
    </w:p>
    <w:p w:rsidR="003D321E" w:rsidRDefault="003D321E" w:rsidP="003D321E">
      <w:pPr>
        <w:jc w:val="center"/>
      </w:pPr>
    </w:p>
    <w:p w:rsidR="003D321E" w:rsidRDefault="003D321E" w:rsidP="003D321E">
      <w:pPr>
        <w:jc w:val="center"/>
      </w:pPr>
    </w:p>
    <w:p w:rsidR="003D321E" w:rsidRDefault="003D321E" w:rsidP="003D321E">
      <w:pPr>
        <w:jc w:val="center"/>
      </w:pPr>
    </w:p>
    <w:p w:rsidR="003D321E" w:rsidRDefault="003D321E" w:rsidP="003D321E">
      <w:pPr>
        <w:jc w:val="center"/>
      </w:pPr>
    </w:p>
    <w:p w:rsidR="003D321E" w:rsidRDefault="003D321E" w:rsidP="003D321E">
      <w:pPr>
        <w:jc w:val="center"/>
      </w:pPr>
    </w:p>
    <w:p w:rsidR="003D321E" w:rsidRDefault="003D321E" w:rsidP="003D321E">
      <w:pPr>
        <w:jc w:val="center"/>
      </w:pPr>
    </w:p>
    <w:p w:rsidR="003D321E" w:rsidRPr="00167C06" w:rsidRDefault="003D321E" w:rsidP="003D321E">
      <w:pPr>
        <w:jc w:val="center"/>
        <w:rPr>
          <w:b/>
        </w:rPr>
      </w:pPr>
      <w:r w:rsidRPr="00167C06">
        <w:rPr>
          <w:b/>
        </w:rPr>
        <w:t xml:space="preserve">Personal Protective Equipment in the Agricultural Educational </w:t>
      </w:r>
      <w:r w:rsidR="00E30E4F" w:rsidRPr="00167C06">
        <w:rPr>
          <w:b/>
        </w:rPr>
        <w:t>L</w:t>
      </w:r>
      <w:r w:rsidR="00E30E4F">
        <w:rPr>
          <w:b/>
        </w:rPr>
        <w:t>aboratory</w:t>
      </w:r>
    </w:p>
    <w:p w:rsidR="003D321E" w:rsidRDefault="003D321E" w:rsidP="003D321E">
      <w:pPr>
        <w:jc w:val="center"/>
      </w:pPr>
    </w:p>
    <w:p w:rsidR="003D321E" w:rsidRDefault="003D321E" w:rsidP="003D321E">
      <w:pPr>
        <w:jc w:val="center"/>
      </w:pPr>
    </w:p>
    <w:p w:rsidR="003D321E" w:rsidRDefault="003D321E" w:rsidP="003D321E">
      <w:pPr>
        <w:jc w:val="center"/>
      </w:pPr>
      <w:r>
        <w:t>Lisa Chesher &amp; Steven “Boot” Chumbley, Eastern New Mexico University</w:t>
      </w:r>
    </w:p>
    <w:p w:rsidR="003D321E" w:rsidRDefault="003D321E" w:rsidP="003D321E">
      <w:pPr>
        <w:jc w:val="center"/>
      </w:pPr>
    </w:p>
    <w:p w:rsidR="003D321E" w:rsidRDefault="003D321E" w:rsidP="00F153ED">
      <w:pPr>
        <w:spacing w:line="480" w:lineRule="auto"/>
        <w:jc w:val="center"/>
        <w:rPr>
          <w:b/>
        </w:rPr>
      </w:pPr>
      <w:r>
        <w:rPr>
          <w:b/>
        </w:rPr>
        <w:t>Mailing Address:</w:t>
      </w:r>
    </w:p>
    <w:p w:rsidR="003D321E" w:rsidRDefault="003D321E" w:rsidP="00F153ED">
      <w:pPr>
        <w:spacing w:line="480" w:lineRule="auto"/>
        <w:jc w:val="center"/>
      </w:pPr>
      <w:r>
        <w:t>1500 S. Ave K, Station 111</w:t>
      </w:r>
    </w:p>
    <w:p w:rsidR="003D321E" w:rsidRDefault="003D321E" w:rsidP="00F153ED">
      <w:pPr>
        <w:spacing w:line="480" w:lineRule="auto"/>
        <w:jc w:val="center"/>
      </w:pPr>
      <w:r>
        <w:t>Portales, NM 88130</w:t>
      </w:r>
    </w:p>
    <w:p w:rsidR="003D321E" w:rsidRDefault="003D321E" w:rsidP="00F153ED">
      <w:pPr>
        <w:spacing w:line="480" w:lineRule="auto"/>
        <w:jc w:val="center"/>
      </w:pPr>
      <w:r>
        <w:t>575-562-2517</w:t>
      </w:r>
    </w:p>
    <w:p w:rsidR="003D321E" w:rsidRDefault="003D321E" w:rsidP="00F153ED">
      <w:pPr>
        <w:spacing w:line="480" w:lineRule="auto"/>
        <w:jc w:val="center"/>
      </w:pPr>
    </w:p>
    <w:p w:rsidR="003D321E" w:rsidRDefault="003D321E" w:rsidP="00F153ED">
      <w:pPr>
        <w:spacing w:line="480" w:lineRule="auto"/>
        <w:jc w:val="center"/>
      </w:pPr>
    </w:p>
    <w:p w:rsidR="003D321E" w:rsidRDefault="003D321E" w:rsidP="00F153ED">
      <w:pPr>
        <w:spacing w:line="480" w:lineRule="auto"/>
        <w:jc w:val="center"/>
        <w:rPr>
          <w:b/>
        </w:rPr>
      </w:pPr>
      <w:r>
        <w:rPr>
          <w:b/>
        </w:rPr>
        <w:t>Email:</w:t>
      </w:r>
    </w:p>
    <w:p w:rsidR="003D321E" w:rsidRDefault="003D321E" w:rsidP="00F153ED">
      <w:pPr>
        <w:spacing w:line="480" w:lineRule="auto"/>
        <w:jc w:val="center"/>
      </w:pPr>
      <w:r w:rsidRPr="00387ED6">
        <w:t>lisa.chesher@enmu.edu</w:t>
      </w:r>
    </w:p>
    <w:p w:rsidR="003D321E" w:rsidRPr="00387ED6" w:rsidRDefault="003D321E" w:rsidP="00F153ED">
      <w:pPr>
        <w:spacing w:line="480" w:lineRule="auto"/>
        <w:jc w:val="center"/>
      </w:pPr>
      <w:r w:rsidRPr="00387ED6">
        <w:t>boot.chumbley@enmu.edu</w:t>
      </w:r>
      <w:r>
        <w:t xml:space="preserve"> </w:t>
      </w:r>
    </w:p>
    <w:p w:rsidR="003D321E" w:rsidRDefault="003D321E" w:rsidP="00F153ED">
      <w:pPr>
        <w:spacing w:line="480" w:lineRule="auto"/>
        <w:rPr>
          <w:b/>
        </w:rPr>
      </w:pPr>
    </w:p>
    <w:p w:rsidR="003D321E" w:rsidRDefault="003D321E" w:rsidP="00F153ED">
      <w:pPr>
        <w:spacing w:line="480" w:lineRule="auto"/>
        <w:rPr>
          <w:b/>
        </w:rPr>
      </w:pPr>
    </w:p>
    <w:p w:rsidR="003D321E" w:rsidRDefault="003D321E" w:rsidP="00F153ED">
      <w:pPr>
        <w:spacing w:line="480" w:lineRule="auto"/>
        <w:rPr>
          <w:b/>
        </w:rPr>
      </w:pPr>
    </w:p>
    <w:p w:rsidR="003D321E" w:rsidRDefault="003D321E">
      <w:pPr>
        <w:rPr>
          <w:b/>
        </w:rPr>
      </w:pPr>
    </w:p>
    <w:p w:rsidR="003D321E" w:rsidRDefault="003D321E">
      <w:pPr>
        <w:rPr>
          <w:b/>
        </w:rPr>
      </w:pPr>
    </w:p>
    <w:p w:rsidR="003D321E" w:rsidRDefault="003D321E">
      <w:pPr>
        <w:rPr>
          <w:b/>
        </w:rPr>
      </w:pPr>
    </w:p>
    <w:p w:rsidR="003D321E" w:rsidRDefault="003D321E">
      <w:pPr>
        <w:rPr>
          <w:b/>
        </w:rPr>
      </w:pPr>
    </w:p>
    <w:p w:rsidR="003D321E" w:rsidRDefault="003D321E">
      <w:pPr>
        <w:rPr>
          <w:b/>
        </w:rPr>
      </w:pPr>
    </w:p>
    <w:p w:rsidR="00167C06" w:rsidRPr="00167C06" w:rsidRDefault="00167C06" w:rsidP="00167C06">
      <w:pPr>
        <w:jc w:val="center"/>
        <w:rPr>
          <w:b/>
        </w:rPr>
      </w:pPr>
      <w:r w:rsidRPr="00167C06">
        <w:rPr>
          <w:b/>
        </w:rPr>
        <w:lastRenderedPageBreak/>
        <w:t>Personal Protective Equipment in the Agricultural Educational L</w:t>
      </w:r>
      <w:r w:rsidR="00E30E4F">
        <w:rPr>
          <w:b/>
        </w:rPr>
        <w:t>aboratory</w:t>
      </w:r>
    </w:p>
    <w:p w:rsidR="003D321E" w:rsidRDefault="003D321E" w:rsidP="00521027">
      <w:pPr>
        <w:jc w:val="center"/>
        <w:rPr>
          <w:b/>
        </w:rPr>
      </w:pPr>
    </w:p>
    <w:p w:rsidR="00A878B0" w:rsidRDefault="008F00DE" w:rsidP="00521027">
      <w:pPr>
        <w:jc w:val="center"/>
      </w:pPr>
      <w:r w:rsidRPr="00521027">
        <w:rPr>
          <w:b/>
        </w:rPr>
        <w:t>Introduction</w:t>
      </w:r>
      <w:r w:rsidR="00A878B0" w:rsidRPr="00A878B0">
        <w:t xml:space="preserve"> </w:t>
      </w:r>
    </w:p>
    <w:p w:rsidR="00665376" w:rsidRDefault="00665376" w:rsidP="00D541BF">
      <w:r w:rsidRPr="008F78E4">
        <w:t>The majority of agricultural mechanics instruction is done within a laboratory setting (Johnson &amp; Schumacher, 1990).</w:t>
      </w:r>
      <w:r>
        <w:t xml:space="preserve"> </w:t>
      </w:r>
      <w:r w:rsidR="00CD5B48">
        <w:t xml:space="preserve">There are many unique hazards that can arise within the </w:t>
      </w:r>
      <w:r>
        <w:t xml:space="preserve">agricultural </w:t>
      </w:r>
      <w:r w:rsidR="00A64726">
        <w:t xml:space="preserve">educational </w:t>
      </w:r>
      <w:r>
        <w:t>laboratory</w:t>
      </w:r>
      <w:r w:rsidR="00CD5B48">
        <w:t>.</w:t>
      </w:r>
      <w:r w:rsidR="003324FB">
        <w:t xml:space="preserve"> </w:t>
      </w:r>
      <w:r w:rsidR="00CD5B48">
        <w:t>These hazards are mainly attributed to</w:t>
      </w:r>
      <w:bookmarkStart w:id="0" w:name="OLE_LINK1"/>
      <w:bookmarkStart w:id="1" w:name="OLE_LINK2"/>
      <w:r w:rsidR="00CD5B48" w:rsidRPr="00CD5B48">
        <w:t xml:space="preserve"> </w:t>
      </w:r>
      <w:r w:rsidR="00CD5B48">
        <w:t>s</w:t>
      </w:r>
      <w:r w:rsidR="00CD5B48" w:rsidRPr="008F78E4">
        <w:t>tudents</w:t>
      </w:r>
      <w:r w:rsidR="00CD5B48">
        <w:t xml:space="preserve"> h</w:t>
      </w:r>
      <w:r w:rsidR="00CD5B48" w:rsidRPr="008F78E4">
        <w:t>av</w:t>
      </w:r>
      <w:r w:rsidR="00CD5B48">
        <w:t>ing</w:t>
      </w:r>
      <w:r w:rsidR="00CD5B48" w:rsidRPr="008F78E4">
        <w:t xml:space="preserve"> little experience with the tools, equipment, and situations that </w:t>
      </w:r>
      <w:r>
        <w:t>take place within an agricultural</w:t>
      </w:r>
      <w:r w:rsidR="00CD5B48" w:rsidRPr="008F78E4">
        <w:t xml:space="preserve"> </w:t>
      </w:r>
      <w:r w:rsidR="00A64726">
        <w:t xml:space="preserve">educational </w:t>
      </w:r>
      <w:r w:rsidR="00CD5B48" w:rsidRPr="008F78E4">
        <w:t>laboratory setting</w:t>
      </w:r>
      <w:bookmarkEnd w:id="0"/>
      <w:bookmarkEnd w:id="1"/>
      <w:r w:rsidR="00CD5B48" w:rsidRPr="008F78E4">
        <w:t xml:space="preserve"> (Lawv</w:t>
      </w:r>
      <w:r w:rsidR="00CD5B48">
        <w:t>er, 1992</w:t>
      </w:r>
      <w:r w:rsidR="00CD5B48" w:rsidRPr="008F78E4">
        <w:t xml:space="preserve">). </w:t>
      </w:r>
      <w:r w:rsidR="00CD5B48">
        <w:t xml:space="preserve"> </w:t>
      </w:r>
      <w:r w:rsidR="001E1DB1">
        <w:t xml:space="preserve">Fletcher and Johnson (1990) found that </w:t>
      </w:r>
      <w:r>
        <w:t xml:space="preserve">many instructors have not </w:t>
      </w:r>
      <w:r w:rsidR="001E1DB1">
        <w:t xml:space="preserve">properly </w:t>
      </w:r>
      <w:r>
        <w:t xml:space="preserve">utilized </w:t>
      </w:r>
      <w:r w:rsidR="001E1DB1">
        <w:t xml:space="preserve">the </w:t>
      </w:r>
      <w:r>
        <w:t xml:space="preserve">correct safety equipment needed to prevent hazards in the agricultural </w:t>
      </w:r>
      <w:r w:rsidR="00A64726">
        <w:t xml:space="preserve">educational </w:t>
      </w:r>
      <w:r>
        <w:t>laboratory.</w:t>
      </w:r>
    </w:p>
    <w:p w:rsidR="001E1DB1" w:rsidRDefault="001E1DB1" w:rsidP="00EC03ED">
      <w:pPr>
        <w:ind w:firstLine="720"/>
      </w:pPr>
    </w:p>
    <w:p w:rsidR="00665376" w:rsidRDefault="00665376" w:rsidP="00D541BF">
      <w:r>
        <w:t>All</w:t>
      </w:r>
      <w:r w:rsidR="00CD5B48">
        <w:t xml:space="preserve"> situations within the agricultura</w:t>
      </w:r>
      <w:r>
        <w:t>l</w:t>
      </w:r>
      <w:r w:rsidR="00CD5B48">
        <w:t xml:space="preserve"> </w:t>
      </w:r>
      <w:r w:rsidR="00AA5E2C">
        <w:t xml:space="preserve">educational </w:t>
      </w:r>
      <w:r w:rsidR="00CD5B48">
        <w:t xml:space="preserve">laboratory require some type of </w:t>
      </w:r>
      <w:r w:rsidR="00A240E8">
        <w:t>personal protective equipment (PPE)</w:t>
      </w:r>
      <w:r w:rsidR="00CD5B48">
        <w:t xml:space="preserve"> </w:t>
      </w:r>
      <w:r w:rsidR="003324FB">
        <w:t>(Herren &amp; Cooper, 2002).</w:t>
      </w:r>
      <w:r>
        <w:t xml:space="preserve"> </w:t>
      </w:r>
      <w:r w:rsidR="00967D7C">
        <w:t xml:space="preserve">The American National Standards </w:t>
      </w:r>
      <w:r w:rsidR="00AC5DAB">
        <w:t>Institute</w:t>
      </w:r>
      <w:r w:rsidR="00967D7C">
        <w:t xml:space="preserve"> (ANS</w:t>
      </w:r>
      <w:r w:rsidR="00437523">
        <w:t>I) established standards in 1979</w:t>
      </w:r>
      <w:r w:rsidR="00967D7C">
        <w:t xml:space="preserve"> for industrial quality eye protection</w:t>
      </w:r>
      <w:r w:rsidR="00437523">
        <w:t xml:space="preserve"> which have beco</w:t>
      </w:r>
      <w:r w:rsidR="00967D7C">
        <w:t>me t</w:t>
      </w:r>
      <w:r w:rsidR="00437523">
        <w:t>he standard for most state laws (</w:t>
      </w:r>
      <w:r w:rsidR="00967D7C">
        <w:t xml:space="preserve">Bekkum &amp; Hoerner, 1990). </w:t>
      </w:r>
      <w:r>
        <w:t>The objecti</w:t>
      </w:r>
      <w:r w:rsidR="00967D7C">
        <w:t>ves of this study were to identify</w:t>
      </w:r>
      <w:r>
        <w:t xml:space="preserve"> the types of safety equipment</w:t>
      </w:r>
      <w:r w:rsidR="00437523">
        <w:t xml:space="preserve"> and practices used</w:t>
      </w:r>
      <w:r>
        <w:t xml:space="preserve"> within </w:t>
      </w:r>
      <w:r w:rsidR="00437523">
        <w:t>an</w:t>
      </w:r>
      <w:r>
        <w:t xml:space="preserve"> agricultural </w:t>
      </w:r>
      <w:r w:rsidR="00A64726">
        <w:t>educational</w:t>
      </w:r>
      <w:r w:rsidR="00437523">
        <w:t xml:space="preserve"> laboratory. </w:t>
      </w:r>
      <w:r w:rsidR="00967D7C">
        <w:t xml:space="preserve">This study follows the National </w:t>
      </w:r>
      <w:r w:rsidR="008C2C14">
        <w:t>Research</w:t>
      </w:r>
      <w:r w:rsidR="00967D7C">
        <w:t xml:space="preserve"> Agenda, Priority 5: Efficient and Effective Agricultural Programs (Doerfert, 2011).</w:t>
      </w:r>
      <w:r w:rsidR="00A878B0">
        <w:t xml:space="preserve">The crucial benefit of this study is a safer laboratory learning environment for students in New Mexico agricultural science programs.  </w:t>
      </w:r>
    </w:p>
    <w:p w:rsidR="00521027" w:rsidRDefault="00521027" w:rsidP="00606D49">
      <w:pPr>
        <w:ind w:firstLine="720"/>
      </w:pPr>
    </w:p>
    <w:p w:rsidR="00883E6B" w:rsidRDefault="00077B3D" w:rsidP="00521027">
      <w:pPr>
        <w:jc w:val="center"/>
        <w:rPr>
          <w:b/>
        </w:rPr>
      </w:pPr>
      <w:r>
        <w:rPr>
          <w:b/>
        </w:rPr>
        <w:t>Conceptual</w:t>
      </w:r>
      <w:r w:rsidR="00883E6B">
        <w:rPr>
          <w:b/>
        </w:rPr>
        <w:t xml:space="preserve"> Framework</w:t>
      </w:r>
    </w:p>
    <w:p w:rsidR="000211F9" w:rsidRDefault="00FB6F77" w:rsidP="00D541BF">
      <w:r>
        <w:t xml:space="preserve">Previous research conducted by </w:t>
      </w:r>
      <w:r w:rsidR="0032265A">
        <w:t xml:space="preserve">Rosencrans and Martin (1997) </w:t>
      </w:r>
      <w:r>
        <w:t xml:space="preserve">have established the importance of </w:t>
      </w:r>
      <w:r w:rsidR="0032265A">
        <w:t>agricultural mechan</w:t>
      </w:r>
      <w:r>
        <w:t>ics as</w:t>
      </w:r>
      <w:r w:rsidR="0032265A">
        <w:t xml:space="preserve"> a critical component of New Mexico agricultural education pro</w:t>
      </w:r>
      <w:r>
        <w:t>grams.</w:t>
      </w:r>
      <w:r w:rsidR="0032265A">
        <w:t xml:space="preserve"> </w:t>
      </w:r>
      <w:r w:rsidR="004563A0">
        <w:t>Once researcher</w:t>
      </w:r>
      <w:r w:rsidR="00A32D87">
        <w:t>s</w:t>
      </w:r>
      <w:r w:rsidR="004563A0">
        <w:t xml:space="preserve"> have a clear understanding of the</w:t>
      </w:r>
      <w:r w:rsidR="00166DD7">
        <w:t xml:space="preserve"> safety equipment most often used in agricultural </w:t>
      </w:r>
      <w:r w:rsidR="00AA5E2C">
        <w:t xml:space="preserve">educational </w:t>
      </w:r>
      <w:r w:rsidR="00166DD7">
        <w:t xml:space="preserve">laboratories, </w:t>
      </w:r>
      <w:r w:rsidR="004563A0">
        <w:t xml:space="preserve">they can develop and utilize strategies to improve student learning in these areas. </w:t>
      </w:r>
      <w:r w:rsidR="00BC6183">
        <w:t xml:space="preserve"> </w:t>
      </w:r>
      <w:r w:rsidR="00077B3D">
        <w:t xml:space="preserve"> </w:t>
      </w:r>
    </w:p>
    <w:p w:rsidR="00C17082" w:rsidRPr="00077B3D" w:rsidRDefault="00C17082" w:rsidP="000211F9"/>
    <w:p w:rsidR="00883E6B" w:rsidRDefault="00883E6B" w:rsidP="00521027">
      <w:pPr>
        <w:jc w:val="center"/>
        <w:rPr>
          <w:b/>
        </w:rPr>
      </w:pPr>
      <w:r>
        <w:rPr>
          <w:b/>
        </w:rPr>
        <w:t>Methodology</w:t>
      </w:r>
    </w:p>
    <w:p w:rsidR="004B51F8" w:rsidRDefault="004B51F8" w:rsidP="00D541BF">
      <w:r>
        <w:t xml:space="preserve">This descriptive study was guided by Dillman’s Tailored Design Method </w:t>
      </w:r>
      <w:r w:rsidRPr="004B1D2D">
        <w:t>(Dillman, 2007).</w:t>
      </w:r>
      <w:r>
        <w:t xml:space="preserve">  Reliability was established through the use of a pilot test. Validity was established with a Cronbach’s alpha score of .86. The survey was a two part instrument with questions based upon </w:t>
      </w:r>
      <w:r w:rsidR="00295BE1">
        <w:t>types of safety equipment in an agricultural educational laboratory</w:t>
      </w:r>
      <w:r>
        <w:t xml:space="preserve">. Data collection procedures utilized Surverymonkey, an online survey software. Teachers’ contact information was obtained from the New Mexico state FFA database.  The researcher contacted all teachers in the state who were teaching at least one agricultural mechanics class (n=75), reviewing a response rate of 51%.  After additional contact to non-respondents, data analysis began by examining measures of central tendency. </w:t>
      </w:r>
    </w:p>
    <w:p w:rsidR="004B51F8" w:rsidRPr="00521027" w:rsidRDefault="004B51F8" w:rsidP="00521027">
      <w:pPr>
        <w:jc w:val="center"/>
        <w:rPr>
          <w:b/>
        </w:rPr>
      </w:pPr>
    </w:p>
    <w:p w:rsidR="004C2012" w:rsidRDefault="00521027" w:rsidP="004C2012">
      <w:pPr>
        <w:jc w:val="center"/>
        <w:rPr>
          <w:b/>
        </w:rPr>
      </w:pPr>
      <w:r>
        <w:rPr>
          <w:b/>
        </w:rPr>
        <w:t>Findings</w:t>
      </w:r>
    </w:p>
    <w:p w:rsidR="00A878B0" w:rsidRDefault="006625C7" w:rsidP="00D541BF">
      <w:r>
        <w:t>The first</w:t>
      </w:r>
      <w:r w:rsidR="00820CEE">
        <w:t xml:space="preserve"> objective of this study was to identify types of safety equipment within the </w:t>
      </w:r>
      <w:r>
        <w:t xml:space="preserve">agricultural </w:t>
      </w:r>
      <w:r w:rsidR="00820CEE">
        <w:t xml:space="preserve">educational laboratory. </w:t>
      </w:r>
      <w:r w:rsidR="00A878B0">
        <w:t>Fire extinguishers were the most common safety equipment item used in the laboratory (</w:t>
      </w:r>
      <w:r w:rsidR="00D56815">
        <w:t xml:space="preserve">37, </w:t>
      </w:r>
      <w:r w:rsidR="00A878B0">
        <w:t>97.4%). Laboratories having exits marked was a common safety practice (</w:t>
      </w:r>
      <w:r w:rsidR="00D56815">
        <w:t xml:space="preserve">35, </w:t>
      </w:r>
      <w:r w:rsidR="00A878B0">
        <w:t xml:space="preserve">92.1%). Less than half of respondents reported the use of marked safety zones, safety posters near power tools, and posting eye protection regulations. Other safety equipment or practices used in laboratories included safety </w:t>
      </w:r>
      <w:r w:rsidR="00A878B0">
        <w:lastRenderedPageBreak/>
        <w:t>cabinets for flammable liquids (</w:t>
      </w:r>
      <w:r w:rsidR="00D56815">
        <w:t xml:space="preserve">33, </w:t>
      </w:r>
      <w:r w:rsidR="00A878B0">
        <w:t>86.8%), fire alarms (</w:t>
      </w:r>
      <w:r w:rsidR="00D56815">
        <w:t xml:space="preserve">31, </w:t>
      </w:r>
      <w:r w:rsidR="00A878B0">
        <w:t>81.6%), and welding exhaust systems (</w:t>
      </w:r>
      <w:r w:rsidR="00D56815">
        <w:t xml:space="preserve">31, </w:t>
      </w:r>
      <w:r w:rsidR="00A878B0">
        <w:t>81.6%). Less than ¾ of laboratories employed the use of fire blankets, eye wash stations, and screens or curtains on welding booths (</w:t>
      </w:r>
      <w:r w:rsidR="00D56815">
        <w:t xml:space="preserve">28, </w:t>
      </w:r>
      <w:r w:rsidR="00C82181">
        <w:t xml:space="preserve">73.7%). Only 60.5% </w:t>
      </w:r>
      <w:r w:rsidR="00A878B0">
        <w:t>of laboratories used safety guards on all equipment.</w:t>
      </w:r>
      <w:r>
        <w:t xml:space="preserve"> The most common types of PPE are listed in </w:t>
      </w:r>
      <w:r w:rsidR="0047090C">
        <w:t>the following table.</w:t>
      </w:r>
    </w:p>
    <w:p w:rsidR="00CF1B7E" w:rsidRDefault="00CF1B7E" w:rsidP="0052102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38"/>
        <w:gridCol w:w="2466"/>
        <w:gridCol w:w="2952"/>
      </w:tblGrid>
      <w:tr w:rsidR="00820CEE" w:rsidTr="00C82181">
        <w:tc>
          <w:tcPr>
            <w:tcW w:w="8856" w:type="dxa"/>
            <w:gridSpan w:val="3"/>
            <w:tcBorders>
              <w:bottom w:val="single" w:sz="4" w:space="0" w:color="auto"/>
            </w:tcBorders>
          </w:tcPr>
          <w:p w:rsidR="00CF1B7E" w:rsidRPr="00CF1B7E" w:rsidRDefault="00A878B0" w:rsidP="006528C0">
            <w:pPr>
              <w:spacing w:after="120"/>
              <w:rPr>
                <w:i/>
              </w:rPr>
            </w:pPr>
            <w:r>
              <w:rPr>
                <w:i/>
              </w:rPr>
              <w:t>Personal Protective Equipment (PPE) Found in an Agriscience Laboratory</w:t>
            </w:r>
          </w:p>
        </w:tc>
      </w:tr>
      <w:tr w:rsidR="00820CEE" w:rsidTr="00C82181">
        <w:tc>
          <w:tcPr>
            <w:tcW w:w="3438" w:type="dxa"/>
            <w:tcBorders>
              <w:top w:val="single" w:sz="4" w:space="0" w:color="auto"/>
              <w:bottom w:val="single" w:sz="4" w:space="0" w:color="auto"/>
            </w:tcBorders>
          </w:tcPr>
          <w:p w:rsidR="00820CEE" w:rsidRPr="00CF1B7E" w:rsidRDefault="00820CEE" w:rsidP="006528C0">
            <w:pPr>
              <w:spacing w:after="120"/>
            </w:pPr>
            <w:r w:rsidRPr="00CF1B7E">
              <w:t>Safety Equipment</w:t>
            </w:r>
          </w:p>
        </w:tc>
        <w:tc>
          <w:tcPr>
            <w:tcW w:w="2466" w:type="dxa"/>
            <w:tcBorders>
              <w:top w:val="single" w:sz="4" w:space="0" w:color="auto"/>
              <w:bottom w:val="single" w:sz="4" w:space="0" w:color="auto"/>
            </w:tcBorders>
          </w:tcPr>
          <w:p w:rsidR="00820CEE" w:rsidRPr="00F5250E" w:rsidRDefault="00F5250E" w:rsidP="00B5193B">
            <w:pPr>
              <w:spacing w:after="120"/>
              <w:jc w:val="center"/>
              <w:rPr>
                <w:i/>
              </w:rPr>
            </w:pPr>
            <w:r w:rsidRPr="00F5250E">
              <w:rPr>
                <w:i/>
              </w:rPr>
              <w:t>f</w:t>
            </w:r>
          </w:p>
        </w:tc>
        <w:tc>
          <w:tcPr>
            <w:tcW w:w="2952" w:type="dxa"/>
            <w:tcBorders>
              <w:top w:val="single" w:sz="4" w:space="0" w:color="auto"/>
              <w:bottom w:val="single" w:sz="4" w:space="0" w:color="auto"/>
            </w:tcBorders>
          </w:tcPr>
          <w:p w:rsidR="00820CEE" w:rsidRPr="00F5250E" w:rsidRDefault="00820CEE" w:rsidP="00B5193B">
            <w:pPr>
              <w:spacing w:after="120"/>
              <w:jc w:val="center"/>
              <w:rPr>
                <w:i/>
              </w:rPr>
            </w:pPr>
            <w:r w:rsidRPr="00F5250E">
              <w:rPr>
                <w:i/>
              </w:rPr>
              <w:t>%</w:t>
            </w:r>
          </w:p>
        </w:tc>
      </w:tr>
      <w:tr w:rsidR="00820CEE" w:rsidTr="00C82181">
        <w:tc>
          <w:tcPr>
            <w:tcW w:w="3438" w:type="dxa"/>
            <w:tcBorders>
              <w:top w:val="single" w:sz="4" w:space="0" w:color="auto"/>
            </w:tcBorders>
          </w:tcPr>
          <w:p w:rsidR="00820CEE" w:rsidRDefault="00820CEE" w:rsidP="006528C0">
            <w:pPr>
              <w:spacing w:after="120"/>
            </w:pPr>
            <w:r>
              <w:t>Industrial Quality Eye Protection</w:t>
            </w:r>
          </w:p>
        </w:tc>
        <w:tc>
          <w:tcPr>
            <w:tcW w:w="2466" w:type="dxa"/>
            <w:tcBorders>
              <w:top w:val="single" w:sz="4" w:space="0" w:color="auto"/>
            </w:tcBorders>
          </w:tcPr>
          <w:p w:rsidR="00820CEE" w:rsidRDefault="00CF1B7E" w:rsidP="00B5193B">
            <w:pPr>
              <w:spacing w:after="120"/>
              <w:jc w:val="center"/>
            </w:pPr>
            <w:r>
              <w:t>36</w:t>
            </w:r>
          </w:p>
        </w:tc>
        <w:tc>
          <w:tcPr>
            <w:tcW w:w="2952" w:type="dxa"/>
            <w:tcBorders>
              <w:top w:val="single" w:sz="4" w:space="0" w:color="auto"/>
            </w:tcBorders>
          </w:tcPr>
          <w:p w:rsidR="00820CEE" w:rsidRDefault="00CF1B7E" w:rsidP="00B5193B">
            <w:pPr>
              <w:spacing w:after="120"/>
              <w:jc w:val="center"/>
            </w:pPr>
            <w:r>
              <w:t>94.7</w:t>
            </w:r>
          </w:p>
        </w:tc>
      </w:tr>
      <w:tr w:rsidR="008D0B4F" w:rsidTr="009E5B90">
        <w:tc>
          <w:tcPr>
            <w:tcW w:w="3438" w:type="dxa"/>
          </w:tcPr>
          <w:p w:rsidR="008D0B4F" w:rsidRDefault="008D0B4F" w:rsidP="009E5B90">
            <w:pPr>
              <w:spacing w:after="120"/>
            </w:pPr>
            <w:r>
              <w:t>Welding Gloves</w:t>
            </w:r>
          </w:p>
        </w:tc>
        <w:tc>
          <w:tcPr>
            <w:tcW w:w="2466" w:type="dxa"/>
          </w:tcPr>
          <w:p w:rsidR="008D0B4F" w:rsidRDefault="008D0B4F" w:rsidP="009E5B90">
            <w:pPr>
              <w:spacing w:after="120"/>
              <w:jc w:val="center"/>
            </w:pPr>
            <w:r>
              <w:t>36</w:t>
            </w:r>
          </w:p>
        </w:tc>
        <w:tc>
          <w:tcPr>
            <w:tcW w:w="2952" w:type="dxa"/>
          </w:tcPr>
          <w:p w:rsidR="008D0B4F" w:rsidRDefault="008D0B4F" w:rsidP="009E5B90">
            <w:pPr>
              <w:spacing w:after="120"/>
              <w:jc w:val="center"/>
            </w:pPr>
            <w:r>
              <w:t>94.7</w:t>
            </w:r>
          </w:p>
        </w:tc>
      </w:tr>
      <w:tr w:rsidR="008D0B4F" w:rsidTr="009E5B90">
        <w:tc>
          <w:tcPr>
            <w:tcW w:w="3438" w:type="dxa"/>
          </w:tcPr>
          <w:p w:rsidR="008D0B4F" w:rsidRDefault="008D0B4F" w:rsidP="009E5B90">
            <w:pPr>
              <w:spacing w:after="120"/>
            </w:pPr>
            <w:r>
              <w:t>Hearing Protection</w:t>
            </w:r>
          </w:p>
        </w:tc>
        <w:tc>
          <w:tcPr>
            <w:tcW w:w="2466" w:type="dxa"/>
          </w:tcPr>
          <w:p w:rsidR="008D0B4F" w:rsidRDefault="008D0B4F" w:rsidP="009E5B90">
            <w:pPr>
              <w:spacing w:after="120"/>
              <w:jc w:val="center"/>
            </w:pPr>
            <w:r>
              <w:t>28</w:t>
            </w:r>
          </w:p>
        </w:tc>
        <w:tc>
          <w:tcPr>
            <w:tcW w:w="2952" w:type="dxa"/>
          </w:tcPr>
          <w:p w:rsidR="008D0B4F" w:rsidRDefault="008D0B4F" w:rsidP="009E5B90">
            <w:pPr>
              <w:spacing w:after="120"/>
              <w:jc w:val="center"/>
            </w:pPr>
            <w:r>
              <w:t>73.7</w:t>
            </w:r>
          </w:p>
        </w:tc>
      </w:tr>
      <w:tr w:rsidR="006C7E81" w:rsidTr="009E5B90">
        <w:tc>
          <w:tcPr>
            <w:tcW w:w="3438" w:type="dxa"/>
          </w:tcPr>
          <w:p w:rsidR="006C7E81" w:rsidRDefault="006C7E81" w:rsidP="009E5B90">
            <w:pPr>
              <w:spacing w:after="120"/>
            </w:pPr>
            <w:r>
              <w:t>Shop Coat or Overalls</w:t>
            </w:r>
          </w:p>
        </w:tc>
        <w:tc>
          <w:tcPr>
            <w:tcW w:w="2466" w:type="dxa"/>
          </w:tcPr>
          <w:p w:rsidR="006C7E81" w:rsidRDefault="006C7E81" w:rsidP="009E5B90">
            <w:pPr>
              <w:spacing w:after="120"/>
              <w:jc w:val="center"/>
            </w:pPr>
            <w:r>
              <w:t>27</w:t>
            </w:r>
          </w:p>
        </w:tc>
        <w:tc>
          <w:tcPr>
            <w:tcW w:w="2952" w:type="dxa"/>
          </w:tcPr>
          <w:p w:rsidR="006C7E81" w:rsidRDefault="006C7E81" w:rsidP="009E5B90">
            <w:pPr>
              <w:spacing w:after="120"/>
              <w:jc w:val="center"/>
            </w:pPr>
            <w:r>
              <w:t>71.1</w:t>
            </w:r>
          </w:p>
        </w:tc>
      </w:tr>
      <w:tr w:rsidR="006C7E81" w:rsidTr="009E5B90">
        <w:tc>
          <w:tcPr>
            <w:tcW w:w="3438" w:type="dxa"/>
          </w:tcPr>
          <w:p w:rsidR="006C7E81" w:rsidRDefault="006C7E81" w:rsidP="009E5B90">
            <w:pPr>
              <w:spacing w:after="120"/>
            </w:pPr>
            <w:r>
              <w:t>Welding Apron or Jacket</w:t>
            </w:r>
          </w:p>
        </w:tc>
        <w:tc>
          <w:tcPr>
            <w:tcW w:w="2466" w:type="dxa"/>
          </w:tcPr>
          <w:p w:rsidR="006C7E81" w:rsidRDefault="006C7E81" w:rsidP="009E5B90">
            <w:pPr>
              <w:spacing w:after="120"/>
              <w:jc w:val="center"/>
            </w:pPr>
            <w:r>
              <w:t>24</w:t>
            </w:r>
          </w:p>
        </w:tc>
        <w:tc>
          <w:tcPr>
            <w:tcW w:w="2952" w:type="dxa"/>
          </w:tcPr>
          <w:p w:rsidR="006C7E81" w:rsidRDefault="006C7E81" w:rsidP="009E5B90">
            <w:pPr>
              <w:spacing w:after="120"/>
              <w:jc w:val="center"/>
            </w:pPr>
            <w:r>
              <w:t>63.2</w:t>
            </w:r>
          </w:p>
        </w:tc>
      </w:tr>
      <w:tr w:rsidR="006C7E81" w:rsidTr="00C82181">
        <w:tc>
          <w:tcPr>
            <w:tcW w:w="3438" w:type="dxa"/>
          </w:tcPr>
          <w:p w:rsidR="006C7E81" w:rsidRDefault="006C7E81" w:rsidP="009E5B90">
            <w:pPr>
              <w:spacing w:after="120"/>
            </w:pPr>
            <w:r>
              <w:t>Respirators</w:t>
            </w:r>
          </w:p>
        </w:tc>
        <w:tc>
          <w:tcPr>
            <w:tcW w:w="2466" w:type="dxa"/>
          </w:tcPr>
          <w:p w:rsidR="006C7E81" w:rsidRDefault="006C7E81" w:rsidP="009E5B90">
            <w:pPr>
              <w:spacing w:after="120"/>
              <w:jc w:val="center"/>
            </w:pPr>
            <w:r>
              <w:t>12</w:t>
            </w:r>
          </w:p>
        </w:tc>
        <w:tc>
          <w:tcPr>
            <w:tcW w:w="2952" w:type="dxa"/>
          </w:tcPr>
          <w:p w:rsidR="006C7E81" w:rsidRDefault="006C7E81" w:rsidP="009E5B90">
            <w:pPr>
              <w:spacing w:after="120"/>
              <w:jc w:val="center"/>
            </w:pPr>
            <w:r>
              <w:t>31.6</w:t>
            </w:r>
          </w:p>
        </w:tc>
      </w:tr>
      <w:tr w:rsidR="006C7E81" w:rsidTr="00C82181">
        <w:tc>
          <w:tcPr>
            <w:tcW w:w="3438" w:type="dxa"/>
          </w:tcPr>
          <w:p w:rsidR="006C7E81" w:rsidRDefault="006C7E81" w:rsidP="009E5B90">
            <w:pPr>
              <w:spacing w:after="120"/>
            </w:pPr>
            <w:r>
              <w:t>Hard Hats</w:t>
            </w:r>
          </w:p>
        </w:tc>
        <w:tc>
          <w:tcPr>
            <w:tcW w:w="2466" w:type="dxa"/>
          </w:tcPr>
          <w:p w:rsidR="006C7E81" w:rsidRDefault="006C7E81" w:rsidP="009E5B90">
            <w:pPr>
              <w:spacing w:after="120"/>
              <w:jc w:val="center"/>
            </w:pPr>
            <w:r>
              <w:t>10</w:t>
            </w:r>
          </w:p>
        </w:tc>
        <w:tc>
          <w:tcPr>
            <w:tcW w:w="2952" w:type="dxa"/>
          </w:tcPr>
          <w:p w:rsidR="006C7E81" w:rsidRDefault="006C7E81" w:rsidP="009E5B90">
            <w:pPr>
              <w:spacing w:after="120"/>
              <w:jc w:val="center"/>
            </w:pPr>
            <w:r>
              <w:t>26.3</w:t>
            </w:r>
          </w:p>
        </w:tc>
      </w:tr>
      <w:tr w:rsidR="006C7E81" w:rsidTr="00C82181">
        <w:tc>
          <w:tcPr>
            <w:tcW w:w="3438" w:type="dxa"/>
            <w:tcBorders>
              <w:bottom w:val="single" w:sz="4" w:space="0" w:color="auto"/>
            </w:tcBorders>
          </w:tcPr>
          <w:p w:rsidR="006C7E81" w:rsidRDefault="006C7E81" w:rsidP="006528C0">
            <w:pPr>
              <w:spacing w:after="120"/>
            </w:pPr>
            <w:r>
              <w:t>Steel Toed Boots</w:t>
            </w:r>
          </w:p>
        </w:tc>
        <w:tc>
          <w:tcPr>
            <w:tcW w:w="2466" w:type="dxa"/>
            <w:tcBorders>
              <w:bottom w:val="single" w:sz="4" w:space="0" w:color="auto"/>
            </w:tcBorders>
          </w:tcPr>
          <w:p w:rsidR="006C7E81" w:rsidRDefault="006C7E81" w:rsidP="00B5193B">
            <w:pPr>
              <w:spacing w:after="120"/>
              <w:jc w:val="center"/>
            </w:pPr>
            <w:r>
              <w:t>0</w:t>
            </w:r>
          </w:p>
        </w:tc>
        <w:tc>
          <w:tcPr>
            <w:tcW w:w="2952" w:type="dxa"/>
            <w:tcBorders>
              <w:bottom w:val="single" w:sz="4" w:space="0" w:color="auto"/>
            </w:tcBorders>
          </w:tcPr>
          <w:p w:rsidR="006C7E81" w:rsidRDefault="006C7E81" w:rsidP="00B5193B">
            <w:pPr>
              <w:spacing w:after="120"/>
              <w:jc w:val="center"/>
            </w:pPr>
            <w:r>
              <w:t>0</w:t>
            </w:r>
          </w:p>
        </w:tc>
      </w:tr>
    </w:tbl>
    <w:p w:rsidR="00521027" w:rsidRDefault="00820CEE" w:rsidP="00521027">
      <w:r>
        <w:t xml:space="preserve"> </w:t>
      </w:r>
    </w:p>
    <w:p w:rsidR="004532DD" w:rsidRDefault="00A878B0" w:rsidP="00D541BF">
      <w:r>
        <w:t xml:space="preserve">The second objective was to identify </w:t>
      </w:r>
      <w:r w:rsidR="00242874">
        <w:t>laboratory practices involving</w:t>
      </w:r>
      <w:r w:rsidR="005C4466">
        <w:t xml:space="preserve"> eye protection. The majority of laboratories had spectacle eye protection with side shields available for student use (</w:t>
      </w:r>
      <w:r w:rsidR="00D56815">
        <w:t xml:space="preserve">34, </w:t>
      </w:r>
      <w:r w:rsidR="005C4466">
        <w:t xml:space="preserve">89.5%). Other types of eye protection </w:t>
      </w:r>
      <w:r w:rsidR="00A24A33">
        <w:t xml:space="preserve">used in the laboratory </w:t>
      </w:r>
      <w:r w:rsidR="005C4466">
        <w:t>included goggles (</w:t>
      </w:r>
      <w:r w:rsidR="00D56815">
        <w:t xml:space="preserve">29, </w:t>
      </w:r>
      <w:r w:rsidR="005C4466">
        <w:t>76.3%), full face shields (</w:t>
      </w:r>
      <w:r w:rsidR="00D56815">
        <w:t xml:space="preserve">32, </w:t>
      </w:r>
      <w:r w:rsidR="005C4466">
        <w:t>84.2%), and spectacle eye protection without side shields (</w:t>
      </w:r>
      <w:r w:rsidR="00D56815">
        <w:t xml:space="preserve">15, </w:t>
      </w:r>
      <w:r w:rsidR="005C4466">
        <w:t>39.5%). Most programs provided eye protection at no cost to the student (</w:t>
      </w:r>
      <w:r w:rsidR="00D56815">
        <w:t xml:space="preserve">30, </w:t>
      </w:r>
      <w:r w:rsidR="005C4466">
        <w:t xml:space="preserve">78.9%). Other options </w:t>
      </w:r>
      <w:r w:rsidR="00A5379F">
        <w:t>for providing equipment</w:t>
      </w:r>
      <w:r w:rsidR="005C4466">
        <w:t xml:space="preserve"> included </w:t>
      </w:r>
      <w:r w:rsidR="00434E62">
        <w:t>having students furnish their own eye protection (5, 13.2%) and</w:t>
      </w:r>
      <w:r w:rsidR="00A5379F">
        <w:t xml:space="preserve"> furnishing</w:t>
      </w:r>
      <w:r w:rsidR="005C4466">
        <w:t xml:space="preserve"> eye protection to students for a rental fee (</w:t>
      </w:r>
      <w:r w:rsidR="00D56815">
        <w:t xml:space="preserve">3, </w:t>
      </w:r>
      <w:r w:rsidR="00434E62">
        <w:t>7.9%)</w:t>
      </w:r>
      <w:r w:rsidR="005C4466">
        <w:t xml:space="preserve">. </w:t>
      </w:r>
    </w:p>
    <w:p w:rsidR="006625C7" w:rsidRDefault="006625C7" w:rsidP="00D81D85">
      <w:pPr>
        <w:jc w:val="center"/>
        <w:rPr>
          <w:b/>
        </w:rPr>
      </w:pPr>
    </w:p>
    <w:p w:rsidR="00521027" w:rsidRDefault="00521027" w:rsidP="00D81D85">
      <w:pPr>
        <w:jc w:val="center"/>
        <w:rPr>
          <w:b/>
        </w:rPr>
      </w:pPr>
      <w:r w:rsidRPr="00521027">
        <w:rPr>
          <w:b/>
        </w:rPr>
        <w:t>Conclusions</w:t>
      </w:r>
    </w:p>
    <w:p w:rsidR="00FE0290" w:rsidRDefault="006C664C" w:rsidP="00D541BF">
      <w:pPr>
        <w:jc w:val="both"/>
      </w:pPr>
      <w:r>
        <w:t>Eye protection was found to b</w:t>
      </w:r>
      <w:r w:rsidR="00AA5E2C">
        <w:t>e</w:t>
      </w:r>
      <w:r w:rsidR="00782AA5">
        <w:t xml:space="preserve"> the most</w:t>
      </w:r>
      <w:r w:rsidR="00AA5E2C">
        <w:t xml:space="preserve"> significant </w:t>
      </w:r>
      <w:r w:rsidR="00782AA5">
        <w:t>PPE required</w:t>
      </w:r>
      <w:r>
        <w:t xml:space="preserve"> within the </w:t>
      </w:r>
      <w:r w:rsidR="00AA5E2C">
        <w:t xml:space="preserve">agricultural </w:t>
      </w:r>
      <w:r>
        <w:t>educational laboratory.</w:t>
      </w:r>
      <w:r w:rsidR="00A878B0">
        <w:t xml:space="preserve"> </w:t>
      </w:r>
      <w:r w:rsidR="00F15C98">
        <w:t>Furthermore,</w:t>
      </w:r>
      <w:r w:rsidR="00A878B0">
        <w:t xml:space="preserve"> </w:t>
      </w:r>
      <w:r w:rsidR="00BE7E2D">
        <w:t xml:space="preserve">industrial quality </w:t>
      </w:r>
      <w:r w:rsidR="004E77C2">
        <w:t>spectacles with side shields</w:t>
      </w:r>
      <w:r w:rsidR="00F15C98">
        <w:t xml:space="preserve"> were the most prevalent of these</w:t>
      </w:r>
      <w:r w:rsidR="004E77C2">
        <w:t>. Most programs</w:t>
      </w:r>
      <w:r>
        <w:t xml:space="preserve"> furnished </w:t>
      </w:r>
      <w:r w:rsidR="004E77C2">
        <w:t xml:space="preserve">these </w:t>
      </w:r>
      <w:r>
        <w:t xml:space="preserve">at no cost. </w:t>
      </w:r>
      <w:r w:rsidR="007A54E5">
        <w:t>N</w:t>
      </w:r>
      <w:r w:rsidR="00A878B0">
        <w:t>o</w:t>
      </w:r>
      <w:r w:rsidR="007A54E5">
        <w:t xml:space="preserve"> program required </w:t>
      </w:r>
      <w:r w:rsidR="002E6E14">
        <w:t>specific protective footwear</w:t>
      </w:r>
      <w:r w:rsidR="00FE0290">
        <w:t>. Welding gloves and hearing protection</w:t>
      </w:r>
      <w:r w:rsidR="00295BE1">
        <w:t xml:space="preserve"> were prominent PPE</w:t>
      </w:r>
      <w:r w:rsidR="00FE0290">
        <w:t xml:space="preserve"> items </w:t>
      </w:r>
      <w:r w:rsidR="006D2E47">
        <w:t>required for use</w:t>
      </w:r>
      <w:r w:rsidR="00FE0290">
        <w:t xml:space="preserve"> in the </w:t>
      </w:r>
      <w:r w:rsidR="00AA5E2C">
        <w:t xml:space="preserve">agricultural </w:t>
      </w:r>
      <w:r w:rsidR="00FE0290">
        <w:t>educational laboratory.</w:t>
      </w:r>
      <w:r w:rsidR="007A54E5">
        <w:t xml:space="preserve"> </w:t>
      </w:r>
      <w:r>
        <w:t>Among safety practices reported, the most common included having exits marked and</w:t>
      </w:r>
      <w:r w:rsidR="00A878B0">
        <w:t xml:space="preserve"> </w:t>
      </w:r>
      <w:r>
        <w:t>fire extinguishers on hand</w:t>
      </w:r>
      <w:r w:rsidR="004E77C2">
        <w:t>. L</w:t>
      </w:r>
      <w:r w:rsidR="00A878B0">
        <w:t>ess than half of laboratories posted eye protection regulations.</w:t>
      </w:r>
      <w:r w:rsidR="007A54E5">
        <w:t xml:space="preserve"> </w:t>
      </w:r>
    </w:p>
    <w:p w:rsidR="00472317" w:rsidRPr="006C664C" w:rsidRDefault="00472317" w:rsidP="006C664C">
      <w:pPr>
        <w:jc w:val="both"/>
      </w:pPr>
    </w:p>
    <w:p w:rsidR="00FE0290" w:rsidRDefault="00521027" w:rsidP="00FE0290">
      <w:pPr>
        <w:jc w:val="center"/>
        <w:rPr>
          <w:b/>
        </w:rPr>
      </w:pPr>
      <w:r w:rsidRPr="00521027">
        <w:rPr>
          <w:b/>
        </w:rPr>
        <w:t>Implications</w:t>
      </w:r>
    </w:p>
    <w:p w:rsidR="00606D49" w:rsidRDefault="0047090C" w:rsidP="00D541BF">
      <w:r>
        <w:t xml:space="preserve">The findings </w:t>
      </w:r>
      <w:r w:rsidR="002F2463">
        <w:t>of this study</w:t>
      </w:r>
      <w:r>
        <w:t xml:space="preserve"> sh</w:t>
      </w:r>
      <w:r w:rsidR="002F2463">
        <w:t>ould be disseminated through state teacher meetings</w:t>
      </w:r>
      <w:r>
        <w:t xml:space="preserve"> and pre-service workshops. </w:t>
      </w:r>
      <w:r w:rsidR="00B90D9A">
        <w:t>I</w:t>
      </w:r>
      <w:r w:rsidR="00FE0290">
        <w:t xml:space="preserve">dentifying the areas </w:t>
      </w:r>
      <w:r w:rsidR="00AF1F35">
        <w:t xml:space="preserve">of focus for </w:t>
      </w:r>
      <w:r w:rsidR="00FE0290">
        <w:t>New Mexico agricultural science programs concerning safety equipment and practices</w:t>
      </w:r>
      <w:r w:rsidR="0016168B">
        <w:t xml:space="preserve"> is a</w:t>
      </w:r>
      <w:r w:rsidR="00B90D9A">
        <w:t xml:space="preserve"> vitally important topic that must continue to be researched.</w:t>
      </w:r>
      <w:r w:rsidR="00FE0290">
        <w:t xml:space="preserve"> </w:t>
      </w:r>
      <w:r w:rsidR="00A878B0">
        <w:t xml:space="preserve">A question to focus on for further research is </w:t>
      </w:r>
      <w:r w:rsidR="00F11AEA">
        <w:t>the reason why</w:t>
      </w:r>
      <w:r w:rsidR="00A878B0">
        <w:t xml:space="preserve"> approximately </w:t>
      </w:r>
      <w:r>
        <w:t>one-fourth</w:t>
      </w:r>
      <w:r w:rsidR="00A878B0">
        <w:t xml:space="preserve"> of</w:t>
      </w:r>
      <w:r>
        <w:t xml:space="preserve"> the</w:t>
      </w:r>
      <w:r w:rsidR="00A878B0">
        <w:t xml:space="preserve"> programs required students to furnish th</w:t>
      </w:r>
      <w:r w:rsidR="00F11AEA">
        <w:t>eir own eye protection devices.</w:t>
      </w:r>
    </w:p>
    <w:p w:rsidR="00606D49" w:rsidRDefault="003D321E" w:rsidP="00606D49">
      <w:pPr>
        <w:ind w:firstLine="720"/>
        <w:jc w:val="center"/>
        <w:rPr>
          <w:b/>
        </w:rPr>
      </w:pPr>
      <w:r>
        <w:rPr>
          <w:b/>
        </w:rPr>
        <w:lastRenderedPageBreak/>
        <w:t>R</w:t>
      </w:r>
      <w:r w:rsidR="00606D49">
        <w:rPr>
          <w:b/>
        </w:rPr>
        <w:t>eferences</w:t>
      </w:r>
    </w:p>
    <w:p w:rsidR="00937434" w:rsidRDefault="00937434" w:rsidP="00606D49">
      <w:pPr>
        <w:ind w:firstLine="720"/>
        <w:jc w:val="center"/>
        <w:rPr>
          <w:b/>
        </w:rPr>
      </w:pPr>
    </w:p>
    <w:p w:rsidR="00937434" w:rsidRPr="00846652" w:rsidRDefault="00846652" w:rsidP="00937434">
      <w:pPr>
        <w:ind w:left="720" w:hanging="720"/>
      </w:pPr>
      <w:r>
        <w:t xml:space="preserve">Bekkum, V.A., &amp; Hoerner, T.A. </w:t>
      </w:r>
      <w:r w:rsidRPr="00846652">
        <w:t>(1990).</w:t>
      </w:r>
      <w:r>
        <w:t xml:space="preserve"> Improving instruction in safety in the laboratory setting. </w:t>
      </w:r>
      <w:r>
        <w:rPr>
          <w:i/>
        </w:rPr>
        <w:t>NACTA Journal, 34,</w:t>
      </w:r>
      <w:r>
        <w:t xml:space="preserve"> 13-18. </w:t>
      </w:r>
    </w:p>
    <w:p w:rsidR="00937434" w:rsidRDefault="00937434" w:rsidP="00937434">
      <w:pPr>
        <w:ind w:left="720" w:hanging="720"/>
      </w:pPr>
    </w:p>
    <w:p w:rsidR="00937434" w:rsidRDefault="00937434" w:rsidP="00937434">
      <w:pPr>
        <w:ind w:left="720" w:hanging="720"/>
        <w:rPr>
          <w:i/>
        </w:rPr>
      </w:pPr>
      <w:r>
        <w:t>Dillman, D.A. (2</w:t>
      </w:r>
      <w:r>
        <w:rPr>
          <w:vertAlign w:val="superscript"/>
        </w:rPr>
        <w:t>nd</w:t>
      </w:r>
      <w:r>
        <w:t xml:space="preserve"> ed.). (2007). </w:t>
      </w:r>
      <w:r>
        <w:rPr>
          <w:i/>
        </w:rPr>
        <w:t xml:space="preserve">Mail &amp; internet surveys: the tailored design method </w:t>
      </w:r>
      <w:r>
        <w:t xml:space="preserve">Location: Belmont CA: Wadsworth Publishing. </w:t>
      </w:r>
      <w:r>
        <w:rPr>
          <w:i/>
        </w:rPr>
        <w:t xml:space="preserve"> </w:t>
      </w:r>
    </w:p>
    <w:p w:rsidR="00937434" w:rsidRDefault="00937434" w:rsidP="00606D49">
      <w:pPr>
        <w:ind w:firstLine="720"/>
      </w:pPr>
    </w:p>
    <w:p w:rsidR="00937434" w:rsidRDefault="00937434" w:rsidP="00846652">
      <w:pPr>
        <w:ind w:left="720" w:hanging="720"/>
      </w:pPr>
      <w:r>
        <w:t>Doerfert, D.L. (Ed) (2011). National research agenda: American association for agricultural education’s research priority areas for 2011-2015. Lubbock, TX: Texas Tech University, Department of Agricultural Education and Communications.</w:t>
      </w:r>
    </w:p>
    <w:p w:rsidR="00937434" w:rsidRDefault="00937434" w:rsidP="00937434"/>
    <w:p w:rsidR="00606D49" w:rsidRDefault="00F30129" w:rsidP="00846652">
      <w:pPr>
        <w:ind w:left="720" w:hanging="720"/>
      </w:pPr>
      <w:r>
        <w:t>Fletcher W.E., &amp; Johnson, D.</w:t>
      </w:r>
      <w:r w:rsidR="00846652">
        <w:t xml:space="preserve">(1990). </w:t>
      </w:r>
      <w:r w:rsidR="00846652">
        <w:rPr>
          <w:i/>
        </w:rPr>
        <w:t xml:space="preserve">Safety practices and equipment used in Mississippi secondary agricultural mechanics laboratories. </w:t>
      </w:r>
      <w:r w:rsidR="00846652">
        <w:t>Paper presented at the 17</w:t>
      </w:r>
      <w:r w:rsidR="00846652" w:rsidRPr="00846652">
        <w:rPr>
          <w:vertAlign w:val="superscript"/>
        </w:rPr>
        <w:t>th</w:t>
      </w:r>
      <w:r w:rsidR="00846652">
        <w:t xml:space="preserve"> Annual National Agricultural Education Research Meeting, Cincinnati, OH. </w:t>
      </w:r>
    </w:p>
    <w:p w:rsidR="00A64726" w:rsidRDefault="00A64726" w:rsidP="00846652">
      <w:pPr>
        <w:ind w:left="720" w:hanging="720"/>
      </w:pPr>
    </w:p>
    <w:p w:rsidR="00A64726" w:rsidRPr="00C87A3F" w:rsidRDefault="00A64726" w:rsidP="00846652">
      <w:pPr>
        <w:ind w:left="720" w:hanging="720"/>
      </w:pPr>
      <w:r>
        <w:t>Herren, R.V., &amp; Cooper, E.L. (2002). Personal safety in agricultural mechanics. In Z. Lawrence, A.E. Myers, A.E. Tucker, &amp; C. Miller</w:t>
      </w:r>
      <w:r w:rsidR="00C87A3F">
        <w:t xml:space="preserve"> (Eds.), </w:t>
      </w:r>
      <w:r w:rsidR="00C87A3F">
        <w:rPr>
          <w:i/>
        </w:rPr>
        <w:t>Agricultural mechanics: fundamentals &amp; applications, 4</w:t>
      </w:r>
      <w:r w:rsidR="00C87A3F" w:rsidRPr="00C87A3F">
        <w:rPr>
          <w:i/>
          <w:vertAlign w:val="superscript"/>
        </w:rPr>
        <w:t>th</w:t>
      </w:r>
      <w:r w:rsidR="00C87A3F">
        <w:rPr>
          <w:i/>
        </w:rPr>
        <w:t xml:space="preserve"> edition </w:t>
      </w:r>
      <w:r w:rsidR="00C87A3F">
        <w:t xml:space="preserve">(pp. 35-45). Albany, NY: Delmar-Thomson Learning.  </w:t>
      </w:r>
    </w:p>
    <w:p w:rsidR="00937434" w:rsidRDefault="00937434" w:rsidP="00937434"/>
    <w:p w:rsidR="00937434" w:rsidRDefault="00937434" w:rsidP="00937434">
      <w:pPr>
        <w:ind w:left="720" w:hanging="720"/>
        <w:rPr>
          <w:noProof/>
        </w:rPr>
      </w:pPr>
      <w:r>
        <w:rPr>
          <w:noProof/>
        </w:rPr>
        <w:t>Jo</w:t>
      </w:r>
      <w:r w:rsidR="00F30129">
        <w:rPr>
          <w:noProof/>
        </w:rPr>
        <w:t>hnson, D. &amp; Schumacher, L.</w:t>
      </w:r>
      <w:r>
        <w:rPr>
          <w:noProof/>
        </w:rPr>
        <w:t xml:space="preserve">(1990). Time series analysis of agricultural education student teachers' perceptions of agricultural mechanics lab management competencies. </w:t>
      </w:r>
      <w:r>
        <w:rPr>
          <w:i/>
          <w:iCs/>
          <w:noProof/>
        </w:rPr>
        <w:t>Journal of Agricultural Education</w:t>
      </w:r>
      <w:r>
        <w:rPr>
          <w:noProof/>
        </w:rPr>
        <w:t xml:space="preserve">, </w:t>
      </w:r>
      <w:r>
        <w:rPr>
          <w:i/>
          <w:noProof/>
        </w:rPr>
        <w:t>31,</w:t>
      </w:r>
      <w:r>
        <w:rPr>
          <w:noProof/>
        </w:rPr>
        <w:t xml:space="preserve"> 35-39.</w:t>
      </w:r>
    </w:p>
    <w:p w:rsidR="00937434" w:rsidRDefault="00937434" w:rsidP="00937434"/>
    <w:p w:rsidR="00937434" w:rsidRDefault="00F30129" w:rsidP="00937434">
      <w:pPr>
        <w:ind w:left="720" w:hanging="720"/>
      </w:pPr>
      <w:r>
        <w:t>Lawver, D.</w:t>
      </w:r>
      <w:r w:rsidR="00937434">
        <w:t xml:space="preserve"> (1992). </w:t>
      </w:r>
      <w:r w:rsidR="00937434" w:rsidRPr="007C493C">
        <w:rPr>
          <w:i/>
        </w:rPr>
        <w:t>An analysis of agricultural mechanics safety practices in Texas agricultural science programs</w:t>
      </w:r>
      <w:r w:rsidR="00937434">
        <w:rPr>
          <w:i/>
        </w:rPr>
        <w:t>.</w:t>
      </w:r>
      <w:r w:rsidR="00937434">
        <w:t xml:space="preserve"> Paper presented at the 19</w:t>
      </w:r>
      <w:r w:rsidR="00937434">
        <w:rPr>
          <w:vertAlign w:val="superscript"/>
        </w:rPr>
        <w:t>th</w:t>
      </w:r>
      <w:r w:rsidR="00937434">
        <w:t xml:space="preserve"> Annual National Agricultural Education Research Meeting, St. Louis, MO.</w:t>
      </w:r>
    </w:p>
    <w:p w:rsidR="00937434" w:rsidRDefault="00937434" w:rsidP="00937434"/>
    <w:p w:rsidR="00937434" w:rsidRPr="007C493C" w:rsidRDefault="008572A0" w:rsidP="008572A0">
      <w:pPr>
        <w:ind w:left="720" w:hanging="720"/>
      </w:pPr>
      <w:r>
        <w:t>Ros</w:t>
      </w:r>
      <w:r w:rsidR="00F30129">
        <w:t>encrans, C., Jr., &amp; Martin, R.</w:t>
      </w:r>
      <w:r>
        <w:t xml:space="preserve"> (1997). </w:t>
      </w:r>
      <w:r w:rsidRPr="007C493C">
        <w:rPr>
          <w:i/>
        </w:rPr>
        <w:t>The role of agricultural mechanization in the secondary agricultural education curriculum as viewed by agricultural educators</w:t>
      </w:r>
      <w:r w:rsidRPr="00295BE1">
        <w:t>.</w:t>
      </w:r>
      <w:r>
        <w:rPr>
          <w:i/>
        </w:rPr>
        <w:t xml:space="preserve"> </w:t>
      </w:r>
      <w:r w:rsidR="007C493C">
        <w:t>Presented at</w:t>
      </w:r>
      <w:r w:rsidRPr="007C493C">
        <w:t xml:space="preserve"> the 24</w:t>
      </w:r>
      <w:r w:rsidRPr="007C493C">
        <w:rPr>
          <w:vertAlign w:val="superscript"/>
        </w:rPr>
        <w:t>th</w:t>
      </w:r>
      <w:r w:rsidRPr="007C493C">
        <w:t xml:space="preserve"> Annual National Agricultural Education Research Meeting, 253-262. </w:t>
      </w:r>
    </w:p>
    <w:p w:rsidR="00937434" w:rsidRDefault="00937434" w:rsidP="00606D49">
      <w:pPr>
        <w:ind w:firstLine="720"/>
      </w:pPr>
    </w:p>
    <w:p w:rsidR="00967D7C" w:rsidRPr="00606D49" w:rsidRDefault="00967D7C" w:rsidP="00937434"/>
    <w:p w:rsidR="00883E6B" w:rsidRPr="00FE0290" w:rsidRDefault="00883E6B">
      <w:pPr>
        <w:rPr>
          <w:b/>
        </w:rPr>
      </w:pPr>
    </w:p>
    <w:sectPr w:rsidR="00883E6B" w:rsidRPr="00FE0290" w:rsidSect="00502688">
      <w:headerReference w:type="default" r:id="rId7"/>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2EE" w:rsidRDefault="003B32EE" w:rsidP="003D321E">
      <w:r>
        <w:separator/>
      </w:r>
    </w:p>
  </w:endnote>
  <w:endnote w:type="continuationSeparator" w:id="0">
    <w:p w:rsidR="003B32EE" w:rsidRDefault="003B32EE" w:rsidP="003D32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2EE" w:rsidRDefault="003B32EE" w:rsidP="003D321E">
      <w:r>
        <w:separator/>
      </w:r>
    </w:p>
  </w:footnote>
  <w:footnote w:type="continuationSeparator" w:id="0">
    <w:p w:rsidR="003B32EE" w:rsidRDefault="003B32EE" w:rsidP="003D32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21E" w:rsidRDefault="003D321E" w:rsidP="003D321E">
    <w:pPr>
      <w:pStyle w:val="Header"/>
      <w:jc w:val="right"/>
    </w:pPr>
    <w:r>
      <w:t>Research</w:t>
    </w:r>
  </w:p>
  <w:p w:rsidR="003D321E" w:rsidRDefault="003D321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8F00DE"/>
    <w:rsid w:val="000211F9"/>
    <w:rsid w:val="00077B3D"/>
    <w:rsid w:val="00126BDE"/>
    <w:rsid w:val="00145D03"/>
    <w:rsid w:val="0016168B"/>
    <w:rsid w:val="00166DD7"/>
    <w:rsid w:val="00167C06"/>
    <w:rsid w:val="001E1DB1"/>
    <w:rsid w:val="00242874"/>
    <w:rsid w:val="00295BE1"/>
    <w:rsid w:val="002E6E14"/>
    <w:rsid w:val="002F2463"/>
    <w:rsid w:val="0032265A"/>
    <w:rsid w:val="003324FB"/>
    <w:rsid w:val="00387ED6"/>
    <w:rsid w:val="003B32EE"/>
    <w:rsid w:val="003D321E"/>
    <w:rsid w:val="004346A6"/>
    <w:rsid w:val="00434E62"/>
    <w:rsid w:val="00437523"/>
    <w:rsid w:val="004532DD"/>
    <w:rsid w:val="004563A0"/>
    <w:rsid w:val="004603B3"/>
    <w:rsid w:val="0047090C"/>
    <w:rsid w:val="00472317"/>
    <w:rsid w:val="004A5D93"/>
    <w:rsid w:val="004A64FC"/>
    <w:rsid w:val="004A7891"/>
    <w:rsid w:val="004B1D2D"/>
    <w:rsid w:val="004B51F8"/>
    <w:rsid w:val="004C2012"/>
    <w:rsid w:val="004E77C2"/>
    <w:rsid w:val="00502688"/>
    <w:rsid w:val="00521027"/>
    <w:rsid w:val="005A4994"/>
    <w:rsid w:val="005C4466"/>
    <w:rsid w:val="005F6C10"/>
    <w:rsid w:val="00605D39"/>
    <w:rsid w:val="00606D49"/>
    <w:rsid w:val="006528C0"/>
    <w:rsid w:val="006625C7"/>
    <w:rsid w:val="00665376"/>
    <w:rsid w:val="006B1A27"/>
    <w:rsid w:val="006C31AE"/>
    <w:rsid w:val="006C664C"/>
    <w:rsid w:val="006C7E81"/>
    <w:rsid w:val="006D2E47"/>
    <w:rsid w:val="007272F9"/>
    <w:rsid w:val="00782AA5"/>
    <w:rsid w:val="007A54E5"/>
    <w:rsid w:val="007C46B2"/>
    <w:rsid w:val="007C493C"/>
    <w:rsid w:val="008121F7"/>
    <w:rsid w:val="00820CEE"/>
    <w:rsid w:val="00846652"/>
    <w:rsid w:val="008572A0"/>
    <w:rsid w:val="00883E6B"/>
    <w:rsid w:val="008B7787"/>
    <w:rsid w:val="008C2C14"/>
    <w:rsid w:val="008D0B4F"/>
    <w:rsid w:val="008E59CC"/>
    <w:rsid w:val="008F00DE"/>
    <w:rsid w:val="008F78E4"/>
    <w:rsid w:val="00937434"/>
    <w:rsid w:val="00951C5D"/>
    <w:rsid w:val="00967D7C"/>
    <w:rsid w:val="0098588F"/>
    <w:rsid w:val="009E5B90"/>
    <w:rsid w:val="00A240E8"/>
    <w:rsid w:val="00A24A33"/>
    <w:rsid w:val="00A32D87"/>
    <w:rsid w:val="00A5379F"/>
    <w:rsid w:val="00A64726"/>
    <w:rsid w:val="00A878B0"/>
    <w:rsid w:val="00AA5E2C"/>
    <w:rsid w:val="00AC5DAB"/>
    <w:rsid w:val="00AF1F35"/>
    <w:rsid w:val="00B5193B"/>
    <w:rsid w:val="00B90D9A"/>
    <w:rsid w:val="00BC6183"/>
    <w:rsid w:val="00BE7E2D"/>
    <w:rsid w:val="00C016D2"/>
    <w:rsid w:val="00C17082"/>
    <w:rsid w:val="00C811D1"/>
    <w:rsid w:val="00C82181"/>
    <w:rsid w:val="00C87A3F"/>
    <w:rsid w:val="00CA577C"/>
    <w:rsid w:val="00CD10A2"/>
    <w:rsid w:val="00CD5B48"/>
    <w:rsid w:val="00CF1B7E"/>
    <w:rsid w:val="00D541BF"/>
    <w:rsid w:val="00D56815"/>
    <w:rsid w:val="00D81D85"/>
    <w:rsid w:val="00D94922"/>
    <w:rsid w:val="00E132B8"/>
    <w:rsid w:val="00E30E4F"/>
    <w:rsid w:val="00EB2724"/>
    <w:rsid w:val="00EC03ED"/>
    <w:rsid w:val="00F11AEA"/>
    <w:rsid w:val="00F153ED"/>
    <w:rsid w:val="00F15C98"/>
    <w:rsid w:val="00F30129"/>
    <w:rsid w:val="00F5250E"/>
    <w:rsid w:val="00FB6F77"/>
    <w:rsid w:val="00FE02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26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0C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rsid w:val="00126BDE"/>
    <w:rPr>
      <w:rFonts w:cs="Times New Roman"/>
      <w:sz w:val="16"/>
      <w:szCs w:val="16"/>
    </w:rPr>
  </w:style>
  <w:style w:type="paragraph" w:styleId="CommentText">
    <w:name w:val="annotation text"/>
    <w:basedOn w:val="Normal"/>
    <w:link w:val="CommentTextChar"/>
    <w:uiPriority w:val="99"/>
    <w:rsid w:val="00126BDE"/>
    <w:rPr>
      <w:sz w:val="20"/>
      <w:szCs w:val="20"/>
    </w:rPr>
  </w:style>
  <w:style w:type="character" w:customStyle="1" w:styleId="CommentTextChar">
    <w:name w:val="Comment Text Char"/>
    <w:basedOn w:val="DefaultParagraphFont"/>
    <w:link w:val="CommentText"/>
    <w:uiPriority w:val="99"/>
    <w:locked/>
    <w:rsid w:val="00126BDE"/>
    <w:rPr>
      <w:rFonts w:cs="Times New Roman"/>
    </w:rPr>
  </w:style>
  <w:style w:type="paragraph" w:styleId="CommentSubject">
    <w:name w:val="annotation subject"/>
    <w:basedOn w:val="CommentText"/>
    <w:next w:val="CommentText"/>
    <w:link w:val="CommentSubjectChar"/>
    <w:uiPriority w:val="99"/>
    <w:rsid w:val="00126BDE"/>
    <w:rPr>
      <w:b/>
      <w:bCs/>
    </w:rPr>
  </w:style>
  <w:style w:type="character" w:customStyle="1" w:styleId="CommentSubjectChar">
    <w:name w:val="Comment Subject Char"/>
    <w:basedOn w:val="CommentTextChar"/>
    <w:link w:val="CommentSubject"/>
    <w:uiPriority w:val="99"/>
    <w:locked/>
    <w:rsid w:val="00126BDE"/>
    <w:rPr>
      <w:b/>
      <w:bCs/>
    </w:rPr>
  </w:style>
  <w:style w:type="paragraph" w:styleId="BalloonText">
    <w:name w:val="Balloon Text"/>
    <w:basedOn w:val="Normal"/>
    <w:link w:val="BalloonTextChar"/>
    <w:uiPriority w:val="99"/>
    <w:rsid w:val="00126BDE"/>
    <w:rPr>
      <w:rFonts w:ascii="Tahoma" w:hAnsi="Tahoma" w:cs="Tahoma"/>
      <w:sz w:val="16"/>
      <w:szCs w:val="16"/>
    </w:rPr>
  </w:style>
  <w:style w:type="character" w:customStyle="1" w:styleId="BalloonTextChar">
    <w:name w:val="Balloon Text Char"/>
    <w:basedOn w:val="DefaultParagraphFont"/>
    <w:link w:val="BalloonText"/>
    <w:uiPriority w:val="99"/>
    <w:locked/>
    <w:rsid w:val="00126BDE"/>
    <w:rPr>
      <w:rFonts w:ascii="Tahoma" w:hAnsi="Tahoma" w:cs="Tahoma"/>
      <w:sz w:val="16"/>
      <w:szCs w:val="16"/>
    </w:rPr>
  </w:style>
  <w:style w:type="paragraph" w:styleId="Header">
    <w:name w:val="header"/>
    <w:basedOn w:val="Normal"/>
    <w:link w:val="HeaderChar"/>
    <w:uiPriority w:val="99"/>
    <w:rsid w:val="003D321E"/>
    <w:pPr>
      <w:tabs>
        <w:tab w:val="center" w:pos="4680"/>
        <w:tab w:val="right" w:pos="9360"/>
      </w:tabs>
    </w:pPr>
  </w:style>
  <w:style w:type="character" w:customStyle="1" w:styleId="HeaderChar">
    <w:name w:val="Header Char"/>
    <w:basedOn w:val="DefaultParagraphFont"/>
    <w:link w:val="Header"/>
    <w:uiPriority w:val="99"/>
    <w:locked/>
    <w:rsid w:val="003D321E"/>
    <w:rPr>
      <w:rFonts w:cs="Times New Roman"/>
      <w:sz w:val="24"/>
      <w:szCs w:val="24"/>
    </w:rPr>
  </w:style>
  <w:style w:type="paragraph" w:styleId="Footer">
    <w:name w:val="footer"/>
    <w:basedOn w:val="Normal"/>
    <w:link w:val="FooterChar"/>
    <w:uiPriority w:val="99"/>
    <w:rsid w:val="003D321E"/>
    <w:pPr>
      <w:tabs>
        <w:tab w:val="center" w:pos="4680"/>
        <w:tab w:val="right" w:pos="9360"/>
      </w:tabs>
    </w:pPr>
  </w:style>
  <w:style w:type="character" w:customStyle="1" w:styleId="FooterChar">
    <w:name w:val="Footer Char"/>
    <w:basedOn w:val="DefaultParagraphFont"/>
    <w:link w:val="Footer"/>
    <w:uiPriority w:val="99"/>
    <w:locked/>
    <w:rsid w:val="003D321E"/>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A17FA7B-AB98-4B6D-B71D-0BFB4AC24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1127</Words>
  <Characters>6426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chumblst</cp:lastModifiedBy>
  <cp:revision>2</cp:revision>
  <dcterms:created xsi:type="dcterms:W3CDTF">2012-10-10T19:09:00Z</dcterms:created>
  <dcterms:modified xsi:type="dcterms:W3CDTF">2012-10-10T19:09:00Z</dcterms:modified>
</cp:coreProperties>
</file>