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FDF9AE" w14:textId="77777777" w:rsidR="0079118D" w:rsidRPr="00D20920" w:rsidRDefault="0079118D" w:rsidP="005C636A">
      <w:pPr>
        <w:jc w:val="center"/>
        <w:rPr>
          <w:rFonts w:ascii="Garamond" w:hAnsi="Garamond" w:cs="Arial"/>
          <w:b/>
        </w:rPr>
      </w:pPr>
      <w:r w:rsidRPr="00D20920">
        <w:rPr>
          <w:rFonts w:ascii="Garamond" w:hAnsi="Garamond" w:cs="Arial"/>
          <w:b/>
        </w:rPr>
        <w:t xml:space="preserve">Revisiting Rogers’ Theory for Understanding the Diffusion of Innovations: Students’ Voices on Using Case Method to Critically Examine the Model and Their Learning Experiences </w:t>
      </w:r>
    </w:p>
    <w:p w14:paraId="1C60438F" w14:textId="77777777" w:rsidR="0079118D" w:rsidRPr="00D20920" w:rsidRDefault="0079118D" w:rsidP="0010035D">
      <w:pPr>
        <w:jc w:val="center"/>
        <w:rPr>
          <w:rFonts w:ascii="Garamond" w:hAnsi="Garamond" w:cs="Arial"/>
          <w:b/>
        </w:rPr>
      </w:pPr>
    </w:p>
    <w:p w14:paraId="340C7308" w14:textId="77777777" w:rsidR="0079118D" w:rsidRPr="00D20920" w:rsidRDefault="0079118D" w:rsidP="0010035D">
      <w:pPr>
        <w:jc w:val="center"/>
        <w:rPr>
          <w:rFonts w:ascii="Garamond" w:hAnsi="Garamond" w:cs="Arial"/>
          <w:b/>
        </w:rPr>
      </w:pPr>
    </w:p>
    <w:p w14:paraId="5CA5C894" w14:textId="77777777" w:rsidR="0079118D" w:rsidRPr="00D20920" w:rsidRDefault="0079118D" w:rsidP="00AF1515">
      <w:pPr>
        <w:jc w:val="center"/>
        <w:outlineLvl w:val="0"/>
        <w:rPr>
          <w:rFonts w:ascii="Garamond" w:hAnsi="Garamond" w:cs="Arial"/>
          <w:b/>
        </w:rPr>
      </w:pPr>
      <w:r w:rsidRPr="00D20920">
        <w:rPr>
          <w:rFonts w:ascii="Garamond" w:hAnsi="Garamond" w:cs="Arial"/>
          <w:b/>
        </w:rPr>
        <w:t>Authors</w:t>
      </w:r>
    </w:p>
    <w:p w14:paraId="5F0CCB54" w14:textId="77777777" w:rsidR="0079118D" w:rsidRPr="00D20920" w:rsidRDefault="0079118D" w:rsidP="00204EF8">
      <w:pPr>
        <w:rPr>
          <w:rFonts w:ascii="Garamond" w:hAnsi="Garamond" w:cs="Arial"/>
        </w:rPr>
      </w:pPr>
    </w:p>
    <w:p w14:paraId="08E12F22" w14:textId="77777777" w:rsidR="0079118D" w:rsidRPr="00D20920" w:rsidRDefault="0079118D" w:rsidP="00AF1515">
      <w:pPr>
        <w:jc w:val="center"/>
        <w:outlineLvl w:val="0"/>
        <w:rPr>
          <w:rFonts w:ascii="Garamond" w:hAnsi="Garamond" w:cs="Arial"/>
          <w:bCs/>
        </w:rPr>
      </w:pPr>
      <w:r>
        <w:rPr>
          <w:rFonts w:ascii="Garamond" w:hAnsi="Garamond" w:cs="Arial"/>
          <w:bCs/>
        </w:rPr>
        <w:t>M. Craig Edwards &amp;</w:t>
      </w:r>
      <w:r w:rsidRPr="005C636A">
        <w:rPr>
          <w:rFonts w:ascii="Garamond" w:hAnsi="Garamond" w:cs="Arial"/>
          <w:bCs/>
        </w:rPr>
        <w:t xml:space="preserve"> </w:t>
      </w:r>
      <w:r w:rsidRPr="00D20920">
        <w:rPr>
          <w:rFonts w:ascii="Garamond" w:hAnsi="Garamond" w:cs="Arial"/>
          <w:bCs/>
        </w:rPr>
        <w:t>J. Shane Robinson</w:t>
      </w:r>
    </w:p>
    <w:p w14:paraId="41D9E81E" w14:textId="77777777" w:rsidR="0079118D" w:rsidRPr="00D20920" w:rsidRDefault="0079118D" w:rsidP="00204EF8">
      <w:pPr>
        <w:jc w:val="center"/>
        <w:rPr>
          <w:rFonts w:ascii="Garamond" w:hAnsi="Garamond" w:cs="Arial"/>
        </w:rPr>
      </w:pPr>
      <w:r w:rsidRPr="00D20920">
        <w:rPr>
          <w:rFonts w:ascii="Garamond" w:hAnsi="Garamond" w:cs="Arial"/>
        </w:rPr>
        <w:t>Oklahoma State University</w:t>
      </w:r>
    </w:p>
    <w:p w14:paraId="5FAAACA6" w14:textId="77777777" w:rsidR="0079118D" w:rsidRPr="00D20920" w:rsidRDefault="0079118D" w:rsidP="00204EF8">
      <w:pPr>
        <w:jc w:val="center"/>
        <w:rPr>
          <w:rFonts w:ascii="Garamond" w:hAnsi="Garamond" w:cs="Arial"/>
        </w:rPr>
      </w:pPr>
      <w:r w:rsidRPr="00D20920">
        <w:rPr>
          <w:rFonts w:ascii="Garamond" w:hAnsi="Garamond" w:cs="Arial"/>
        </w:rPr>
        <w:t>451 Agricultural Hall</w:t>
      </w:r>
    </w:p>
    <w:p w14:paraId="31AE4FC5" w14:textId="77777777" w:rsidR="0079118D" w:rsidRPr="00D20920" w:rsidRDefault="0079118D" w:rsidP="00204EF8">
      <w:pPr>
        <w:jc w:val="center"/>
        <w:rPr>
          <w:rFonts w:ascii="Garamond" w:hAnsi="Garamond" w:cs="Arial"/>
        </w:rPr>
      </w:pPr>
      <w:r w:rsidRPr="00D20920">
        <w:rPr>
          <w:rFonts w:ascii="Garamond" w:hAnsi="Garamond" w:cs="Arial"/>
        </w:rPr>
        <w:t>Stillwater, Oklahoma 74078-6032</w:t>
      </w:r>
    </w:p>
    <w:p w14:paraId="07370EE3" w14:textId="77777777" w:rsidR="0079118D" w:rsidRPr="00D20920" w:rsidRDefault="0079118D" w:rsidP="00204EF8">
      <w:pPr>
        <w:jc w:val="center"/>
        <w:rPr>
          <w:rFonts w:ascii="Garamond" w:hAnsi="Garamond" w:cs="Arial"/>
        </w:rPr>
      </w:pPr>
      <w:r>
        <w:rPr>
          <w:rFonts w:ascii="Garamond" w:hAnsi="Garamond" w:cs="Arial"/>
        </w:rPr>
        <w:t>Tel. #: 405.744.8141</w:t>
      </w:r>
    </w:p>
    <w:p w14:paraId="6642D788" w14:textId="77777777" w:rsidR="0079118D" w:rsidRDefault="0079118D" w:rsidP="00204EF8">
      <w:pPr>
        <w:jc w:val="center"/>
        <w:rPr>
          <w:rFonts w:ascii="Garamond" w:hAnsi="Garamond" w:cs="Arial"/>
        </w:rPr>
      </w:pPr>
      <w:proofErr w:type="gramStart"/>
      <w:r w:rsidRPr="00D20920">
        <w:rPr>
          <w:rFonts w:ascii="Garamond" w:hAnsi="Garamond" w:cs="Arial"/>
        </w:rPr>
        <w:t>craig.edwards@okstate.edu</w:t>
      </w:r>
      <w:proofErr w:type="gramEnd"/>
    </w:p>
    <w:p w14:paraId="2D5357AC" w14:textId="77777777" w:rsidR="0079118D" w:rsidRPr="00D20920" w:rsidRDefault="0079118D" w:rsidP="00204EF8">
      <w:pPr>
        <w:jc w:val="center"/>
        <w:rPr>
          <w:rFonts w:ascii="Garamond" w:hAnsi="Garamond" w:cs="Arial"/>
        </w:rPr>
      </w:pPr>
      <w:proofErr w:type="gramStart"/>
      <w:r>
        <w:rPr>
          <w:rFonts w:ascii="Garamond" w:hAnsi="Garamond" w:cs="Arial"/>
        </w:rPr>
        <w:t>shane.robinson@okstate.edu</w:t>
      </w:r>
      <w:proofErr w:type="gramEnd"/>
    </w:p>
    <w:p w14:paraId="71571E19" w14:textId="77777777" w:rsidR="0079118D" w:rsidRPr="00D20920" w:rsidRDefault="0079118D" w:rsidP="00204EF8">
      <w:pPr>
        <w:jc w:val="center"/>
        <w:rPr>
          <w:rFonts w:ascii="Garamond" w:hAnsi="Garamond" w:cs="Arial"/>
        </w:rPr>
      </w:pPr>
    </w:p>
    <w:p w14:paraId="362AA343" w14:textId="77777777" w:rsidR="0079118D" w:rsidRPr="00D20920" w:rsidRDefault="0079118D" w:rsidP="00204EF8">
      <w:pPr>
        <w:jc w:val="center"/>
        <w:rPr>
          <w:rFonts w:ascii="Garamond" w:hAnsi="Garamond" w:cs="Arial"/>
        </w:rPr>
      </w:pPr>
    </w:p>
    <w:p w14:paraId="1CC616B0" w14:textId="77777777" w:rsidR="0079118D" w:rsidRPr="00F14E26" w:rsidRDefault="00F14E26" w:rsidP="00C135EE">
      <w:pPr>
        <w:jc w:val="center"/>
        <w:rPr>
          <w:rFonts w:ascii="Garamond" w:hAnsi="Garamond" w:cs="Arial"/>
          <w:b/>
          <w:iCs/>
        </w:rPr>
      </w:pPr>
      <w:r w:rsidRPr="00F14E26">
        <w:rPr>
          <w:rFonts w:ascii="Garamond" w:hAnsi="Garamond" w:cs="Arial"/>
          <w:b/>
          <w:iCs/>
        </w:rPr>
        <w:t>Research Poster</w:t>
      </w:r>
    </w:p>
    <w:p w14:paraId="76610D24" w14:textId="77777777" w:rsidR="0079118D" w:rsidRPr="00D20920" w:rsidRDefault="0079118D" w:rsidP="00204EF8">
      <w:pPr>
        <w:rPr>
          <w:rFonts w:ascii="Garamond" w:hAnsi="Garamond" w:cs="Arial"/>
          <w:iCs/>
        </w:rPr>
      </w:pPr>
    </w:p>
    <w:p w14:paraId="0442088E" w14:textId="77777777" w:rsidR="0079118D" w:rsidRPr="00D20920" w:rsidRDefault="0079118D" w:rsidP="00204EF8">
      <w:pPr>
        <w:rPr>
          <w:rFonts w:ascii="Garamond" w:hAnsi="Garamond" w:cs="Arial"/>
          <w:iCs/>
        </w:rPr>
      </w:pPr>
    </w:p>
    <w:p w14:paraId="744EE768" w14:textId="77777777" w:rsidR="0079118D" w:rsidRPr="00D20920" w:rsidRDefault="0079118D" w:rsidP="00204EF8">
      <w:pPr>
        <w:rPr>
          <w:rFonts w:ascii="Garamond" w:hAnsi="Garamond" w:cs="Arial"/>
          <w:iCs/>
        </w:rPr>
      </w:pPr>
    </w:p>
    <w:p w14:paraId="121066FD" w14:textId="77777777" w:rsidR="0079118D" w:rsidRPr="00D20920" w:rsidRDefault="0079118D" w:rsidP="00AF1515">
      <w:pPr>
        <w:jc w:val="center"/>
        <w:outlineLvl w:val="0"/>
        <w:rPr>
          <w:rFonts w:ascii="Garamond" w:hAnsi="Garamond" w:cs="Arial"/>
        </w:rPr>
      </w:pPr>
      <w:r w:rsidRPr="00D20920">
        <w:rPr>
          <w:rFonts w:ascii="Garamond" w:hAnsi="Garamond" w:cs="Arial"/>
          <w:b/>
          <w:bCs/>
        </w:rPr>
        <w:t>Keywords:</w:t>
      </w:r>
      <w:r w:rsidRPr="00D20920">
        <w:rPr>
          <w:rFonts w:ascii="Garamond" w:hAnsi="Garamond" w:cs="Arial"/>
        </w:rPr>
        <w:t xml:space="preserve"> action research; case method; change theory</w:t>
      </w:r>
    </w:p>
    <w:p w14:paraId="1A4BA219" w14:textId="77777777" w:rsidR="0079118D" w:rsidRPr="00D20920" w:rsidRDefault="0079118D">
      <w:pPr>
        <w:rPr>
          <w:rFonts w:ascii="Garamond" w:hAnsi="Garamond" w:cs="Arial"/>
        </w:rPr>
      </w:pPr>
    </w:p>
    <w:p w14:paraId="629656AC" w14:textId="77777777" w:rsidR="0079118D" w:rsidRPr="00D20920" w:rsidRDefault="0079118D">
      <w:pPr>
        <w:rPr>
          <w:rFonts w:ascii="Garamond" w:hAnsi="Garamond" w:cs="Arial"/>
        </w:rPr>
      </w:pPr>
    </w:p>
    <w:p w14:paraId="3C87EA2A" w14:textId="77777777" w:rsidR="0079118D" w:rsidRPr="00D20920" w:rsidRDefault="0079118D">
      <w:pPr>
        <w:rPr>
          <w:rFonts w:ascii="Garamond" w:hAnsi="Garamond" w:cs="Arial"/>
        </w:rPr>
      </w:pPr>
      <w:bookmarkStart w:id="0" w:name="_GoBack"/>
      <w:bookmarkEnd w:id="0"/>
    </w:p>
    <w:p w14:paraId="452F1364" w14:textId="77777777" w:rsidR="0079118D" w:rsidRPr="00D20920" w:rsidRDefault="0079118D">
      <w:pPr>
        <w:rPr>
          <w:rFonts w:ascii="Garamond" w:hAnsi="Garamond" w:cs="Arial"/>
        </w:rPr>
      </w:pPr>
    </w:p>
    <w:p w14:paraId="3A07BDC4" w14:textId="77777777" w:rsidR="0079118D" w:rsidRPr="00D20920" w:rsidRDefault="0079118D">
      <w:pPr>
        <w:rPr>
          <w:rFonts w:ascii="Garamond" w:hAnsi="Garamond" w:cs="Arial"/>
        </w:rPr>
      </w:pPr>
    </w:p>
    <w:p w14:paraId="5607EB42" w14:textId="77777777" w:rsidR="0079118D" w:rsidRPr="00D20920" w:rsidRDefault="0079118D">
      <w:pPr>
        <w:rPr>
          <w:rFonts w:ascii="Garamond" w:hAnsi="Garamond" w:cs="Arial"/>
        </w:rPr>
      </w:pPr>
    </w:p>
    <w:p w14:paraId="08D921C4" w14:textId="77777777" w:rsidR="0079118D" w:rsidRPr="00D20920" w:rsidRDefault="0079118D">
      <w:pPr>
        <w:rPr>
          <w:rFonts w:ascii="Garamond" w:hAnsi="Garamond" w:cs="Arial"/>
        </w:rPr>
      </w:pPr>
    </w:p>
    <w:p w14:paraId="0CF10711" w14:textId="77777777" w:rsidR="0079118D" w:rsidRPr="00D20920" w:rsidRDefault="0079118D">
      <w:pPr>
        <w:rPr>
          <w:rFonts w:ascii="Garamond" w:hAnsi="Garamond" w:cs="Arial"/>
        </w:rPr>
      </w:pPr>
    </w:p>
    <w:p w14:paraId="15A8C6C2" w14:textId="77777777" w:rsidR="0079118D" w:rsidRPr="00D20920" w:rsidRDefault="0079118D">
      <w:pPr>
        <w:rPr>
          <w:rFonts w:ascii="Garamond" w:hAnsi="Garamond" w:cs="Arial"/>
        </w:rPr>
      </w:pPr>
    </w:p>
    <w:p w14:paraId="06DDC112" w14:textId="77777777" w:rsidR="0079118D" w:rsidRPr="00D20920" w:rsidRDefault="0079118D">
      <w:pPr>
        <w:rPr>
          <w:rFonts w:ascii="Garamond" w:hAnsi="Garamond" w:cs="Arial"/>
        </w:rPr>
      </w:pPr>
    </w:p>
    <w:p w14:paraId="044472AF" w14:textId="77777777" w:rsidR="0079118D" w:rsidRPr="00D20920" w:rsidRDefault="0079118D">
      <w:pPr>
        <w:rPr>
          <w:rFonts w:ascii="Garamond" w:hAnsi="Garamond" w:cs="Arial"/>
        </w:rPr>
      </w:pPr>
    </w:p>
    <w:p w14:paraId="50F05E51" w14:textId="77777777" w:rsidR="0079118D" w:rsidRPr="00D20920" w:rsidRDefault="0079118D">
      <w:pPr>
        <w:rPr>
          <w:rFonts w:ascii="Garamond" w:hAnsi="Garamond" w:cs="Arial"/>
        </w:rPr>
      </w:pPr>
    </w:p>
    <w:p w14:paraId="305F32DA" w14:textId="77777777" w:rsidR="0079118D" w:rsidRPr="00D20920" w:rsidRDefault="0079118D">
      <w:pPr>
        <w:rPr>
          <w:rFonts w:ascii="Garamond" w:hAnsi="Garamond" w:cs="Arial"/>
        </w:rPr>
      </w:pPr>
    </w:p>
    <w:p w14:paraId="4F2E9E79" w14:textId="77777777" w:rsidR="0079118D" w:rsidRPr="00D20920" w:rsidRDefault="0079118D">
      <w:pPr>
        <w:rPr>
          <w:rFonts w:ascii="Garamond" w:hAnsi="Garamond" w:cs="Arial"/>
        </w:rPr>
      </w:pPr>
    </w:p>
    <w:p w14:paraId="4A827A86" w14:textId="77777777" w:rsidR="0079118D" w:rsidRPr="00D20920" w:rsidRDefault="0079118D">
      <w:pPr>
        <w:rPr>
          <w:rFonts w:ascii="Garamond" w:hAnsi="Garamond" w:cs="Arial"/>
        </w:rPr>
      </w:pPr>
    </w:p>
    <w:p w14:paraId="0AA3361B" w14:textId="77777777" w:rsidR="0079118D" w:rsidRPr="00D20920" w:rsidRDefault="0079118D">
      <w:pPr>
        <w:rPr>
          <w:rFonts w:ascii="Garamond" w:hAnsi="Garamond" w:cs="Arial"/>
        </w:rPr>
      </w:pPr>
    </w:p>
    <w:p w14:paraId="325F71F7" w14:textId="77777777" w:rsidR="0079118D" w:rsidRPr="00D20920" w:rsidRDefault="0079118D">
      <w:pPr>
        <w:rPr>
          <w:rFonts w:ascii="Garamond" w:hAnsi="Garamond" w:cs="Arial"/>
        </w:rPr>
      </w:pPr>
    </w:p>
    <w:p w14:paraId="12A3E780" w14:textId="77777777" w:rsidR="0079118D" w:rsidRPr="00D20920" w:rsidRDefault="0079118D">
      <w:pPr>
        <w:rPr>
          <w:rFonts w:ascii="Garamond" w:hAnsi="Garamond" w:cs="Arial"/>
        </w:rPr>
      </w:pPr>
    </w:p>
    <w:p w14:paraId="34F4DA04" w14:textId="77777777" w:rsidR="0079118D" w:rsidRPr="00D20920" w:rsidRDefault="0079118D" w:rsidP="009B0868">
      <w:pPr>
        <w:jc w:val="center"/>
        <w:rPr>
          <w:rFonts w:ascii="Garamond" w:hAnsi="Garamond" w:cs="Arial"/>
          <w:b/>
        </w:rPr>
      </w:pPr>
    </w:p>
    <w:p w14:paraId="305C8DFE" w14:textId="77777777" w:rsidR="0079118D" w:rsidRDefault="0079118D" w:rsidP="009B0868">
      <w:pPr>
        <w:jc w:val="center"/>
        <w:rPr>
          <w:rFonts w:ascii="Garamond" w:hAnsi="Garamond" w:cs="Arial"/>
          <w:b/>
        </w:rPr>
      </w:pPr>
    </w:p>
    <w:p w14:paraId="69C00823" w14:textId="77777777" w:rsidR="0079118D" w:rsidRDefault="0079118D" w:rsidP="009B0868">
      <w:pPr>
        <w:jc w:val="center"/>
        <w:rPr>
          <w:rFonts w:ascii="Garamond" w:hAnsi="Garamond" w:cs="Arial"/>
          <w:b/>
        </w:rPr>
      </w:pPr>
    </w:p>
    <w:p w14:paraId="07050FC5" w14:textId="77777777" w:rsidR="0079118D" w:rsidRDefault="0079118D" w:rsidP="009B0868">
      <w:pPr>
        <w:jc w:val="center"/>
        <w:rPr>
          <w:rFonts w:ascii="Garamond" w:hAnsi="Garamond" w:cs="Arial"/>
          <w:b/>
        </w:rPr>
      </w:pPr>
    </w:p>
    <w:p w14:paraId="683A9F01" w14:textId="77777777" w:rsidR="0079118D" w:rsidRDefault="0079118D" w:rsidP="009B0868">
      <w:pPr>
        <w:jc w:val="center"/>
        <w:rPr>
          <w:rFonts w:ascii="Garamond" w:hAnsi="Garamond" w:cs="Arial"/>
          <w:b/>
        </w:rPr>
      </w:pPr>
    </w:p>
    <w:p w14:paraId="2BF2CA2C" w14:textId="77777777" w:rsidR="0079118D" w:rsidRDefault="0079118D" w:rsidP="009B0868">
      <w:pPr>
        <w:jc w:val="center"/>
        <w:rPr>
          <w:rFonts w:ascii="Garamond" w:hAnsi="Garamond" w:cs="Arial"/>
          <w:b/>
        </w:rPr>
      </w:pPr>
    </w:p>
    <w:p w14:paraId="1C42C78A" w14:textId="77777777" w:rsidR="0079118D" w:rsidRDefault="0079118D" w:rsidP="009B0868">
      <w:pPr>
        <w:jc w:val="center"/>
        <w:rPr>
          <w:rFonts w:ascii="Garamond" w:hAnsi="Garamond" w:cs="Arial"/>
          <w:b/>
        </w:rPr>
      </w:pPr>
    </w:p>
    <w:p w14:paraId="48EDAC89" w14:textId="77777777" w:rsidR="0079118D" w:rsidRDefault="0079118D" w:rsidP="009B0868">
      <w:pPr>
        <w:jc w:val="center"/>
        <w:rPr>
          <w:rFonts w:ascii="Garamond" w:hAnsi="Garamond" w:cs="Arial"/>
          <w:b/>
        </w:rPr>
      </w:pPr>
    </w:p>
    <w:p w14:paraId="6100CE79" w14:textId="77777777" w:rsidR="0079118D" w:rsidRPr="00D20920" w:rsidRDefault="0079118D" w:rsidP="009B0868">
      <w:pPr>
        <w:jc w:val="center"/>
        <w:rPr>
          <w:rFonts w:ascii="Garamond" w:hAnsi="Garamond" w:cs="Arial"/>
          <w:b/>
        </w:rPr>
      </w:pPr>
    </w:p>
    <w:p w14:paraId="76FDD577" w14:textId="77777777" w:rsidR="0079118D" w:rsidRPr="00D20920" w:rsidRDefault="0079118D" w:rsidP="006C6D12">
      <w:pPr>
        <w:jc w:val="center"/>
        <w:rPr>
          <w:rFonts w:ascii="Garamond" w:hAnsi="Garamond" w:cs="Arial"/>
          <w:b/>
        </w:rPr>
      </w:pPr>
      <w:r w:rsidRPr="00D20920">
        <w:rPr>
          <w:rFonts w:ascii="Garamond" w:hAnsi="Garamond" w:cs="Arial"/>
          <w:b/>
        </w:rPr>
        <w:lastRenderedPageBreak/>
        <w:t xml:space="preserve">Revisiting Rogers’ Theory for Understanding the Diffusion of Innovations: Students’ Voices on Using Case Method to Critically Examine the Model and Their Learning Experiences </w:t>
      </w:r>
    </w:p>
    <w:p w14:paraId="02F32A73" w14:textId="77777777" w:rsidR="0079118D" w:rsidRPr="00A06EC1" w:rsidRDefault="0079118D" w:rsidP="00F86AB9">
      <w:pPr>
        <w:jc w:val="center"/>
        <w:rPr>
          <w:rFonts w:ascii="Garamond" w:hAnsi="Garamond" w:cs="Arial"/>
          <w:b/>
          <w:sz w:val="20"/>
          <w:szCs w:val="20"/>
        </w:rPr>
      </w:pPr>
    </w:p>
    <w:p w14:paraId="45B026C3" w14:textId="77777777" w:rsidR="0079118D" w:rsidRPr="00D20920" w:rsidRDefault="0079118D" w:rsidP="00AF1515">
      <w:pPr>
        <w:jc w:val="center"/>
        <w:outlineLvl w:val="0"/>
        <w:rPr>
          <w:rFonts w:ascii="Garamond" w:hAnsi="Garamond" w:cs="Arial"/>
          <w:b/>
        </w:rPr>
      </w:pPr>
      <w:r w:rsidRPr="00D20920">
        <w:rPr>
          <w:rFonts w:ascii="Garamond" w:hAnsi="Garamond" w:cs="Arial"/>
          <w:b/>
        </w:rPr>
        <w:t>Introduction/need for research</w:t>
      </w:r>
    </w:p>
    <w:p w14:paraId="11CBEE65" w14:textId="77777777" w:rsidR="0079118D" w:rsidRPr="00D20920" w:rsidRDefault="0079118D" w:rsidP="00F86AB9">
      <w:pPr>
        <w:rPr>
          <w:rFonts w:ascii="Garamond" w:hAnsi="Garamond" w:cs="Arial"/>
        </w:rPr>
      </w:pPr>
      <w:r w:rsidRPr="00D20920">
        <w:rPr>
          <w:rFonts w:ascii="Garamond" w:hAnsi="Garamond" w:cs="Arial"/>
        </w:rPr>
        <w:t xml:space="preserve">If the anticipated outcome of </w:t>
      </w:r>
      <w:r w:rsidRPr="00D20920">
        <w:rPr>
          <w:rFonts w:ascii="Garamond" w:hAnsi="Garamond" w:cs="Arial"/>
          <w:i/>
        </w:rPr>
        <w:t>education</w:t>
      </w:r>
      <w:r w:rsidRPr="00D20920">
        <w:rPr>
          <w:rFonts w:ascii="Garamond" w:hAnsi="Garamond" w:cs="Arial"/>
        </w:rPr>
        <w:t xml:space="preserve">, as defined most broadly, is change in human behavior supportive of or complementary to establishing, maintaining, or advancing the well-being of a society – any society – then understanding how </w:t>
      </w:r>
      <w:r w:rsidRPr="00D20920">
        <w:rPr>
          <w:rFonts w:ascii="Garamond" w:hAnsi="Garamond" w:cs="Arial"/>
          <w:i/>
        </w:rPr>
        <w:t>planned or intended change</w:t>
      </w:r>
      <w:r w:rsidRPr="00D20920">
        <w:rPr>
          <w:rFonts w:ascii="Garamond" w:hAnsi="Garamond" w:cs="Arial"/>
        </w:rPr>
        <w:t xml:space="preserve"> occurs (or does not) holds importance for all educators. Some tradition exists in agricultural and extension education (AEE) to teach aspects of change theory emphasizing diffusion and adoption of innovations and innovative practices.</w:t>
      </w:r>
      <w:r>
        <w:rPr>
          <w:rFonts w:ascii="Garamond" w:hAnsi="Garamond" w:cs="Arial"/>
        </w:rPr>
        <w:t xml:space="preserve"> To that end, a</w:t>
      </w:r>
      <w:r w:rsidRPr="00D20920">
        <w:rPr>
          <w:rFonts w:ascii="Garamond" w:hAnsi="Garamond" w:cs="Arial"/>
        </w:rPr>
        <w:t xml:space="preserve">n informal </w:t>
      </w:r>
      <w:r w:rsidR="00D077EE">
        <w:rPr>
          <w:rFonts w:ascii="Garamond" w:hAnsi="Garamond" w:cs="Arial"/>
        </w:rPr>
        <w:t>questionnaire to</w:t>
      </w:r>
      <w:r w:rsidRPr="00D20920">
        <w:rPr>
          <w:rFonts w:ascii="Garamond" w:hAnsi="Garamond" w:cs="Arial"/>
        </w:rPr>
        <w:t xml:space="preserve"> the </w:t>
      </w:r>
      <w:r w:rsidR="00D077EE" w:rsidRPr="00D20920">
        <w:rPr>
          <w:rFonts w:ascii="Garamond" w:hAnsi="Garamond" w:cs="Arial"/>
        </w:rPr>
        <w:t>subscribers</w:t>
      </w:r>
      <w:r w:rsidR="00D077EE">
        <w:rPr>
          <w:rFonts w:ascii="Garamond" w:hAnsi="Garamond" w:cs="Arial"/>
        </w:rPr>
        <w:t xml:space="preserve"> of the</w:t>
      </w:r>
      <w:r w:rsidR="00D077EE" w:rsidRPr="00D20920">
        <w:rPr>
          <w:rFonts w:ascii="Garamond" w:hAnsi="Garamond" w:cs="Arial"/>
        </w:rPr>
        <w:t xml:space="preserve"> </w:t>
      </w:r>
      <w:r w:rsidRPr="00D20920">
        <w:rPr>
          <w:rFonts w:ascii="Garamond" w:hAnsi="Garamond" w:cs="Arial"/>
        </w:rPr>
        <w:t xml:space="preserve">AAAE’s LISTSERV, although not conclusive, indicated that efforts were being made to teach change theory in AEE courses at some institutions. Everett Rogers’ (2003) text, </w:t>
      </w:r>
      <w:r w:rsidRPr="00D20920">
        <w:rPr>
          <w:rFonts w:ascii="Garamond" w:hAnsi="Garamond" w:cs="Arial"/>
          <w:i/>
        </w:rPr>
        <w:t>Diffusion of Innovations</w:t>
      </w:r>
      <w:r w:rsidRPr="00D20920">
        <w:rPr>
          <w:rFonts w:ascii="Garamond" w:hAnsi="Garamond" w:cs="Arial"/>
        </w:rPr>
        <w:t>, was cited as an essential reference by</w:t>
      </w:r>
      <w:r w:rsidRPr="00D20920">
        <w:rPr>
          <w:rFonts w:ascii="Garamond" w:hAnsi="Garamond" w:cs="Arial"/>
          <w:b/>
        </w:rPr>
        <w:t xml:space="preserve"> </w:t>
      </w:r>
      <w:r>
        <w:rPr>
          <w:rFonts w:ascii="Garamond" w:hAnsi="Garamond" w:cs="Arial"/>
        </w:rPr>
        <w:t xml:space="preserve">all </w:t>
      </w:r>
      <w:r w:rsidRPr="00D20920">
        <w:rPr>
          <w:rFonts w:ascii="Garamond" w:hAnsi="Garamond" w:cs="Arial"/>
        </w:rPr>
        <w:t xml:space="preserve">of the responders </w:t>
      </w:r>
      <w:r w:rsidRPr="00AF1515">
        <w:rPr>
          <w:rFonts w:ascii="Garamond" w:hAnsi="Garamond" w:cs="Arial"/>
        </w:rPr>
        <w:t>(9 of 9).</w:t>
      </w:r>
      <w:r w:rsidRPr="00D20920">
        <w:rPr>
          <w:rFonts w:ascii="Garamond" w:hAnsi="Garamond" w:cs="Arial"/>
          <w:b/>
        </w:rPr>
        <w:t xml:space="preserve"> </w:t>
      </w:r>
      <w:r w:rsidRPr="00D20920">
        <w:rPr>
          <w:rFonts w:ascii="Garamond" w:hAnsi="Garamond" w:cs="Arial"/>
        </w:rPr>
        <w:t>Such a course is taught for graduate credit by one of the researchers. That course relies heavily on Rogers’ (2003) posits about the adoption of innovations, human behavior, technology, and society. Reference to his work as a conceptual a</w:t>
      </w:r>
      <w:r>
        <w:rPr>
          <w:rFonts w:ascii="Garamond" w:hAnsi="Garamond" w:cs="Arial"/>
        </w:rPr>
        <w:t>nd/</w:t>
      </w:r>
      <w:r w:rsidRPr="00D20920">
        <w:rPr>
          <w:rFonts w:ascii="Garamond" w:hAnsi="Garamond" w:cs="Arial"/>
        </w:rPr>
        <w:t xml:space="preserve">or theoretical basis also appears in AEE’s published scholarship, e.g., the </w:t>
      </w:r>
      <w:r w:rsidRPr="00D20920">
        <w:rPr>
          <w:rFonts w:ascii="Garamond" w:hAnsi="Garamond" w:cs="Arial"/>
          <w:i/>
        </w:rPr>
        <w:t>Journal of Agricultural Education</w:t>
      </w:r>
      <w:r w:rsidRPr="00D20920">
        <w:rPr>
          <w:rFonts w:ascii="Garamond" w:hAnsi="Garamond" w:cs="Arial"/>
        </w:rPr>
        <w:t xml:space="preserve"> and the </w:t>
      </w:r>
      <w:r w:rsidRPr="00D20920">
        <w:rPr>
          <w:rFonts w:ascii="Garamond" w:hAnsi="Garamond" w:cs="Arial"/>
          <w:i/>
        </w:rPr>
        <w:t>Journal of Extension</w:t>
      </w:r>
      <w:r w:rsidRPr="00D20920">
        <w:rPr>
          <w:rFonts w:ascii="Garamond" w:hAnsi="Garamond" w:cs="Arial"/>
        </w:rPr>
        <w:t xml:space="preserve">. In the preface to the bibliography of his last edition, Rogers (2003) stated </w:t>
      </w:r>
      <w:r>
        <w:rPr>
          <w:rFonts w:ascii="Garamond" w:hAnsi="Garamond" w:cs="Arial"/>
        </w:rPr>
        <w:t>“</w:t>
      </w:r>
      <w:r w:rsidRPr="00D20920">
        <w:rPr>
          <w:rFonts w:ascii="Garamond" w:hAnsi="Garamond" w:cs="Arial"/>
        </w:rPr>
        <w:t xml:space="preserve">approximately 5,200+ diffusion publications [were] currently available” (p. 477); he </w:t>
      </w:r>
      <w:r>
        <w:rPr>
          <w:rFonts w:ascii="Garamond" w:hAnsi="Garamond" w:cs="Arial"/>
        </w:rPr>
        <w:t>also maintain</w:t>
      </w:r>
      <w:r w:rsidRPr="00D20920">
        <w:rPr>
          <w:rFonts w:ascii="Garamond" w:hAnsi="Garamond" w:cs="Arial"/>
        </w:rPr>
        <w:t>ed that “Nine Major Diffusion Research Traditions” (p. 44) existed. Traditions such as rural sociology, education, a</w:t>
      </w:r>
      <w:r>
        <w:rPr>
          <w:rFonts w:ascii="Garamond" w:hAnsi="Garamond" w:cs="Arial"/>
        </w:rPr>
        <w:t xml:space="preserve">nd </w:t>
      </w:r>
      <w:r w:rsidRPr="00D20920">
        <w:rPr>
          <w:rFonts w:ascii="Garamond" w:hAnsi="Garamond" w:cs="Arial"/>
        </w:rPr>
        <w:t xml:space="preserve">communication are likely to resonate with many who practice AEE.        </w:t>
      </w:r>
    </w:p>
    <w:p w14:paraId="57856438" w14:textId="77777777" w:rsidR="0079118D" w:rsidRPr="00A06EC1" w:rsidRDefault="0079118D" w:rsidP="00F86AB9">
      <w:pPr>
        <w:rPr>
          <w:rFonts w:ascii="Garamond" w:hAnsi="Garamond" w:cs="Arial"/>
          <w:b/>
          <w:sz w:val="20"/>
          <w:szCs w:val="20"/>
        </w:rPr>
      </w:pPr>
    </w:p>
    <w:p w14:paraId="336295C8" w14:textId="77777777" w:rsidR="0079118D" w:rsidRPr="00D20920" w:rsidRDefault="0079118D" w:rsidP="00F86AB9">
      <w:pPr>
        <w:rPr>
          <w:rFonts w:ascii="Garamond" w:hAnsi="Garamond" w:cs="Arial"/>
        </w:rPr>
      </w:pPr>
      <w:r w:rsidRPr="00D20920">
        <w:rPr>
          <w:rFonts w:ascii="Garamond" w:hAnsi="Garamond" w:cs="Arial"/>
        </w:rPr>
        <w:t xml:space="preserve">Rogers (2003), however, should not be viewed as </w:t>
      </w:r>
      <w:r>
        <w:rPr>
          <w:rFonts w:ascii="Garamond" w:hAnsi="Garamond" w:cs="Arial"/>
        </w:rPr>
        <w:t xml:space="preserve">“myopic” or </w:t>
      </w:r>
      <w:r w:rsidRPr="00D20920">
        <w:rPr>
          <w:rFonts w:ascii="Garamond" w:hAnsi="Garamond" w:cs="Arial"/>
        </w:rPr>
        <w:t xml:space="preserve">“conceited” regarding his model. To wit he posited, “when a scientist follows a theoretical paradigm, a set of intellectual blinders prevents him or her from seeing certain aspects of reality . . </w:t>
      </w:r>
      <w:proofErr w:type="gramStart"/>
      <w:r w:rsidRPr="00D20920">
        <w:rPr>
          <w:rFonts w:ascii="Garamond" w:hAnsi="Garamond" w:cs="Arial"/>
        </w:rPr>
        <w:t>. .</w:t>
      </w:r>
      <w:proofErr w:type="gramEnd"/>
      <w:r w:rsidRPr="00D20920">
        <w:rPr>
          <w:rFonts w:ascii="Garamond" w:hAnsi="Garamond" w:cs="Arial"/>
        </w:rPr>
        <w:t xml:space="preserve"> [</w:t>
      </w:r>
      <w:proofErr w:type="gramStart"/>
      <w:r w:rsidRPr="00D20920">
        <w:rPr>
          <w:rFonts w:ascii="Garamond" w:hAnsi="Garamond" w:cs="Arial"/>
        </w:rPr>
        <w:t>and</w:t>
      </w:r>
      <w:proofErr w:type="gramEnd"/>
      <w:r w:rsidRPr="00D20920">
        <w:rPr>
          <w:rFonts w:ascii="Garamond" w:hAnsi="Garamond" w:cs="Arial"/>
        </w:rPr>
        <w:t xml:space="preserve">] every field of science, has blind spots [or ‘trained incapacity’]. They necessarily accompany a dominant paradigm” (Rogers, 2003, p. 106). To his credit, Rogers </w:t>
      </w:r>
      <w:r>
        <w:rPr>
          <w:rFonts w:ascii="Garamond" w:hAnsi="Garamond" w:cs="Arial"/>
        </w:rPr>
        <w:t xml:space="preserve">(2003) </w:t>
      </w:r>
      <w:r w:rsidRPr="00D20920">
        <w:rPr>
          <w:rFonts w:ascii="Garamond" w:hAnsi="Garamond" w:cs="Arial"/>
        </w:rPr>
        <w:t>devoted a chapter of his book to critiquing the theory: “Contributions and Criticisms of Diffusion Resea</w:t>
      </w:r>
      <w:r>
        <w:rPr>
          <w:rFonts w:ascii="Garamond" w:hAnsi="Garamond" w:cs="Arial"/>
        </w:rPr>
        <w:t>rch” (</w:t>
      </w:r>
      <w:r w:rsidRPr="00D20920">
        <w:rPr>
          <w:rFonts w:ascii="Garamond" w:hAnsi="Garamond" w:cs="Arial"/>
        </w:rPr>
        <w:t>pp. 102 –</w:t>
      </w:r>
      <w:r>
        <w:rPr>
          <w:rFonts w:ascii="Garamond" w:hAnsi="Garamond" w:cs="Arial"/>
        </w:rPr>
        <w:t xml:space="preserve"> 135); the </w:t>
      </w:r>
      <w:r w:rsidRPr="00D20920">
        <w:rPr>
          <w:rFonts w:ascii="Garamond" w:hAnsi="Garamond" w:cs="Arial"/>
        </w:rPr>
        <w:t xml:space="preserve">criticisms included pro-innovation bias, individual-blame bias, recall problem, and issue of equality. </w:t>
      </w:r>
      <w:r>
        <w:rPr>
          <w:rFonts w:ascii="Garamond" w:hAnsi="Garamond" w:cs="Arial"/>
        </w:rPr>
        <w:t xml:space="preserve">His </w:t>
      </w:r>
      <w:r w:rsidRPr="00D20920">
        <w:rPr>
          <w:rFonts w:ascii="Garamond" w:hAnsi="Garamond" w:cs="Arial"/>
        </w:rPr>
        <w:t xml:space="preserve">admonition could be extended to teachers of change theory who rely extensively on the model. This need motivated an action research study on students’ learning experiences in the course “Methods of Technological Change” taught during a summer term of 2012 at [* University]. </w:t>
      </w:r>
    </w:p>
    <w:p w14:paraId="6818E089" w14:textId="77777777" w:rsidR="0079118D" w:rsidRPr="00A06EC1" w:rsidRDefault="0079118D" w:rsidP="00F86AB9">
      <w:pPr>
        <w:rPr>
          <w:rFonts w:ascii="Garamond" w:hAnsi="Garamond" w:cs="Arial"/>
          <w:sz w:val="20"/>
          <w:szCs w:val="20"/>
        </w:rPr>
      </w:pPr>
    </w:p>
    <w:p w14:paraId="1D6AE188" w14:textId="77777777" w:rsidR="0079118D" w:rsidRPr="00D20920" w:rsidRDefault="0079118D" w:rsidP="00AF1515">
      <w:pPr>
        <w:jc w:val="center"/>
        <w:outlineLvl w:val="0"/>
        <w:rPr>
          <w:rFonts w:ascii="Garamond" w:hAnsi="Garamond" w:cs="Arial"/>
          <w:b/>
        </w:rPr>
      </w:pPr>
      <w:r w:rsidRPr="00D20920">
        <w:rPr>
          <w:rFonts w:ascii="Garamond" w:hAnsi="Garamond" w:cs="Arial"/>
          <w:b/>
        </w:rPr>
        <w:t>Conceptual framework</w:t>
      </w:r>
    </w:p>
    <w:p w14:paraId="285AD841" w14:textId="77777777" w:rsidR="0079118D" w:rsidRPr="00D20920" w:rsidRDefault="0079118D" w:rsidP="00AA25C6">
      <w:pPr>
        <w:rPr>
          <w:rFonts w:ascii="Garamond" w:hAnsi="Garamond" w:cs="Arial"/>
        </w:rPr>
      </w:pPr>
      <w:r w:rsidRPr="00D20920">
        <w:rPr>
          <w:rFonts w:ascii="Garamond" w:hAnsi="Garamond" w:cs="Arial"/>
        </w:rPr>
        <w:t xml:space="preserve">“John Elliott defined action research as ‘the study of a social situation with a view to improving </w:t>
      </w:r>
    </w:p>
    <w:p w14:paraId="4026F1C8" w14:textId="77777777" w:rsidR="0079118D" w:rsidRPr="00D20920" w:rsidRDefault="0079118D" w:rsidP="00AA25C6">
      <w:pPr>
        <w:rPr>
          <w:rFonts w:ascii="Garamond" w:hAnsi="Garamond" w:cs="Arial"/>
        </w:rPr>
      </w:pPr>
      <w:proofErr w:type="gramStart"/>
      <w:r w:rsidRPr="00D20920">
        <w:rPr>
          <w:rFonts w:ascii="Garamond" w:hAnsi="Garamond" w:cs="Arial"/>
        </w:rPr>
        <w:t>the</w:t>
      </w:r>
      <w:proofErr w:type="gramEnd"/>
      <w:r w:rsidRPr="00D20920">
        <w:rPr>
          <w:rFonts w:ascii="Garamond" w:hAnsi="Garamond" w:cs="Arial"/>
        </w:rPr>
        <w:t xml:space="preserve"> quality of action within it’” (as cited in </w:t>
      </w:r>
      <w:proofErr w:type="spellStart"/>
      <w:r w:rsidRPr="00D20920">
        <w:rPr>
          <w:rFonts w:ascii="Garamond" w:hAnsi="Garamond" w:cs="Arial"/>
        </w:rPr>
        <w:t>McKernan</w:t>
      </w:r>
      <w:proofErr w:type="spellEnd"/>
      <w:r w:rsidRPr="00D20920">
        <w:rPr>
          <w:rFonts w:ascii="Garamond" w:hAnsi="Garamond" w:cs="Arial"/>
        </w:rPr>
        <w:t xml:space="preserve">, 1991, p. 312). The context or </w:t>
      </w:r>
      <w:r w:rsidRPr="00ED268A">
        <w:rPr>
          <w:rFonts w:ascii="Garamond" w:hAnsi="Garamond" w:cs="Arial"/>
          <w:i/>
        </w:rPr>
        <w:t>it</w:t>
      </w:r>
      <w:r w:rsidRPr="00D20920">
        <w:rPr>
          <w:rFonts w:ascii="Garamond" w:hAnsi="Garamond" w:cs="Arial"/>
        </w:rPr>
        <w:t xml:space="preserve"> for such inquiry could be a course and analysis of students’ learning experiences therein with the intent of improving the co</w:t>
      </w:r>
      <w:r>
        <w:rPr>
          <w:rFonts w:ascii="Garamond" w:hAnsi="Garamond" w:cs="Arial"/>
        </w:rPr>
        <w:t>urse</w:t>
      </w:r>
      <w:r w:rsidRPr="00D20920">
        <w:rPr>
          <w:rFonts w:ascii="Garamond" w:hAnsi="Garamond" w:cs="Arial"/>
        </w:rPr>
        <w:t xml:space="preserve">. Further, </w:t>
      </w:r>
      <w:proofErr w:type="spellStart"/>
      <w:r w:rsidRPr="00D20920">
        <w:rPr>
          <w:rFonts w:ascii="Garamond" w:hAnsi="Garamond" w:cs="Arial"/>
        </w:rPr>
        <w:t>McKeachie</w:t>
      </w:r>
      <w:proofErr w:type="spellEnd"/>
      <w:r w:rsidRPr="00D20920">
        <w:rPr>
          <w:rFonts w:ascii="Garamond" w:hAnsi="Garamond" w:cs="Arial"/>
        </w:rPr>
        <w:t xml:space="preserve"> (2002) indicated the case method, as a teaching approach, was a “problem-based method” that “contextualized learning, as contrasted with learning disassociated from meaningful contexts” (p. 198). The course relied on cases presented by Rogers (2003), instructor-provided cases intended to expand students’ understanding of the model, and required students to synthesize diffusion literature by developing two “interpretive case study papers” (Author, 2012, pp. 2-3). </w:t>
      </w:r>
      <w:r>
        <w:rPr>
          <w:rFonts w:ascii="Garamond" w:hAnsi="Garamond" w:cs="Arial"/>
        </w:rPr>
        <w:t xml:space="preserve">Students </w:t>
      </w:r>
      <w:r w:rsidRPr="00D20920">
        <w:rPr>
          <w:rFonts w:ascii="Garamond" w:hAnsi="Garamond" w:cs="Arial"/>
        </w:rPr>
        <w:t xml:space="preserve">were expected to demonstrate an understanding of the model “with special attention paid to relevant contributions and </w:t>
      </w:r>
      <w:r>
        <w:rPr>
          <w:rFonts w:ascii="Garamond" w:hAnsi="Garamond" w:cs="Arial"/>
        </w:rPr>
        <w:t>criticisms</w:t>
      </w:r>
      <w:r w:rsidRPr="00D20920">
        <w:rPr>
          <w:rFonts w:ascii="Garamond" w:hAnsi="Garamond" w:cs="Arial"/>
        </w:rPr>
        <w:t xml:space="preserve">” (Author, 2012, p. 3).  </w:t>
      </w:r>
    </w:p>
    <w:p w14:paraId="31165A07" w14:textId="77777777" w:rsidR="0079118D" w:rsidRPr="00A06EC1" w:rsidRDefault="0079118D" w:rsidP="00AA25C6">
      <w:pPr>
        <w:rPr>
          <w:rFonts w:ascii="Garamond" w:hAnsi="Garamond" w:cs="Arial"/>
          <w:sz w:val="20"/>
          <w:szCs w:val="20"/>
        </w:rPr>
      </w:pPr>
    </w:p>
    <w:p w14:paraId="41888640" w14:textId="77777777" w:rsidR="0079118D" w:rsidRPr="00D20920" w:rsidRDefault="0079118D" w:rsidP="00AF1515">
      <w:pPr>
        <w:jc w:val="center"/>
        <w:outlineLvl w:val="0"/>
        <w:rPr>
          <w:rFonts w:ascii="Garamond" w:hAnsi="Garamond" w:cs="Arial"/>
          <w:b/>
        </w:rPr>
      </w:pPr>
      <w:r w:rsidRPr="00D20920">
        <w:rPr>
          <w:rFonts w:ascii="Garamond" w:hAnsi="Garamond" w:cs="Arial"/>
          <w:b/>
        </w:rPr>
        <w:t>Methodology</w:t>
      </w:r>
    </w:p>
    <w:p w14:paraId="2D931892" w14:textId="77777777" w:rsidR="0079118D" w:rsidRPr="00D20920" w:rsidRDefault="0079118D" w:rsidP="00817FD1">
      <w:pPr>
        <w:rPr>
          <w:rFonts w:ascii="Garamond" w:hAnsi="Garamond" w:cs="Arial"/>
        </w:rPr>
      </w:pPr>
      <w:r w:rsidRPr="00D20920">
        <w:rPr>
          <w:rFonts w:ascii="Garamond" w:hAnsi="Garamond" w:cs="Arial"/>
        </w:rPr>
        <w:t>The researchers were interested in students’ views on the contemporary relevance of Rogers’ model (e.g., in understanding the adoption of social media and other emerging tools of social networking). Further, students’ views on the usefulness of the case method (</w:t>
      </w:r>
      <w:proofErr w:type="spellStart"/>
      <w:r w:rsidRPr="00D20920">
        <w:rPr>
          <w:rFonts w:ascii="Garamond" w:hAnsi="Garamond" w:cs="Arial"/>
        </w:rPr>
        <w:t>McKeachie</w:t>
      </w:r>
      <w:proofErr w:type="spellEnd"/>
      <w:r w:rsidRPr="00D20920">
        <w:rPr>
          <w:rFonts w:ascii="Garamond" w:hAnsi="Garamond" w:cs="Arial"/>
        </w:rPr>
        <w:t>, 20</w:t>
      </w:r>
      <w:r>
        <w:rPr>
          <w:rFonts w:ascii="Garamond" w:hAnsi="Garamond" w:cs="Arial"/>
        </w:rPr>
        <w:t>0</w:t>
      </w:r>
      <w:r w:rsidRPr="00D20920">
        <w:rPr>
          <w:rFonts w:ascii="Garamond" w:hAnsi="Garamond" w:cs="Arial"/>
        </w:rPr>
        <w:t xml:space="preserve">2) for learning and critiquing Rogers’ model were sought as well as other opinions they held on ways to improve the </w:t>
      </w:r>
      <w:r w:rsidRPr="00D20920">
        <w:rPr>
          <w:rFonts w:ascii="Garamond" w:hAnsi="Garamond" w:cs="Arial"/>
        </w:rPr>
        <w:lastRenderedPageBreak/>
        <w:t xml:space="preserve">course. To achieve this, a </w:t>
      </w:r>
      <w:r>
        <w:rPr>
          <w:rFonts w:ascii="Garamond" w:hAnsi="Garamond" w:cs="Arial"/>
        </w:rPr>
        <w:t xml:space="preserve">focus group interview, which included the course’s seven students, </w:t>
      </w:r>
      <w:r w:rsidRPr="00D20920">
        <w:rPr>
          <w:rFonts w:ascii="Garamond" w:hAnsi="Garamond" w:cs="Arial"/>
        </w:rPr>
        <w:t>was conducted as part of the course evaluation. Focus groups are important when “consumer feedback about services and programs is desired” (Patton, 2002, p. 388). Typically, they are conducted “at the end of a program” (p. 388) to determine participants’ perceptions of the program or intervention. Students’ evaluations, as per [* University’s] procedure and instrument for all courses, provided a measure of triangulation (Creswell, 2008)</w:t>
      </w:r>
      <w:r w:rsidR="00D077EE">
        <w:rPr>
          <w:rFonts w:ascii="Garamond" w:hAnsi="Garamond" w:cs="Arial"/>
        </w:rPr>
        <w:t>,</w:t>
      </w:r>
      <w:r w:rsidRPr="00D20920">
        <w:rPr>
          <w:rFonts w:ascii="Garamond" w:hAnsi="Garamond" w:cs="Arial"/>
        </w:rPr>
        <w:t xml:space="preserve"> as did a review of the course</w:t>
      </w:r>
      <w:r>
        <w:rPr>
          <w:rFonts w:ascii="Garamond" w:hAnsi="Garamond" w:cs="Arial"/>
        </w:rPr>
        <w:t>’s</w:t>
      </w:r>
      <w:r w:rsidRPr="00D20920">
        <w:rPr>
          <w:rFonts w:ascii="Garamond" w:hAnsi="Garamond" w:cs="Arial"/>
        </w:rPr>
        <w:t xml:space="preserve"> syllabus.   </w:t>
      </w:r>
    </w:p>
    <w:p w14:paraId="7F227246" w14:textId="77777777" w:rsidR="0079118D" w:rsidRPr="00A06EC1" w:rsidRDefault="0079118D" w:rsidP="00817FD1">
      <w:pPr>
        <w:rPr>
          <w:rFonts w:ascii="Garamond" w:hAnsi="Garamond" w:cs="Arial"/>
          <w:sz w:val="20"/>
          <w:szCs w:val="20"/>
        </w:rPr>
      </w:pPr>
    </w:p>
    <w:p w14:paraId="6786F471" w14:textId="77777777" w:rsidR="0079118D" w:rsidRPr="00D20920" w:rsidRDefault="0079118D" w:rsidP="00AF1515">
      <w:pPr>
        <w:jc w:val="center"/>
        <w:outlineLvl w:val="0"/>
        <w:rPr>
          <w:rFonts w:ascii="Garamond" w:hAnsi="Garamond" w:cs="Arial"/>
          <w:b/>
        </w:rPr>
      </w:pPr>
      <w:r w:rsidRPr="00D20920">
        <w:rPr>
          <w:rFonts w:ascii="Garamond" w:hAnsi="Garamond" w:cs="Arial"/>
          <w:b/>
        </w:rPr>
        <w:t>Results/findings</w:t>
      </w:r>
    </w:p>
    <w:p w14:paraId="3F5C8D8F" w14:textId="77777777" w:rsidR="0079118D" w:rsidRPr="00D20920" w:rsidRDefault="0079118D" w:rsidP="00FC7708">
      <w:pPr>
        <w:rPr>
          <w:rFonts w:ascii="Garamond" w:hAnsi="Garamond" w:cs="Arial"/>
        </w:rPr>
      </w:pPr>
      <w:r w:rsidRPr="00D20920">
        <w:rPr>
          <w:rFonts w:ascii="Garamond" w:hAnsi="Garamond" w:cs="Arial"/>
        </w:rPr>
        <w:t>Students were asked a series of questions pertaining to the use of cases. They expressed a number of highlights of the course</w:t>
      </w:r>
      <w:r>
        <w:rPr>
          <w:rFonts w:ascii="Garamond" w:hAnsi="Garamond" w:cs="Arial"/>
        </w:rPr>
        <w:t xml:space="preserve"> </w:t>
      </w:r>
      <w:r w:rsidRPr="00D20920">
        <w:rPr>
          <w:rFonts w:ascii="Garamond" w:hAnsi="Garamond" w:cs="Arial"/>
        </w:rPr>
        <w:t>and suggestions for improving</w:t>
      </w:r>
      <w:r>
        <w:rPr>
          <w:rFonts w:ascii="Garamond" w:hAnsi="Garamond" w:cs="Arial"/>
        </w:rPr>
        <w:t xml:space="preserve"> it</w:t>
      </w:r>
      <w:r w:rsidRPr="00D20920">
        <w:rPr>
          <w:rFonts w:ascii="Garamond" w:hAnsi="Garamond" w:cs="Arial"/>
        </w:rPr>
        <w:t xml:space="preserve">. Students agreed that the cases helped them engage in the </w:t>
      </w:r>
      <w:r>
        <w:rPr>
          <w:rFonts w:ascii="Garamond" w:hAnsi="Garamond" w:cs="Arial"/>
        </w:rPr>
        <w:t xml:space="preserve">course </w:t>
      </w:r>
      <w:r w:rsidRPr="00D20920">
        <w:rPr>
          <w:rFonts w:ascii="Garamond" w:hAnsi="Garamond" w:cs="Arial"/>
        </w:rPr>
        <w:t xml:space="preserve">material on a more personal level. In particular, students expressed that the cases brought about “an emotional connection to the material” that they would not have obtained otherwise. Their most frequent emotion was </w:t>
      </w:r>
      <w:r w:rsidRPr="00D20920">
        <w:rPr>
          <w:rFonts w:ascii="Garamond" w:hAnsi="Garamond" w:cs="Arial"/>
          <w:i/>
        </w:rPr>
        <w:t>discouragement</w:t>
      </w:r>
      <w:r w:rsidRPr="00D20920">
        <w:rPr>
          <w:rFonts w:ascii="Garamond" w:hAnsi="Garamond" w:cs="Arial"/>
        </w:rPr>
        <w:t xml:space="preserve">, </w:t>
      </w:r>
      <w:r>
        <w:rPr>
          <w:rFonts w:ascii="Garamond" w:hAnsi="Garamond" w:cs="Arial"/>
        </w:rPr>
        <w:t xml:space="preserve">however, </w:t>
      </w:r>
      <w:r w:rsidRPr="00D20920">
        <w:rPr>
          <w:rFonts w:ascii="Garamond" w:hAnsi="Garamond" w:cs="Arial"/>
        </w:rPr>
        <w:t>“especially on something [an idea] that should have been adopted but wasn’t.” One student highlighted a case dealing with people in South America who did not know the importance of boiling their water, which led to the spread of germs that resulted in numerous illnesses and deaths. The student stated the case “put it in perspective that people need educa</w:t>
      </w:r>
      <w:r>
        <w:rPr>
          <w:rFonts w:ascii="Garamond" w:hAnsi="Garamond" w:cs="Arial"/>
        </w:rPr>
        <w:t xml:space="preserve">tion.” </w:t>
      </w:r>
      <w:r w:rsidRPr="00D20920">
        <w:rPr>
          <w:rFonts w:ascii="Garamond" w:hAnsi="Garamond" w:cs="Arial"/>
        </w:rPr>
        <w:t xml:space="preserve">Students especially liked the way that the cases helped them learn the </w:t>
      </w:r>
      <w:r>
        <w:rPr>
          <w:rFonts w:ascii="Garamond" w:hAnsi="Garamond" w:cs="Arial"/>
        </w:rPr>
        <w:t xml:space="preserve">course </w:t>
      </w:r>
      <w:r w:rsidRPr="00D20920">
        <w:rPr>
          <w:rFonts w:ascii="Garamond" w:hAnsi="Garamond" w:cs="Arial"/>
        </w:rPr>
        <w:t xml:space="preserve">content. </w:t>
      </w:r>
      <w:r>
        <w:rPr>
          <w:rFonts w:ascii="Garamond" w:hAnsi="Garamond" w:cs="Arial"/>
        </w:rPr>
        <w:t>As s</w:t>
      </w:r>
      <w:r w:rsidRPr="00D20920">
        <w:rPr>
          <w:rFonts w:ascii="Garamond" w:hAnsi="Garamond" w:cs="Arial"/>
        </w:rPr>
        <w:t>aid one student, “[</w:t>
      </w:r>
      <w:proofErr w:type="gramStart"/>
      <w:r w:rsidRPr="00D20920">
        <w:rPr>
          <w:rFonts w:ascii="Garamond" w:hAnsi="Garamond" w:cs="Arial"/>
        </w:rPr>
        <w:t>t]hey</w:t>
      </w:r>
      <w:proofErr w:type="gramEnd"/>
      <w:r w:rsidRPr="00D20920">
        <w:rPr>
          <w:rFonts w:ascii="Garamond" w:hAnsi="Garamond" w:cs="Arial"/>
        </w:rPr>
        <w:t xml:space="preserve"> [cases] told a story, which is powerful.” Another added, “[</w:t>
      </w:r>
      <w:proofErr w:type="gramStart"/>
      <w:r w:rsidRPr="00D20920">
        <w:rPr>
          <w:rFonts w:ascii="Garamond" w:hAnsi="Garamond" w:cs="Arial"/>
        </w:rPr>
        <w:t>t]hey</w:t>
      </w:r>
      <w:proofErr w:type="gramEnd"/>
      <w:r w:rsidRPr="00D20920">
        <w:rPr>
          <w:rFonts w:ascii="Garamond" w:hAnsi="Garamond" w:cs="Arial"/>
        </w:rPr>
        <w:t xml:space="preserve"> </w:t>
      </w:r>
      <w:r>
        <w:rPr>
          <w:rFonts w:ascii="Garamond" w:hAnsi="Garamond" w:cs="Arial"/>
        </w:rPr>
        <w:t xml:space="preserve">[cases] </w:t>
      </w:r>
      <w:r w:rsidRPr="00D20920">
        <w:rPr>
          <w:rFonts w:ascii="Garamond" w:hAnsi="Garamond" w:cs="Arial"/>
        </w:rPr>
        <w:t>helped communicate issues clearly and effectively.” Another student stated, “</w:t>
      </w:r>
      <w:proofErr w:type="gramStart"/>
      <w:r w:rsidRPr="00D20920">
        <w:rPr>
          <w:rFonts w:ascii="Garamond" w:hAnsi="Garamond" w:cs="Arial"/>
        </w:rPr>
        <w:t>they</w:t>
      </w:r>
      <w:proofErr w:type="gramEnd"/>
      <w:r w:rsidRPr="00D20920">
        <w:rPr>
          <w:rFonts w:ascii="Garamond" w:hAnsi="Garamond" w:cs="Arial"/>
        </w:rPr>
        <w:t xml:space="preserve"> </w:t>
      </w:r>
      <w:r>
        <w:rPr>
          <w:rFonts w:ascii="Garamond" w:hAnsi="Garamond" w:cs="Arial"/>
        </w:rPr>
        <w:t xml:space="preserve">[cases] </w:t>
      </w:r>
      <w:r w:rsidRPr="00D20920">
        <w:rPr>
          <w:rFonts w:ascii="Garamond" w:hAnsi="Garamond" w:cs="Arial"/>
        </w:rPr>
        <w:t>served as mini history lessons,” and allow people to learn from the mistakes of others. A different student added, “[</w:t>
      </w:r>
      <w:proofErr w:type="gramStart"/>
      <w:r w:rsidRPr="00D20920">
        <w:rPr>
          <w:rFonts w:ascii="Garamond" w:hAnsi="Garamond" w:cs="Arial"/>
        </w:rPr>
        <w:t>t]hey</w:t>
      </w:r>
      <w:proofErr w:type="gramEnd"/>
      <w:r w:rsidRPr="00D20920">
        <w:rPr>
          <w:rFonts w:ascii="Garamond" w:hAnsi="Garamond" w:cs="Arial"/>
        </w:rPr>
        <w:t xml:space="preserve"> </w:t>
      </w:r>
      <w:r>
        <w:rPr>
          <w:rFonts w:ascii="Garamond" w:hAnsi="Garamond" w:cs="Arial"/>
        </w:rPr>
        <w:t xml:space="preserve">[cases] </w:t>
      </w:r>
      <w:r w:rsidRPr="00D20920">
        <w:rPr>
          <w:rFonts w:ascii="Garamond" w:hAnsi="Garamond" w:cs="Arial"/>
        </w:rPr>
        <w:t>have real applicability in other parts of the world.”</w:t>
      </w:r>
    </w:p>
    <w:p w14:paraId="5CAF801D" w14:textId="77777777" w:rsidR="0079118D" w:rsidRPr="00A06EC1" w:rsidRDefault="0079118D" w:rsidP="00FC7708">
      <w:pPr>
        <w:rPr>
          <w:rFonts w:ascii="Garamond" w:hAnsi="Garamond" w:cs="Arial"/>
          <w:sz w:val="20"/>
          <w:szCs w:val="20"/>
        </w:rPr>
      </w:pPr>
    </w:p>
    <w:p w14:paraId="53D2B838" w14:textId="77777777" w:rsidR="0079118D" w:rsidRPr="00D20920" w:rsidRDefault="0079118D" w:rsidP="00AA25C6">
      <w:pPr>
        <w:rPr>
          <w:rFonts w:ascii="Garamond" w:hAnsi="Garamond" w:cs="Arial"/>
        </w:rPr>
      </w:pPr>
      <w:r>
        <w:rPr>
          <w:rFonts w:ascii="Garamond" w:hAnsi="Garamond" w:cs="Arial"/>
        </w:rPr>
        <w:t xml:space="preserve">Per </w:t>
      </w:r>
      <w:r w:rsidRPr="00D20920">
        <w:rPr>
          <w:rFonts w:ascii="Garamond" w:hAnsi="Garamond" w:cs="Arial"/>
        </w:rPr>
        <w:t>suggestions, students pointed to the need to update some of the cases to more current times and issues. A student said that, “</w:t>
      </w:r>
      <w:proofErr w:type="gramStart"/>
      <w:r w:rsidRPr="00D20920">
        <w:rPr>
          <w:rFonts w:ascii="Garamond" w:hAnsi="Garamond" w:cs="Arial"/>
        </w:rPr>
        <w:t>although</w:t>
      </w:r>
      <w:proofErr w:type="gramEnd"/>
      <w:r w:rsidRPr="00D20920">
        <w:rPr>
          <w:rFonts w:ascii="Garamond" w:hAnsi="Garamond" w:cs="Arial"/>
        </w:rPr>
        <w:t xml:space="preserve"> the global perspective is important, my interest is here in [State].” As such, cases are needed that resonate with students’ interests and needs. Another student agreed by stating, “I don’t feel as though I have as many tools to apply the content domestically.” Another student added, “[</w:t>
      </w:r>
      <w:proofErr w:type="gramStart"/>
      <w:r w:rsidRPr="00D20920">
        <w:rPr>
          <w:rFonts w:ascii="Garamond" w:hAnsi="Garamond" w:cs="Arial"/>
        </w:rPr>
        <w:t>c]</w:t>
      </w:r>
      <w:proofErr w:type="spellStart"/>
      <w:r w:rsidRPr="00D20920">
        <w:rPr>
          <w:rFonts w:ascii="Garamond" w:hAnsi="Garamond" w:cs="Arial"/>
        </w:rPr>
        <w:t>hange</w:t>
      </w:r>
      <w:proofErr w:type="spellEnd"/>
      <w:proofErr w:type="gramEnd"/>
      <w:r w:rsidRPr="00D20920">
        <w:rPr>
          <w:rFonts w:ascii="Garamond" w:hAnsi="Garamond" w:cs="Arial"/>
        </w:rPr>
        <w:t xml:space="preserve"> [per Rogers’ cases] was applied to developing countries where change is very basic. How does change occur here where things are much more advanced?” The students’ summated, evaluation ratings overall were </w:t>
      </w:r>
      <w:r w:rsidRPr="00D20920">
        <w:rPr>
          <w:rFonts w:ascii="Garamond" w:hAnsi="Garamond" w:cs="Arial"/>
          <w:i/>
        </w:rPr>
        <w:t>M</w:t>
      </w:r>
      <w:r w:rsidRPr="00D20920">
        <w:rPr>
          <w:rFonts w:ascii="Garamond" w:hAnsi="Garamond" w:cs="Arial"/>
        </w:rPr>
        <w:t xml:space="preserve"> = 3.86 (</w:t>
      </w:r>
      <w:r w:rsidRPr="00D20920">
        <w:rPr>
          <w:rFonts w:ascii="Garamond" w:hAnsi="Garamond" w:cs="Arial"/>
          <w:i/>
        </w:rPr>
        <w:t>SD</w:t>
      </w:r>
      <w:r w:rsidRPr="00D20920">
        <w:rPr>
          <w:rFonts w:ascii="Garamond" w:hAnsi="Garamond" w:cs="Arial"/>
        </w:rPr>
        <w:t xml:space="preserve"> = .38) for the instructor, and </w:t>
      </w:r>
      <w:r w:rsidRPr="00D20920">
        <w:rPr>
          <w:rFonts w:ascii="Garamond" w:hAnsi="Garamond" w:cs="Arial"/>
          <w:i/>
        </w:rPr>
        <w:t>M</w:t>
      </w:r>
      <w:r w:rsidRPr="00D20920">
        <w:rPr>
          <w:rFonts w:ascii="Garamond" w:hAnsi="Garamond" w:cs="Arial"/>
        </w:rPr>
        <w:t xml:space="preserve"> = 3.71 (</w:t>
      </w:r>
      <w:r w:rsidRPr="00D20920">
        <w:rPr>
          <w:rFonts w:ascii="Garamond" w:hAnsi="Garamond" w:cs="Arial"/>
          <w:i/>
        </w:rPr>
        <w:t>SD</w:t>
      </w:r>
      <w:r w:rsidRPr="00D20920">
        <w:rPr>
          <w:rFonts w:ascii="Garamond" w:hAnsi="Garamond" w:cs="Arial"/>
        </w:rPr>
        <w:t xml:space="preserve"> = .49) for the course. (</w:t>
      </w:r>
      <w:r>
        <w:rPr>
          <w:rFonts w:ascii="Garamond" w:hAnsi="Garamond" w:cs="Arial"/>
        </w:rPr>
        <w:t xml:space="preserve">Scale: </w:t>
      </w:r>
      <w:r w:rsidRPr="00D20920">
        <w:rPr>
          <w:rFonts w:ascii="Garamond" w:hAnsi="Garamond" w:cs="Arial"/>
          <w:i/>
        </w:rPr>
        <w:t>Very low</w:t>
      </w:r>
      <w:r w:rsidRPr="00D20920">
        <w:rPr>
          <w:rFonts w:ascii="Garamond" w:hAnsi="Garamond" w:cs="Arial"/>
        </w:rPr>
        <w:t xml:space="preserve"> = 0.00 </w:t>
      </w:r>
      <w:r>
        <w:rPr>
          <w:rFonts w:ascii="Garamond" w:hAnsi="Garamond" w:cs="Arial"/>
        </w:rPr>
        <w:t xml:space="preserve">to </w:t>
      </w:r>
      <w:r w:rsidRPr="00D20920">
        <w:rPr>
          <w:rFonts w:ascii="Garamond" w:hAnsi="Garamond" w:cs="Arial"/>
          <w:i/>
        </w:rPr>
        <w:t>Very high</w:t>
      </w:r>
      <w:r w:rsidRPr="00D20920">
        <w:rPr>
          <w:rFonts w:ascii="Garamond" w:hAnsi="Garamond" w:cs="Arial"/>
        </w:rPr>
        <w:t xml:space="preserve"> = 4.00.)   </w:t>
      </w:r>
    </w:p>
    <w:p w14:paraId="55F21475" w14:textId="77777777" w:rsidR="0079118D" w:rsidRPr="00A06EC1" w:rsidRDefault="0079118D" w:rsidP="00AA25C6">
      <w:pPr>
        <w:rPr>
          <w:rFonts w:ascii="Garamond" w:hAnsi="Garamond" w:cs="Arial"/>
          <w:sz w:val="20"/>
          <w:szCs w:val="20"/>
        </w:rPr>
      </w:pPr>
    </w:p>
    <w:p w14:paraId="4307BDB8" w14:textId="77777777" w:rsidR="0079118D" w:rsidRPr="00D20920" w:rsidRDefault="0079118D" w:rsidP="00AF1515">
      <w:pPr>
        <w:jc w:val="center"/>
        <w:outlineLvl w:val="0"/>
        <w:rPr>
          <w:rFonts w:ascii="Garamond" w:hAnsi="Garamond" w:cs="Arial"/>
          <w:b/>
        </w:rPr>
      </w:pPr>
      <w:r w:rsidRPr="00D20920">
        <w:rPr>
          <w:rFonts w:ascii="Garamond" w:hAnsi="Garamond" w:cs="Arial"/>
          <w:b/>
        </w:rPr>
        <w:t>Conclusions</w:t>
      </w:r>
    </w:p>
    <w:p w14:paraId="1B06274B" w14:textId="77777777" w:rsidR="0079118D" w:rsidRPr="00D20920" w:rsidRDefault="0079118D" w:rsidP="007D7887">
      <w:pPr>
        <w:rPr>
          <w:rFonts w:ascii="Garamond" w:hAnsi="Garamond" w:cs="Arial"/>
        </w:rPr>
      </w:pPr>
      <w:r w:rsidRPr="00D20920">
        <w:rPr>
          <w:rFonts w:ascii="Garamond" w:hAnsi="Garamond" w:cs="Arial"/>
        </w:rPr>
        <w:t>Using cases appeared to be an effective method for teaching Rogers’ theory. One student summarized emphatica</w:t>
      </w:r>
      <w:r>
        <w:rPr>
          <w:rFonts w:ascii="Garamond" w:hAnsi="Garamond" w:cs="Arial"/>
        </w:rPr>
        <w:t>lly, “[c</w:t>
      </w:r>
      <w:r w:rsidRPr="00D20920">
        <w:rPr>
          <w:rFonts w:ascii="Garamond" w:hAnsi="Garamond" w:cs="Arial"/>
        </w:rPr>
        <w:t>ases] served as a great exercise in critical thinking. This is what grad school is all about!</w:t>
      </w:r>
      <w:proofErr w:type="gramStart"/>
      <w:r w:rsidRPr="00D20920">
        <w:rPr>
          <w:rFonts w:ascii="Garamond" w:hAnsi="Garamond" w:cs="Arial"/>
        </w:rPr>
        <w:t>”</w:t>
      </w:r>
      <w:proofErr w:type="gramEnd"/>
      <w:r w:rsidRPr="00D20920">
        <w:rPr>
          <w:rFonts w:ascii="Garamond" w:hAnsi="Garamond" w:cs="Arial"/>
        </w:rPr>
        <w:t xml:space="preserve"> </w:t>
      </w:r>
      <w:r>
        <w:rPr>
          <w:rFonts w:ascii="Garamond" w:hAnsi="Garamond" w:cs="Arial"/>
        </w:rPr>
        <w:t xml:space="preserve">The focus group findings supported </w:t>
      </w:r>
      <w:proofErr w:type="spellStart"/>
      <w:r>
        <w:rPr>
          <w:rFonts w:ascii="Garamond" w:hAnsi="Garamond" w:cs="Arial"/>
        </w:rPr>
        <w:t>McKeachie’s</w:t>
      </w:r>
      <w:proofErr w:type="spellEnd"/>
      <w:r>
        <w:rPr>
          <w:rFonts w:ascii="Garamond" w:hAnsi="Garamond" w:cs="Arial"/>
        </w:rPr>
        <w:t xml:space="preserve"> (2002) positions on the value of “contextualized learning” and that presenting a problem through a case can stimulate deep meaningfulness on the part of the learner. On the other hand, although the students interviewed appreciated the relevance of Rogers’ theory in a developing world context, they clamored for more examples of </w:t>
      </w:r>
      <w:r w:rsidRPr="005B598D">
        <w:rPr>
          <w:rFonts w:ascii="Garamond" w:hAnsi="Garamond" w:cs="Arial"/>
          <w:i/>
        </w:rPr>
        <w:t>domestic</w:t>
      </w:r>
      <w:r>
        <w:rPr>
          <w:rFonts w:ascii="Garamond" w:hAnsi="Garamond" w:cs="Arial"/>
        </w:rPr>
        <w:t xml:space="preserve"> or developed world cases of diffusion and its challenges. The students’ relatively high quantitative ratings of the course were in concert with much of what they voiced.     </w:t>
      </w:r>
    </w:p>
    <w:p w14:paraId="561E2DDA" w14:textId="77777777" w:rsidR="0079118D" w:rsidRPr="00A06EC1" w:rsidRDefault="0079118D" w:rsidP="00B1635B">
      <w:pPr>
        <w:rPr>
          <w:rFonts w:ascii="Garamond" w:hAnsi="Garamond" w:cs="Arial"/>
          <w:b/>
          <w:sz w:val="20"/>
          <w:szCs w:val="20"/>
        </w:rPr>
      </w:pPr>
    </w:p>
    <w:p w14:paraId="5ED1FA95" w14:textId="77777777" w:rsidR="0079118D" w:rsidRPr="00D20920" w:rsidRDefault="0079118D" w:rsidP="00AF1515">
      <w:pPr>
        <w:jc w:val="center"/>
        <w:outlineLvl w:val="0"/>
        <w:rPr>
          <w:rFonts w:ascii="Garamond" w:hAnsi="Garamond" w:cs="Arial"/>
          <w:b/>
        </w:rPr>
      </w:pPr>
      <w:r w:rsidRPr="00D20920">
        <w:rPr>
          <w:rFonts w:ascii="Garamond" w:hAnsi="Garamond" w:cs="Arial"/>
          <w:b/>
        </w:rPr>
        <w:t xml:space="preserve">Implications/recommendations/impact on profession </w:t>
      </w:r>
    </w:p>
    <w:p w14:paraId="3886FFAB" w14:textId="77777777" w:rsidR="0079118D" w:rsidRPr="00382AF4" w:rsidRDefault="0079118D" w:rsidP="001E0D3E">
      <w:pPr>
        <w:rPr>
          <w:rFonts w:ascii="Garamond" w:hAnsi="Garamond" w:cs="Arial"/>
        </w:rPr>
      </w:pPr>
      <w:r w:rsidRPr="00D20920">
        <w:rPr>
          <w:rFonts w:ascii="Garamond" w:hAnsi="Garamond" w:cs="Arial"/>
        </w:rPr>
        <w:t>Boyer (1990)</w:t>
      </w:r>
      <w:r>
        <w:rPr>
          <w:rFonts w:ascii="Garamond" w:hAnsi="Garamond" w:cs="Arial"/>
        </w:rPr>
        <w:t>,</w:t>
      </w:r>
      <w:r w:rsidRPr="00D20920">
        <w:rPr>
          <w:rFonts w:ascii="Garamond" w:hAnsi="Garamond" w:cs="Arial"/>
        </w:rPr>
        <w:t xml:space="preserve"> in his </w:t>
      </w:r>
      <w:r>
        <w:rPr>
          <w:rFonts w:ascii="Garamond" w:hAnsi="Garamond" w:cs="Arial"/>
        </w:rPr>
        <w:t xml:space="preserve">critique of </w:t>
      </w:r>
      <w:r w:rsidRPr="00D20920">
        <w:rPr>
          <w:rFonts w:ascii="Garamond" w:hAnsi="Garamond" w:cs="Arial"/>
        </w:rPr>
        <w:t>the academy, stated that “[</w:t>
      </w:r>
      <w:proofErr w:type="gramStart"/>
      <w:r w:rsidRPr="00D20920">
        <w:rPr>
          <w:rFonts w:ascii="Garamond" w:hAnsi="Garamond" w:cs="Arial"/>
        </w:rPr>
        <w:t>p]</w:t>
      </w:r>
      <w:proofErr w:type="spellStart"/>
      <w:r w:rsidRPr="00D20920">
        <w:rPr>
          <w:rFonts w:ascii="Garamond" w:hAnsi="Garamond" w:cs="Arial"/>
        </w:rPr>
        <w:t>edagogical</w:t>
      </w:r>
      <w:proofErr w:type="spellEnd"/>
      <w:proofErr w:type="gramEnd"/>
      <w:r w:rsidRPr="00D20920">
        <w:rPr>
          <w:rFonts w:ascii="Garamond" w:hAnsi="Garamond" w:cs="Arial"/>
        </w:rPr>
        <w:t xml:space="preserve"> procedures must be carefully planned, continuously examined, and relate directly to the subject taught” (pp. 23 </w:t>
      </w:r>
      <w:r>
        <w:rPr>
          <w:rFonts w:ascii="Garamond" w:hAnsi="Garamond" w:cs="Arial"/>
        </w:rPr>
        <w:t xml:space="preserve">- </w:t>
      </w:r>
      <w:r w:rsidRPr="00D20920">
        <w:rPr>
          <w:rFonts w:ascii="Garamond" w:hAnsi="Garamond" w:cs="Arial"/>
        </w:rPr>
        <w:t>24).</w:t>
      </w:r>
      <w:r w:rsidRPr="00D20920">
        <w:rPr>
          <w:rFonts w:ascii="Garamond" w:hAnsi="Garamond" w:cs="Arial"/>
          <w:b/>
        </w:rPr>
        <w:t xml:space="preserve"> </w:t>
      </w:r>
      <w:r w:rsidRPr="00382AF4">
        <w:rPr>
          <w:rFonts w:ascii="Garamond" w:hAnsi="Garamond" w:cs="Arial"/>
        </w:rPr>
        <w:t>This study examine</w:t>
      </w:r>
      <w:r>
        <w:rPr>
          <w:rFonts w:ascii="Garamond" w:hAnsi="Garamond" w:cs="Arial"/>
        </w:rPr>
        <w:t>d</w:t>
      </w:r>
      <w:r w:rsidRPr="00382AF4">
        <w:rPr>
          <w:rFonts w:ascii="Garamond" w:hAnsi="Garamond" w:cs="Arial"/>
        </w:rPr>
        <w:t xml:space="preserve"> students’ </w:t>
      </w:r>
      <w:r>
        <w:rPr>
          <w:rFonts w:ascii="Garamond" w:hAnsi="Garamond" w:cs="Arial"/>
        </w:rPr>
        <w:t xml:space="preserve">views on their </w:t>
      </w:r>
      <w:r w:rsidRPr="00382AF4">
        <w:rPr>
          <w:rFonts w:ascii="Garamond" w:hAnsi="Garamond" w:cs="Arial"/>
        </w:rPr>
        <w:t>learning experiences in a graduate course based largely on</w:t>
      </w:r>
      <w:r>
        <w:rPr>
          <w:rFonts w:ascii="Garamond" w:hAnsi="Garamond" w:cs="Arial"/>
        </w:rPr>
        <w:t xml:space="preserve"> </w:t>
      </w:r>
      <w:r w:rsidRPr="00382AF4">
        <w:rPr>
          <w:rFonts w:ascii="Garamond" w:hAnsi="Garamond" w:cs="Arial"/>
        </w:rPr>
        <w:t xml:space="preserve">Rogers’ model (2003) for diffusing innovations. </w:t>
      </w:r>
      <w:r>
        <w:rPr>
          <w:rFonts w:ascii="Garamond" w:hAnsi="Garamond" w:cs="Arial"/>
        </w:rPr>
        <w:t xml:space="preserve">The findings supported using the </w:t>
      </w:r>
      <w:r w:rsidRPr="00382AF4">
        <w:rPr>
          <w:rFonts w:ascii="Garamond" w:hAnsi="Garamond" w:cs="Arial"/>
        </w:rPr>
        <w:t>ca</w:t>
      </w:r>
      <w:r>
        <w:rPr>
          <w:rFonts w:ascii="Garamond" w:hAnsi="Garamond" w:cs="Arial"/>
        </w:rPr>
        <w:t xml:space="preserve">se method </w:t>
      </w:r>
      <w:r w:rsidRPr="00382AF4">
        <w:rPr>
          <w:rFonts w:ascii="Garamond" w:hAnsi="Garamond" w:cs="Arial"/>
        </w:rPr>
        <w:t xml:space="preserve">for teaching Rogers’ </w:t>
      </w:r>
      <w:r>
        <w:rPr>
          <w:rFonts w:ascii="Garamond" w:hAnsi="Garamond" w:cs="Arial"/>
        </w:rPr>
        <w:t>theory</w:t>
      </w:r>
      <w:r w:rsidRPr="00382AF4">
        <w:rPr>
          <w:rFonts w:ascii="Garamond" w:hAnsi="Garamond" w:cs="Arial"/>
        </w:rPr>
        <w:t xml:space="preserve">. Therefore, it is recommended that other </w:t>
      </w:r>
      <w:r>
        <w:rPr>
          <w:rFonts w:ascii="Garamond" w:hAnsi="Garamond" w:cs="Arial"/>
        </w:rPr>
        <w:t xml:space="preserve">instructors </w:t>
      </w:r>
      <w:r w:rsidRPr="00382AF4">
        <w:rPr>
          <w:rFonts w:ascii="Garamond" w:hAnsi="Garamond" w:cs="Arial"/>
        </w:rPr>
        <w:t>use</w:t>
      </w:r>
      <w:r>
        <w:rPr>
          <w:rFonts w:ascii="Garamond" w:hAnsi="Garamond" w:cs="Arial"/>
        </w:rPr>
        <w:t xml:space="preserve"> </w:t>
      </w:r>
      <w:r w:rsidRPr="00382AF4">
        <w:rPr>
          <w:rFonts w:ascii="Garamond" w:hAnsi="Garamond" w:cs="Arial"/>
        </w:rPr>
        <w:t xml:space="preserve">or continue their use of cases when teaching diffusion theory. </w:t>
      </w:r>
      <w:r>
        <w:rPr>
          <w:rFonts w:ascii="Garamond" w:hAnsi="Garamond" w:cs="Arial"/>
        </w:rPr>
        <w:t xml:space="preserve">But they should </w:t>
      </w:r>
      <w:r w:rsidRPr="00382AF4">
        <w:rPr>
          <w:rFonts w:ascii="Garamond" w:hAnsi="Garamond" w:cs="Arial"/>
        </w:rPr>
        <w:t>consider the contemporariness of the cases a</w:t>
      </w:r>
      <w:r>
        <w:rPr>
          <w:rFonts w:ascii="Garamond" w:hAnsi="Garamond" w:cs="Arial"/>
        </w:rPr>
        <w:t xml:space="preserve">nd include </w:t>
      </w:r>
      <w:r w:rsidRPr="00382AF4">
        <w:rPr>
          <w:rFonts w:ascii="Garamond" w:hAnsi="Garamond" w:cs="Arial"/>
        </w:rPr>
        <w:t>cases stand</w:t>
      </w:r>
      <w:r>
        <w:rPr>
          <w:rFonts w:ascii="Garamond" w:hAnsi="Garamond" w:cs="Arial"/>
        </w:rPr>
        <w:t>ing</w:t>
      </w:r>
      <w:r w:rsidRPr="00382AF4">
        <w:rPr>
          <w:rFonts w:ascii="Garamond" w:hAnsi="Garamond" w:cs="Arial"/>
        </w:rPr>
        <w:t xml:space="preserve"> to resonate </w:t>
      </w:r>
      <w:r>
        <w:rPr>
          <w:rFonts w:ascii="Garamond" w:hAnsi="Garamond" w:cs="Arial"/>
        </w:rPr>
        <w:t xml:space="preserve">transparently </w:t>
      </w:r>
      <w:r w:rsidRPr="00382AF4">
        <w:rPr>
          <w:rFonts w:ascii="Garamond" w:hAnsi="Garamond" w:cs="Arial"/>
        </w:rPr>
        <w:t xml:space="preserve">with </w:t>
      </w:r>
      <w:r>
        <w:rPr>
          <w:rFonts w:ascii="Garamond" w:hAnsi="Garamond" w:cs="Arial"/>
        </w:rPr>
        <w:t xml:space="preserve">the </w:t>
      </w:r>
      <w:r w:rsidRPr="00382AF4">
        <w:rPr>
          <w:rFonts w:ascii="Garamond" w:hAnsi="Garamond" w:cs="Arial"/>
        </w:rPr>
        <w:t>socio-cultura</w:t>
      </w:r>
      <w:r>
        <w:rPr>
          <w:rFonts w:ascii="Garamond" w:hAnsi="Garamond" w:cs="Arial"/>
        </w:rPr>
        <w:t>l spectrum of the</w:t>
      </w:r>
      <w:r w:rsidRPr="00382AF4">
        <w:rPr>
          <w:rFonts w:ascii="Garamond" w:hAnsi="Garamond" w:cs="Arial"/>
        </w:rPr>
        <w:t xml:space="preserve"> students.       </w:t>
      </w:r>
    </w:p>
    <w:p w14:paraId="2E0B1F49" w14:textId="77777777" w:rsidR="0079118D" w:rsidRPr="00D20920" w:rsidRDefault="0079118D" w:rsidP="00AF1515">
      <w:pPr>
        <w:jc w:val="center"/>
        <w:outlineLvl w:val="0"/>
        <w:rPr>
          <w:rFonts w:ascii="Garamond" w:hAnsi="Garamond" w:cs="Arial"/>
          <w:b/>
        </w:rPr>
      </w:pPr>
      <w:r w:rsidRPr="00D20920">
        <w:rPr>
          <w:rFonts w:ascii="Garamond" w:hAnsi="Garamond" w:cs="Arial"/>
          <w:b/>
        </w:rPr>
        <w:lastRenderedPageBreak/>
        <w:t>References</w:t>
      </w:r>
    </w:p>
    <w:p w14:paraId="7BBBF707" w14:textId="77777777" w:rsidR="0079118D" w:rsidRPr="00D20920" w:rsidRDefault="0079118D" w:rsidP="00CD563A">
      <w:pPr>
        <w:pStyle w:val="a"/>
        <w:tabs>
          <w:tab w:val="left" w:pos="720"/>
        </w:tabs>
        <w:rPr>
          <w:rFonts w:ascii="Garamond" w:hAnsi="Garamond" w:cs="Arial"/>
          <w:b/>
          <w:sz w:val="24"/>
          <w:szCs w:val="24"/>
          <w:lang w:val="en-US"/>
        </w:rPr>
      </w:pPr>
    </w:p>
    <w:p w14:paraId="7500BAA1" w14:textId="77777777" w:rsidR="0079118D" w:rsidRPr="00D20920" w:rsidRDefault="0079118D" w:rsidP="00AF1515">
      <w:pPr>
        <w:outlineLvl w:val="0"/>
        <w:rPr>
          <w:rFonts w:ascii="Garamond" w:hAnsi="Garamond" w:cs="Arial"/>
        </w:rPr>
      </w:pPr>
      <w:r w:rsidRPr="00D20920">
        <w:rPr>
          <w:rFonts w:ascii="Garamond" w:hAnsi="Garamond" w:cs="Arial"/>
        </w:rPr>
        <w:t>Author. (2012)</w:t>
      </w:r>
      <w:proofErr w:type="gramStart"/>
      <w:r w:rsidRPr="00D20920">
        <w:rPr>
          <w:rFonts w:ascii="Garamond" w:hAnsi="Garamond" w:cs="Arial"/>
        </w:rPr>
        <w:t>. Methods of technological change.</w:t>
      </w:r>
      <w:proofErr w:type="gramEnd"/>
      <w:r w:rsidRPr="00D20920">
        <w:rPr>
          <w:rFonts w:ascii="Garamond" w:hAnsi="Garamond" w:cs="Arial"/>
        </w:rPr>
        <w:t xml:space="preserve"> (AGED 5863, course syllabus.) Department of </w:t>
      </w:r>
    </w:p>
    <w:p w14:paraId="3804B2B1" w14:textId="77777777" w:rsidR="0079118D" w:rsidRPr="00D20920" w:rsidRDefault="0079118D" w:rsidP="00833AE8">
      <w:pPr>
        <w:ind w:firstLine="720"/>
        <w:rPr>
          <w:rFonts w:ascii="Garamond" w:hAnsi="Garamond" w:cs="Arial"/>
        </w:rPr>
      </w:pPr>
      <w:r>
        <w:rPr>
          <w:rFonts w:ascii="Garamond" w:hAnsi="Garamond" w:cs="Arial"/>
        </w:rPr>
        <w:t>***</w:t>
      </w:r>
      <w:r w:rsidRPr="00D20920">
        <w:rPr>
          <w:rFonts w:ascii="Garamond" w:hAnsi="Garamond" w:cs="Arial"/>
        </w:rPr>
        <w:t xml:space="preserve">, </w:t>
      </w:r>
      <w:r>
        <w:rPr>
          <w:rFonts w:ascii="Garamond" w:hAnsi="Garamond" w:cs="Arial"/>
        </w:rPr>
        <w:t>****</w:t>
      </w:r>
      <w:r w:rsidRPr="00D20920">
        <w:rPr>
          <w:rFonts w:ascii="Garamond" w:hAnsi="Garamond" w:cs="Arial"/>
        </w:rPr>
        <w:t xml:space="preserve"> University, *</w:t>
      </w:r>
      <w:r>
        <w:rPr>
          <w:rFonts w:ascii="Garamond" w:hAnsi="Garamond" w:cs="Arial"/>
        </w:rPr>
        <w:t>**</w:t>
      </w:r>
      <w:r w:rsidRPr="00D20920">
        <w:rPr>
          <w:rFonts w:ascii="Garamond" w:hAnsi="Garamond" w:cs="Arial"/>
        </w:rPr>
        <w:t xml:space="preserve">. </w:t>
      </w:r>
    </w:p>
    <w:p w14:paraId="2748020D" w14:textId="77777777" w:rsidR="0079118D" w:rsidRDefault="0079118D" w:rsidP="00DF0BA1">
      <w:pPr>
        <w:rPr>
          <w:rFonts w:ascii="Garamond" w:hAnsi="Garamond" w:cs="Arial"/>
        </w:rPr>
      </w:pPr>
    </w:p>
    <w:p w14:paraId="108366B8" w14:textId="77777777" w:rsidR="0079118D" w:rsidRDefault="0079118D" w:rsidP="00AF1515">
      <w:pPr>
        <w:outlineLvl w:val="0"/>
        <w:rPr>
          <w:rFonts w:ascii="Garamond" w:hAnsi="Garamond" w:cs="Arial"/>
        </w:rPr>
      </w:pPr>
      <w:proofErr w:type="gramStart"/>
      <w:r>
        <w:rPr>
          <w:rFonts w:ascii="Garamond" w:hAnsi="Garamond" w:cs="Arial"/>
        </w:rPr>
        <w:t>Boyer, E. L. (1990).</w:t>
      </w:r>
      <w:proofErr w:type="gramEnd"/>
      <w:r>
        <w:rPr>
          <w:rFonts w:ascii="Garamond" w:hAnsi="Garamond" w:cs="Arial"/>
        </w:rPr>
        <w:t xml:space="preserve"> </w:t>
      </w:r>
      <w:r w:rsidRPr="003823A0">
        <w:rPr>
          <w:rFonts w:ascii="Garamond" w:hAnsi="Garamond" w:cs="Arial"/>
          <w:i/>
        </w:rPr>
        <w:t>Scholarship reconsidered: Priorities of the professoriate</w:t>
      </w:r>
      <w:r>
        <w:rPr>
          <w:rFonts w:ascii="Garamond" w:hAnsi="Garamond" w:cs="Arial"/>
        </w:rPr>
        <w:t xml:space="preserve">. The Carnegie Foundation for the </w:t>
      </w:r>
    </w:p>
    <w:p w14:paraId="1C086AF3" w14:textId="77777777" w:rsidR="0079118D" w:rsidRDefault="0079118D" w:rsidP="003823A0">
      <w:pPr>
        <w:ind w:firstLine="720"/>
        <w:rPr>
          <w:rFonts w:ascii="Garamond" w:hAnsi="Garamond" w:cs="Arial"/>
        </w:rPr>
      </w:pPr>
      <w:proofErr w:type="gramStart"/>
      <w:r>
        <w:rPr>
          <w:rFonts w:ascii="Garamond" w:hAnsi="Garamond" w:cs="Arial"/>
        </w:rPr>
        <w:t>Advancement of Teaching.</w:t>
      </w:r>
      <w:proofErr w:type="gramEnd"/>
      <w:r>
        <w:rPr>
          <w:rFonts w:ascii="Garamond" w:hAnsi="Garamond" w:cs="Arial"/>
        </w:rPr>
        <w:t xml:space="preserve"> New York, NY: </w:t>
      </w:r>
      <w:proofErr w:type="spellStart"/>
      <w:r>
        <w:rPr>
          <w:rFonts w:ascii="Garamond" w:hAnsi="Garamond" w:cs="Arial"/>
        </w:rPr>
        <w:t>Jossey</w:t>
      </w:r>
      <w:proofErr w:type="spellEnd"/>
      <w:r>
        <w:rPr>
          <w:rFonts w:ascii="Garamond" w:hAnsi="Garamond" w:cs="Arial"/>
        </w:rPr>
        <w:t xml:space="preserve">-Bass.  </w:t>
      </w:r>
    </w:p>
    <w:p w14:paraId="09FBB868" w14:textId="77777777" w:rsidR="0079118D" w:rsidRPr="00D20920" w:rsidRDefault="0079118D" w:rsidP="00DF0BA1">
      <w:pPr>
        <w:rPr>
          <w:rFonts w:ascii="Garamond" w:hAnsi="Garamond" w:cs="Arial"/>
        </w:rPr>
      </w:pPr>
    </w:p>
    <w:p w14:paraId="18DE363D" w14:textId="77777777" w:rsidR="0079118D" w:rsidRDefault="0079118D" w:rsidP="00AF1515">
      <w:pPr>
        <w:outlineLvl w:val="0"/>
        <w:rPr>
          <w:rFonts w:ascii="Garamond" w:hAnsi="Garamond" w:cs="Arial"/>
        </w:rPr>
      </w:pPr>
      <w:proofErr w:type="spellStart"/>
      <w:proofErr w:type="gramStart"/>
      <w:r w:rsidRPr="00D20920">
        <w:rPr>
          <w:rFonts w:ascii="Garamond" w:hAnsi="Garamond" w:cs="Arial"/>
        </w:rPr>
        <w:t>McKeachie</w:t>
      </w:r>
      <w:proofErr w:type="spellEnd"/>
      <w:r w:rsidRPr="00D20920">
        <w:rPr>
          <w:rFonts w:ascii="Garamond" w:hAnsi="Garamond" w:cs="Arial"/>
        </w:rPr>
        <w:t>, W. J. (2002).</w:t>
      </w:r>
      <w:proofErr w:type="gramEnd"/>
      <w:r w:rsidRPr="00D20920">
        <w:rPr>
          <w:rFonts w:ascii="Garamond" w:hAnsi="Garamond" w:cs="Arial"/>
        </w:rPr>
        <w:t xml:space="preserve"> </w:t>
      </w:r>
      <w:proofErr w:type="spellStart"/>
      <w:r w:rsidRPr="00D20920">
        <w:rPr>
          <w:rFonts w:ascii="Garamond" w:hAnsi="Garamond" w:cs="Arial"/>
        </w:rPr>
        <w:t>McKeachie’s</w:t>
      </w:r>
      <w:proofErr w:type="spellEnd"/>
      <w:r w:rsidRPr="00D20920">
        <w:rPr>
          <w:rFonts w:ascii="Garamond" w:hAnsi="Garamond" w:cs="Arial"/>
        </w:rPr>
        <w:t xml:space="preserve"> teaching tips: Strategies, research, and theory for college and </w:t>
      </w:r>
    </w:p>
    <w:p w14:paraId="1FD38E70" w14:textId="77777777" w:rsidR="0079118D" w:rsidRPr="00D20920" w:rsidRDefault="0079118D" w:rsidP="00816518">
      <w:pPr>
        <w:ind w:firstLine="720"/>
        <w:rPr>
          <w:rFonts w:ascii="Garamond" w:hAnsi="Garamond" w:cs="Arial"/>
        </w:rPr>
      </w:pPr>
      <w:proofErr w:type="gramStart"/>
      <w:r w:rsidRPr="00D20920">
        <w:rPr>
          <w:rFonts w:ascii="Garamond" w:hAnsi="Garamond" w:cs="Arial"/>
        </w:rPr>
        <w:t>university</w:t>
      </w:r>
      <w:proofErr w:type="gramEnd"/>
      <w:r w:rsidRPr="00D20920">
        <w:rPr>
          <w:rFonts w:ascii="Garamond" w:hAnsi="Garamond" w:cs="Arial"/>
        </w:rPr>
        <w:t xml:space="preserve"> teachers (eleventh edition). Boston, MA: Houghton Mifflin Company.</w:t>
      </w:r>
    </w:p>
    <w:p w14:paraId="120C3515" w14:textId="77777777" w:rsidR="0079118D" w:rsidRPr="00D20920" w:rsidRDefault="0079118D" w:rsidP="00DF0BA1">
      <w:pPr>
        <w:rPr>
          <w:rFonts w:ascii="Garamond" w:hAnsi="Garamond" w:cs="Arial"/>
        </w:rPr>
      </w:pPr>
    </w:p>
    <w:p w14:paraId="795D2AA9" w14:textId="77777777" w:rsidR="0079118D" w:rsidRPr="00D20920" w:rsidRDefault="0079118D" w:rsidP="00D077EE">
      <w:pPr>
        <w:outlineLvl w:val="0"/>
        <w:rPr>
          <w:rFonts w:ascii="Garamond" w:hAnsi="Garamond" w:cs="Arial"/>
          <w:i/>
        </w:rPr>
      </w:pPr>
      <w:proofErr w:type="spellStart"/>
      <w:r w:rsidRPr="00D20920">
        <w:rPr>
          <w:rFonts w:ascii="Garamond" w:hAnsi="Garamond" w:cs="Arial"/>
        </w:rPr>
        <w:t>McKernan</w:t>
      </w:r>
      <w:proofErr w:type="spellEnd"/>
      <w:r w:rsidRPr="00D20920">
        <w:rPr>
          <w:rFonts w:ascii="Garamond" w:hAnsi="Garamond" w:cs="Arial"/>
        </w:rPr>
        <w:t xml:space="preserve">, J. (1991). Action inquiry: Studied enactment. In E. C. Short (Ed.), </w:t>
      </w:r>
      <w:r w:rsidRPr="00D20920">
        <w:rPr>
          <w:rFonts w:ascii="Garamond" w:hAnsi="Garamond" w:cs="Arial"/>
          <w:i/>
        </w:rPr>
        <w:t xml:space="preserve">Forms of </w:t>
      </w:r>
    </w:p>
    <w:p w14:paraId="063A92E7" w14:textId="77777777" w:rsidR="0079118D" w:rsidRPr="00D20920" w:rsidRDefault="0079118D">
      <w:pPr>
        <w:ind w:firstLine="720"/>
        <w:rPr>
          <w:rFonts w:ascii="Garamond" w:hAnsi="Garamond" w:cs="Arial"/>
        </w:rPr>
      </w:pPr>
      <w:proofErr w:type="gramStart"/>
      <w:r w:rsidRPr="00D20920">
        <w:rPr>
          <w:rFonts w:ascii="Garamond" w:hAnsi="Garamond" w:cs="Arial"/>
          <w:i/>
        </w:rPr>
        <w:t xml:space="preserve">Curriculum Inquiry </w:t>
      </w:r>
      <w:r w:rsidRPr="00D20920">
        <w:rPr>
          <w:rFonts w:ascii="Garamond" w:hAnsi="Garamond" w:cs="Arial"/>
        </w:rPr>
        <w:t>(pp. 309-326).</w:t>
      </w:r>
      <w:proofErr w:type="gramEnd"/>
      <w:r w:rsidRPr="00D20920">
        <w:rPr>
          <w:rFonts w:ascii="Garamond" w:hAnsi="Garamond" w:cs="Arial"/>
        </w:rPr>
        <w:t xml:space="preserve"> Albany, NY: State University of New York Press.</w:t>
      </w:r>
    </w:p>
    <w:p w14:paraId="102264FD" w14:textId="77777777" w:rsidR="0079118D" w:rsidRPr="00D20920" w:rsidRDefault="0079118D">
      <w:pPr>
        <w:rPr>
          <w:rFonts w:ascii="Garamond" w:hAnsi="Garamond" w:cs="Arial"/>
        </w:rPr>
      </w:pPr>
    </w:p>
    <w:p w14:paraId="1288F2D0" w14:textId="77777777" w:rsidR="00D077EE" w:rsidRDefault="00D077EE" w:rsidP="005B598D">
      <w:pPr>
        <w:ind w:left="720" w:hanging="720"/>
        <w:rPr>
          <w:rFonts w:ascii="Garamond" w:hAnsi="Garamond" w:cs="Arial"/>
        </w:rPr>
      </w:pPr>
      <w:proofErr w:type="gramStart"/>
      <w:r>
        <w:rPr>
          <w:rFonts w:ascii="Garamond" w:hAnsi="Garamond" w:cs="Arial"/>
        </w:rPr>
        <w:t>Patton, M. Q. (2002).</w:t>
      </w:r>
      <w:proofErr w:type="gramEnd"/>
      <w:r>
        <w:rPr>
          <w:rFonts w:ascii="Garamond" w:hAnsi="Garamond" w:cs="Arial"/>
        </w:rPr>
        <w:t xml:space="preserve"> </w:t>
      </w:r>
      <w:proofErr w:type="gramStart"/>
      <w:r w:rsidRPr="005B598D">
        <w:rPr>
          <w:rFonts w:ascii="Garamond" w:hAnsi="Garamond" w:cs="Arial"/>
          <w:i/>
        </w:rPr>
        <w:t>Qualitative research and evaluation methods</w:t>
      </w:r>
      <w:r>
        <w:rPr>
          <w:rFonts w:ascii="Garamond" w:hAnsi="Garamond" w:cs="Arial"/>
        </w:rPr>
        <w:t xml:space="preserve"> (3rd ed.).</w:t>
      </w:r>
      <w:proofErr w:type="gramEnd"/>
      <w:r>
        <w:rPr>
          <w:rFonts w:ascii="Garamond" w:hAnsi="Garamond" w:cs="Arial"/>
        </w:rPr>
        <w:t xml:space="preserve"> Thousand Oaks, CA: Sage Publications.</w:t>
      </w:r>
    </w:p>
    <w:p w14:paraId="2AD7D22E" w14:textId="77777777" w:rsidR="00D077EE" w:rsidRDefault="00D077EE" w:rsidP="005B598D">
      <w:pPr>
        <w:rPr>
          <w:rFonts w:ascii="Garamond" w:hAnsi="Garamond" w:cs="Arial"/>
        </w:rPr>
      </w:pPr>
    </w:p>
    <w:p w14:paraId="34A70687" w14:textId="77777777" w:rsidR="0079118D" w:rsidRPr="00D20920" w:rsidRDefault="0079118D" w:rsidP="005B598D">
      <w:pPr>
        <w:rPr>
          <w:rFonts w:ascii="Garamond" w:hAnsi="Garamond" w:cs="Arial"/>
        </w:rPr>
      </w:pPr>
      <w:r w:rsidRPr="00D20920">
        <w:rPr>
          <w:rFonts w:ascii="Garamond" w:hAnsi="Garamond" w:cs="Arial"/>
        </w:rPr>
        <w:t xml:space="preserve">Rogers, E. M. (2003). </w:t>
      </w:r>
      <w:proofErr w:type="gramStart"/>
      <w:r w:rsidRPr="00D20920">
        <w:rPr>
          <w:rFonts w:ascii="Garamond" w:hAnsi="Garamond" w:cs="Arial"/>
          <w:i/>
        </w:rPr>
        <w:t>Diffusion of innovations</w:t>
      </w:r>
      <w:r w:rsidRPr="00D20920">
        <w:rPr>
          <w:rFonts w:ascii="Garamond" w:hAnsi="Garamond" w:cs="Arial"/>
        </w:rPr>
        <w:t xml:space="preserve"> (5th ed.).</w:t>
      </w:r>
      <w:proofErr w:type="gramEnd"/>
      <w:r w:rsidRPr="00D20920">
        <w:rPr>
          <w:rFonts w:ascii="Garamond" w:hAnsi="Garamond" w:cs="Arial"/>
        </w:rPr>
        <w:t xml:space="preserve"> New York, NY: Free Press.</w:t>
      </w:r>
    </w:p>
    <w:sectPr w:rsidR="0079118D" w:rsidRPr="00D20920" w:rsidSect="005C636A">
      <w:headerReference w:type="default" r:id="rId8"/>
      <w:footerReference w:type="default" r:id="rId9"/>
      <w:pgSz w:w="12240" w:h="15840"/>
      <w:pgMar w:top="1440" w:right="1440" w:bottom="1296" w:left="1440" w:header="720" w:footer="720" w:gutter="0"/>
      <w:pgNumType w:start="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563CF0" w14:textId="77777777" w:rsidR="00D077EE" w:rsidRDefault="00D077EE" w:rsidP="00964BD4">
      <w:r>
        <w:separator/>
      </w:r>
    </w:p>
  </w:endnote>
  <w:endnote w:type="continuationSeparator" w:id="0">
    <w:p w14:paraId="2B6C7741" w14:textId="77777777" w:rsidR="00D077EE" w:rsidRDefault="00D077EE" w:rsidP="00964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Lucida Grande">
    <w:panose1 w:val="020B06000405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Garamond">
    <w:panose1 w:val="02020404030301010803"/>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99FAC6" w14:textId="77777777" w:rsidR="00D077EE" w:rsidRDefault="00D077EE">
    <w:pPr>
      <w:pStyle w:val="Footer"/>
      <w:jc w:val="center"/>
    </w:pPr>
    <w:r>
      <w:fldChar w:fldCharType="begin"/>
    </w:r>
    <w:r>
      <w:instrText xml:space="preserve"> PAGE   \* MERGEFORMAT </w:instrText>
    </w:r>
    <w:r>
      <w:fldChar w:fldCharType="separate"/>
    </w:r>
    <w:r w:rsidR="00F14E26">
      <w:rPr>
        <w:noProof/>
      </w:rPr>
      <w:t>1</w:t>
    </w:r>
    <w:r>
      <w:rPr>
        <w:noProof/>
      </w:rPr>
      <w:fldChar w:fldCharType="end"/>
    </w:r>
  </w:p>
  <w:p w14:paraId="01367585" w14:textId="77777777" w:rsidR="00D077EE" w:rsidRDefault="00D077E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B23E64" w14:textId="77777777" w:rsidR="00D077EE" w:rsidRDefault="00D077EE" w:rsidP="00964BD4">
      <w:r>
        <w:separator/>
      </w:r>
    </w:p>
  </w:footnote>
  <w:footnote w:type="continuationSeparator" w:id="0">
    <w:p w14:paraId="2B4918E2" w14:textId="77777777" w:rsidR="00D077EE" w:rsidRDefault="00D077EE" w:rsidP="00964BD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C7EB98" w14:textId="77777777" w:rsidR="00D077EE" w:rsidRPr="00D71469" w:rsidRDefault="00D077EE" w:rsidP="00304721">
    <w:pPr>
      <w:autoSpaceDE w:val="0"/>
      <w:autoSpaceDN w:val="0"/>
      <w:adjustRightInd w:val="0"/>
      <w:ind w:left="7200" w:firstLine="720"/>
      <w:rPr>
        <w:b/>
        <w:bCs/>
      </w:rPr>
    </w:pPr>
    <w:r w:rsidRPr="00D71469">
      <w:rPr>
        <w:b/>
        <w:bCs/>
      </w:rPr>
      <w:t>RESEARCH</w:t>
    </w:r>
  </w:p>
  <w:p w14:paraId="39A600A8" w14:textId="77777777" w:rsidR="00D077EE" w:rsidRDefault="00D077EE">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06752"/>
    <w:multiLevelType w:val="hybridMultilevel"/>
    <w:tmpl w:val="6DBE71CA"/>
    <w:lvl w:ilvl="0" w:tplc="04090001">
      <w:start w:val="1"/>
      <w:numFmt w:val="bullet"/>
      <w:lvlText w:val=""/>
      <w:lvlJc w:val="left"/>
      <w:pPr>
        <w:ind w:left="1080" w:hanging="360"/>
      </w:pPr>
      <w:rPr>
        <w:rFonts w:ascii="Symbol" w:hAnsi="Symbol"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nsid w:val="40901FBF"/>
    <w:multiLevelType w:val="hybridMultilevel"/>
    <w:tmpl w:val="F926D296"/>
    <w:lvl w:ilvl="0" w:tplc="228CAB20">
      <w:start w:val="1"/>
      <w:numFmt w:val="bullet"/>
      <w:lvlText w:val=""/>
      <w:lvlJc w:val="left"/>
      <w:pPr>
        <w:ind w:left="1440" w:hanging="360"/>
      </w:pPr>
      <w:rPr>
        <w:rFonts w:ascii="Wingdings" w:hAnsi="Wingdings" w:hint="default"/>
        <w:sz w:val="24"/>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
    <w:nsid w:val="4BCD4171"/>
    <w:multiLevelType w:val="hybridMultilevel"/>
    <w:tmpl w:val="ACCED846"/>
    <w:lvl w:ilvl="0" w:tplc="228CAB20">
      <w:start w:val="1"/>
      <w:numFmt w:val="bullet"/>
      <w:lvlText w:val=""/>
      <w:lvlJc w:val="left"/>
      <w:pPr>
        <w:ind w:left="1440" w:hanging="360"/>
      </w:pPr>
      <w:rPr>
        <w:rFonts w:ascii="Wingdings" w:hAnsi="Wingdings" w:hint="default"/>
        <w:sz w:val="24"/>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
    <w:nsid w:val="6233151A"/>
    <w:multiLevelType w:val="hybridMultilevel"/>
    <w:tmpl w:val="7228F550"/>
    <w:lvl w:ilvl="0" w:tplc="04090003">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4EF8"/>
    <w:rsid w:val="000029F0"/>
    <w:rsid w:val="00002BEB"/>
    <w:rsid w:val="00004A60"/>
    <w:rsid w:val="00010DC3"/>
    <w:rsid w:val="000176CC"/>
    <w:rsid w:val="00026531"/>
    <w:rsid w:val="00041E1C"/>
    <w:rsid w:val="0004216D"/>
    <w:rsid w:val="00043319"/>
    <w:rsid w:val="00046023"/>
    <w:rsid w:val="00047BEE"/>
    <w:rsid w:val="00052726"/>
    <w:rsid w:val="00072066"/>
    <w:rsid w:val="000846F4"/>
    <w:rsid w:val="000A6036"/>
    <w:rsid w:val="000B595A"/>
    <w:rsid w:val="000C439F"/>
    <w:rsid w:val="000D518B"/>
    <w:rsid w:val="000F4FAA"/>
    <w:rsid w:val="000F76C5"/>
    <w:rsid w:val="0010035D"/>
    <w:rsid w:val="0010790F"/>
    <w:rsid w:val="00111F8F"/>
    <w:rsid w:val="00122DEF"/>
    <w:rsid w:val="001278BF"/>
    <w:rsid w:val="00153F4B"/>
    <w:rsid w:val="00156CCD"/>
    <w:rsid w:val="00157372"/>
    <w:rsid w:val="001579F5"/>
    <w:rsid w:val="0016628D"/>
    <w:rsid w:val="00182F06"/>
    <w:rsid w:val="00194483"/>
    <w:rsid w:val="001B2075"/>
    <w:rsid w:val="001B3CE6"/>
    <w:rsid w:val="001C1B57"/>
    <w:rsid w:val="001D652E"/>
    <w:rsid w:val="001E0442"/>
    <w:rsid w:val="001E0D3E"/>
    <w:rsid w:val="001E35A3"/>
    <w:rsid w:val="001E4A2C"/>
    <w:rsid w:val="001F2E01"/>
    <w:rsid w:val="00204EF8"/>
    <w:rsid w:val="00205ADD"/>
    <w:rsid w:val="00212F37"/>
    <w:rsid w:val="002207E9"/>
    <w:rsid w:val="002218BC"/>
    <w:rsid w:val="00233BE5"/>
    <w:rsid w:val="00236F61"/>
    <w:rsid w:val="00243ADA"/>
    <w:rsid w:val="00257D42"/>
    <w:rsid w:val="00260906"/>
    <w:rsid w:val="00261362"/>
    <w:rsid w:val="00275C17"/>
    <w:rsid w:val="002907D3"/>
    <w:rsid w:val="00295C55"/>
    <w:rsid w:val="002A0B8C"/>
    <w:rsid w:val="002A6753"/>
    <w:rsid w:val="002A6BD8"/>
    <w:rsid w:val="002C4776"/>
    <w:rsid w:val="002C6FA2"/>
    <w:rsid w:val="002D6F67"/>
    <w:rsid w:val="002F1F76"/>
    <w:rsid w:val="002F3E0D"/>
    <w:rsid w:val="00300100"/>
    <w:rsid w:val="00300265"/>
    <w:rsid w:val="00304721"/>
    <w:rsid w:val="00313A36"/>
    <w:rsid w:val="003327AE"/>
    <w:rsid w:val="0034758D"/>
    <w:rsid w:val="00351238"/>
    <w:rsid w:val="003703C2"/>
    <w:rsid w:val="00375FF4"/>
    <w:rsid w:val="00377BD2"/>
    <w:rsid w:val="003823A0"/>
    <w:rsid w:val="00382898"/>
    <w:rsid w:val="00382AF4"/>
    <w:rsid w:val="00394C94"/>
    <w:rsid w:val="003B2C02"/>
    <w:rsid w:val="003C1A07"/>
    <w:rsid w:val="003D3B5A"/>
    <w:rsid w:val="003D7D9C"/>
    <w:rsid w:val="003E1904"/>
    <w:rsid w:val="003E1916"/>
    <w:rsid w:val="003E685A"/>
    <w:rsid w:val="003F2BB6"/>
    <w:rsid w:val="003F579C"/>
    <w:rsid w:val="00403208"/>
    <w:rsid w:val="00422B98"/>
    <w:rsid w:val="0042522B"/>
    <w:rsid w:val="00427072"/>
    <w:rsid w:val="00431EB5"/>
    <w:rsid w:val="004575BC"/>
    <w:rsid w:val="004771C3"/>
    <w:rsid w:val="00492332"/>
    <w:rsid w:val="00495B59"/>
    <w:rsid w:val="00496ACB"/>
    <w:rsid w:val="004A49DB"/>
    <w:rsid w:val="004B0E61"/>
    <w:rsid w:val="004B4C79"/>
    <w:rsid w:val="004B6037"/>
    <w:rsid w:val="004C09CB"/>
    <w:rsid w:val="004D79FB"/>
    <w:rsid w:val="004F0AD2"/>
    <w:rsid w:val="005014AA"/>
    <w:rsid w:val="00523DD6"/>
    <w:rsid w:val="005344C3"/>
    <w:rsid w:val="005345C2"/>
    <w:rsid w:val="00553ECE"/>
    <w:rsid w:val="005913BF"/>
    <w:rsid w:val="00594339"/>
    <w:rsid w:val="005B598D"/>
    <w:rsid w:val="005C00FE"/>
    <w:rsid w:val="005C0F0D"/>
    <w:rsid w:val="005C3D94"/>
    <w:rsid w:val="005C636A"/>
    <w:rsid w:val="005C7AFE"/>
    <w:rsid w:val="005C7E7C"/>
    <w:rsid w:val="005D6B69"/>
    <w:rsid w:val="005E399A"/>
    <w:rsid w:val="005E491B"/>
    <w:rsid w:val="006068D7"/>
    <w:rsid w:val="00606C07"/>
    <w:rsid w:val="006177A1"/>
    <w:rsid w:val="00627E74"/>
    <w:rsid w:val="006377B5"/>
    <w:rsid w:val="0064577C"/>
    <w:rsid w:val="006458B0"/>
    <w:rsid w:val="00645C18"/>
    <w:rsid w:val="006517D7"/>
    <w:rsid w:val="0066479A"/>
    <w:rsid w:val="00666FA5"/>
    <w:rsid w:val="0068787C"/>
    <w:rsid w:val="00687EFD"/>
    <w:rsid w:val="006A1720"/>
    <w:rsid w:val="006B0EEC"/>
    <w:rsid w:val="006C0C8E"/>
    <w:rsid w:val="006C59B7"/>
    <w:rsid w:val="006C6D12"/>
    <w:rsid w:val="006D1F4E"/>
    <w:rsid w:val="006E4944"/>
    <w:rsid w:val="006F200D"/>
    <w:rsid w:val="006F2BD7"/>
    <w:rsid w:val="006F7209"/>
    <w:rsid w:val="00715186"/>
    <w:rsid w:val="00720A41"/>
    <w:rsid w:val="00736CD3"/>
    <w:rsid w:val="00743125"/>
    <w:rsid w:val="00760BEF"/>
    <w:rsid w:val="00763676"/>
    <w:rsid w:val="00765B4C"/>
    <w:rsid w:val="0077460C"/>
    <w:rsid w:val="007804D4"/>
    <w:rsid w:val="007824F8"/>
    <w:rsid w:val="0078693A"/>
    <w:rsid w:val="00791188"/>
    <w:rsid w:val="0079118D"/>
    <w:rsid w:val="007940F9"/>
    <w:rsid w:val="00794E52"/>
    <w:rsid w:val="007965EF"/>
    <w:rsid w:val="00796D43"/>
    <w:rsid w:val="007A14AA"/>
    <w:rsid w:val="007B267D"/>
    <w:rsid w:val="007B7615"/>
    <w:rsid w:val="007C3674"/>
    <w:rsid w:val="007C51EA"/>
    <w:rsid w:val="007D0A9D"/>
    <w:rsid w:val="007D7887"/>
    <w:rsid w:val="007E1ABD"/>
    <w:rsid w:val="007E1D78"/>
    <w:rsid w:val="007E2D78"/>
    <w:rsid w:val="007E7825"/>
    <w:rsid w:val="007F527F"/>
    <w:rsid w:val="007F6B22"/>
    <w:rsid w:val="00801C17"/>
    <w:rsid w:val="00801F20"/>
    <w:rsid w:val="00816518"/>
    <w:rsid w:val="00817FD1"/>
    <w:rsid w:val="00823551"/>
    <w:rsid w:val="00833AE8"/>
    <w:rsid w:val="00836263"/>
    <w:rsid w:val="008477F1"/>
    <w:rsid w:val="0085114E"/>
    <w:rsid w:val="008515BB"/>
    <w:rsid w:val="00860F87"/>
    <w:rsid w:val="00862280"/>
    <w:rsid w:val="00880513"/>
    <w:rsid w:val="0089126C"/>
    <w:rsid w:val="008A2975"/>
    <w:rsid w:val="008B3CBA"/>
    <w:rsid w:val="008B4E91"/>
    <w:rsid w:val="008B5B13"/>
    <w:rsid w:val="008C1552"/>
    <w:rsid w:val="008C2947"/>
    <w:rsid w:val="008D5A8F"/>
    <w:rsid w:val="008D5AC4"/>
    <w:rsid w:val="00902B7B"/>
    <w:rsid w:val="00931DBA"/>
    <w:rsid w:val="00940E10"/>
    <w:rsid w:val="00944D16"/>
    <w:rsid w:val="009600DF"/>
    <w:rsid w:val="00960D40"/>
    <w:rsid w:val="00964BD4"/>
    <w:rsid w:val="00984448"/>
    <w:rsid w:val="00990C88"/>
    <w:rsid w:val="009B0868"/>
    <w:rsid w:val="009B5DEC"/>
    <w:rsid w:val="009C4478"/>
    <w:rsid w:val="009C71F9"/>
    <w:rsid w:val="009D0DD5"/>
    <w:rsid w:val="009F029C"/>
    <w:rsid w:val="009F2379"/>
    <w:rsid w:val="009F4559"/>
    <w:rsid w:val="00A06EC1"/>
    <w:rsid w:val="00A127C0"/>
    <w:rsid w:val="00A2544C"/>
    <w:rsid w:val="00A353C5"/>
    <w:rsid w:val="00A63A2A"/>
    <w:rsid w:val="00A70881"/>
    <w:rsid w:val="00A7134C"/>
    <w:rsid w:val="00A72BBF"/>
    <w:rsid w:val="00A75630"/>
    <w:rsid w:val="00A805FF"/>
    <w:rsid w:val="00A87719"/>
    <w:rsid w:val="00A8773B"/>
    <w:rsid w:val="00A90259"/>
    <w:rsid w:val="00A93F9A"/>
    <w:rsid w:val="00A94D0E"/>
    <w:rsid w:val="00AA25C6"/>
    <w:rsid w:val="00AB2768"/>
    <w:rsid w:val="00AB5468"/>
    <w:rsid w:val="00AB6C01"/>
    <w:rsid w:val="00AD5AC2"/>
    <w:rsid w:val="00AD637E"/>
    <w:rsid w:val="00AE306A"/>
    <w:rsid w:val="00AE4FB2"/>
    <w:rsid w:val="00AF1515"/>
    <w:rsid w:val="00B02651"/>
    <w:rsid w:val="00B05B02"/>
    <w:rsid w:val="00B1600A"/>
    <w:rsid w:val="00B1635B"/>
    <w:rsid w:val="00B20A32"/>
    <w:rsid w:val="00B30B79"/>
    <w:rsid w:val="00B33965"/>
    <w:rsid w:val="00B710FE"/>
    <w:rsid w:val="00B9423B"/>
    <w:rsid w:val="00B95348"/>
    <w:rsid w:val="00BA2D97"/>
    <w:rsid w:val="00BA40B4"/>
    <w:rsid w:val="00BA556C"/>
    <w:rsid w:val="00BA78F1"/>
    <w:rsid w:val="00BD0CC3"/>
    <w:rsid w:val="00BD51E3"/>
    <w:rsid w:val="00BE40C5"/>
    <w:rsid w:val="00BF0577"/>
    <w:rsid w:val="00BF0BC9"/>
    <w:rsid w:val="00BF0CE2"/>
    <w:rsid w:val="00BF617F"/>
    <w:rsid w:val="00C02722"/>
    <w:rsid w:val="00C11A06"/>
    <w:rsid w:val="00C135EE"/>
    <w:rsid w:val="00C21FB0"/>
    <w:rsid w:val="00C23AB3"/>
    <w:rsid w:val="00C24B9D"/>
    <w:rsid w:val="00C26D97"/>
    <w:rsid w:val="00C42443"/>
    <w:rsid w:val="00C4261B"/>
    <w:rsid w:val="00C754A2"/>
    <w:rsid w:val="00C80EEF"/>
    <w:rsid w:val="00C86DCA"/>
    <w:rsid w:val="00C939FE"/>
    <w:rsid w:val="00CB4921"/>
    <w:rsid w:val="00CC2BC2"/>
    <w:rsid w:val="00CC4AFD"/>
    <w:rsid w:val="00CD43C5"/>
    <w:rsid w:val="00CD563A"/>
    <w:rsid w:val="00CD742C"/>
    <w:rsid w:val="00CF45FE"/>
    <w:rsid w:val="00D077EE"/>
    <w:rsid w:val="00D13D8B"/>
    <w:rsid w:val="00D20920"/>
    <w:rsid w:val="00D2389F"/>
    <w:rsid w:val="00D31E92"/>
    <w:rsid w:val="00D41E66"/>
    <w:rsid w:val="00D47E00"/>
    <w:rsid w:val="00D67C74"/>
    <w:rsid w:val="00D71469"/>
    <w:rsid w:val="00D72BFA"/>
    <w:rsid w:val="00D82131"/>
    <w:rsid w:val="00D8411F"/>
    <w:rsid w:val="00D85A23"/>
    <w:rsid w:val="00D9178F"/>
    <w:rsid w:val="00D9188A"/>
    <w:rsid w:val="00D95516"/>
    <w:rsid w:val="00D95531"/>
    <w:rsid w:val="00DA6D53"/>
    <w:rsid w:val="00DB7078"/>
    <w:rsid w:val="00DB7C3E"/>
    <w:rsid w:val="00DC4E2D"/>
    <w:rsid w:val="00DD1C61"/>
    <w:rsid w:val="00DE02C9"/>
    <w:rsid w:val="00DE42AA"/>
    <w:rsid w:val="00DE4E61"/>
    <w:rsid w:val="00DE7D24"/>
    <w:rsid w:val="00DF0BA1"/>
    <w:rsid w:val="00DF0FA0"/>
    <w:rsid w:val="00DF242F"/>
    <w:rsid w:val="00DF3124"/>
    <w:rsid w:val="00E017F4"/>
    <w:rsid w:val="00E04241"/>
    <w:rsid w:val="00E04A9B"/>
    <w:rsid w:val="00E0630C"/>
    <w:rsid w:val="00E06A09"/>
    <w:rsid w:val="00E17189"/>
    <w:rsid w:val="00E203C2"/>
    <w:rsid w:val="00E23FD0"/>
    <w:rsid w:val="00E26816"/>
    <w:rsid w:val="00E43DC7"/>
    <w:rsid w:val="00E43DE0"/>
    <w:rsid w:val="00E47A27"/>
    <w:rsid w:val="00E509C3"/>
    <w:rsid w:val="00E52990"/>
    <w:rsid w:val="00E726DD"/>
    <w:rsid w:val="00E76C0A"/>
    <w:rsid w:val="00E815B4"/>
    <w:rsid w:val="00E828EA"/>
    <w:rsid w:val="00E9665C"/>
    <w:rsid w:val="00EA7DB8"/>
    <w:rsid w:val="00EB2FC0"/>
    <w:rsid w:val="00EC0DAA"/>
    <w:rsid w:val="00EC651D"/>
    <w:rsid w:val="00ED268A"/>
    <w:rsid w:val="00ED316A"/>
    <w:rsid w:val="00ED3569"/>
    <w:rsid w:val="00ED461E"/>
    <w:rsid w:val="00ED4E18"/>
    <w:rsid w:val="00EE771D"/>
    <w:rsid w:val="00EF641D"/>
    <w:rsid w:val="00F109FF"/>
    <w:rsid w:val="00F14E26"/>
    <w:rsid w:val="00F20C8C"/>
    <w:rsid w:val="00F3686D"/>
    <w:rsid w:val="00F477D7"/>
    <w:rsid w:val="00F828B2"/>
    <w:rsid w:val="00F85F9C"/>
    <w:rsid w:val="00F86AB9"/>
    <w:rsid w:val="00FB4E02"/>
    <w:rsid w:val="00FB54F4"/>
    <w:rsid w:val="00FC7708"/>
    <w:rsid w:val="00FD3C83"/>
    <w:rsid w:val="00FE0AC9"/>
    <w:rsid w:val="00FE458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17497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4EF8"/>
    <w:rPr>
      <w:sz w:val="24"/>
      <w:szCs w:val="24"/>
    </w:rPr>
  </w:style>
  <w:style w:type="paragraph" w:styleId="Heading1">
    <w:name w:val="heading 1"/>
    <w:basedOn w:val="Normal"/>
    <w:next w:val="Normal"/>
    <w:link w:val="Heading1Char"/>
    <w:uiPriority w:val="99"/>
    <w:qFormat/>
    <w:rsid w:val="002907D3"/>
    <w:pPr>
      <w:keepNext/>
      <w:spacing w:before="240" w:after="120"/>
      <w:outlineLvl w:val="0"/>
    </w:pPr>
    <w:rPr>
      <w:rFonts w:ascii="Calibri" w:hAnsi="Calibri"/>
      <w:smallCap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907D3"/>
    <w:rPr>
      <w:rFonts w:ascii="Calibri" w:hAnsi="Calibri" w:cs="Times New Roman"/>
      <w:smallCaps/>
      <w:sz w:val="28"/>
      <w:lang w:val="en-US" w:eastAsia="en-US"/>
    </w:rPr>
  </w:style>
  <w:style w:type="table" w:customStyle="1" w:styleId="TableStyle1">
    <w:name w:val="Table Style1"/>
    <w:basedOn w:val="TableSimple1"/>
    <w:uiPriority w:val="99"/>
    <w:rsid w:val="00836263"/>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1">
    <w:name w:val="Table Simple 1"/>
    <w:basedOn w:val="TableNormal"/>
    <w:uiPriority w:val="99"/>
    <w:rsid w:val="00836263"/>
    <w:rPr>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paragraph" w:styleId="NormalWeb">
    <w:name w:val="Normal (Web)"/>
    <w:basedOn w:val="Normal"/>
    <w:uiPriority w:val="99"/>
    <w:rsid w:val="002907D3"/>
    <w:pPr>
      <w:spacing w:before="100" w:beforeAutospacing="1" w:after="100" w:afterAutospacing="1"/>
    </w:pPr>
  </w:style>
  <w:style w:type="paragraph" w:styleId="ListParagraph">
    <w:name w:val="List Paragraph"/>
    <w:basedOn w:val="Normal"/>
    <w:uiPriority w:val="99"/>
    <w:qFormat/>
    <w:rsid w:val="00A90259"/>
    <w:pPr>
      <w:ind w:left="720"/>
      <w:contextualSpacing/>
    </w:pPr>
  </w:style>
  <w:style w:type="paragraph" w:styleId="Header">
    <w:name w:val="header"/>
    <w:basedOn w:val="Normal"/>
    <w:link w:val="HeaderChar"/>
    <w:uiPriority w:val="99"/>
    <w:rsid w:val="00964BD4"/>
    <w:pPr>
      <w:tabs>
        <w:tab w:val="center" w:pos="4680"/>
        <w:tab w:val="right" w:pos="9360"/>
      </w:tabs>
    </w:pPr>
  </w:style>
  <w:style w:type="character" w:customStyle="1" w:styleId="HeaderChar">
    <w:name w:val="Header Char"/>
    <w:basedOn w:val="DefaultParagraphFont"/>
    <w:link w:val="Header"/>
    <w:uiPriority w:val="99"/>
    <w:locked/>
    <w:rsid w:val="00964BD4"/>
    <w:rPr>
      <w:rFonts w:cs="Times New Roman"/>
      <w:sz w:val="24"/>
      <w:szCs w:val="24"/>
    </w:rPr>
  </w:style>
  <w:style w:type="paragraph" w:styleId="Footer">
    <w:name w:val="footer"/>
    <w:basedOn w:val="Normal"/>
    <w:link w:val="FooterChar"/>
    <w:uiPriority w:val="99"/>
    <w:rsid w:val="00964BD4"/>
    <w:pPr>
      <w:tabs>
        <w:tab w:val="center" w:pos="4680"/>
        <w:tab w:val="right" w:pos="9360"/>
      </w:tabs>
    </w:pPr>
  </w:style>
  <w:style w:type="character" w:customStyle="1" w:styleId="FooterChar">
    <w:name w:val="Footer Char"/>
    <w:basedOn w:val="DefaultParagraphFont"/>
    <w:link w:val="Footer"/>
    <w:uiPriority w:val="99"/>
    <w:locked/>
    <w:rsid w:val="00964BD4"/>
    <w:rPr>
      <w:rFonts w:cs="Times New Roman"/>
      <w:sz w:val="24"/>
      <w:szCs w:val="24"/>
    </w:rPr>
  </w:style>
  <w:style w:type="paragraph" w:styleId="DocumentMap">
    <w:name w:val="Document Map"/>
    <w:basedOn w:val="Normal"/>
    <w:link w:val="DocumentMapChar"/>
    <w:uiPriority w:val="99"/>
    <w:semiHidden/>
    <w:rsid w:val="008D5A8F"/>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Pr>
      <w:rFonts w:cs="Times New Roman"/>
      <w:sz w:val="2"/>
    </w:rPr>
  </w:style>
  <w:style w:type="character" w:styleId="Hyperlink">
    <w:name w:val="Hyperlink"/>
    <w:basedOn w:val="DefaultParagraphFont"/>
    <w:uiPriority w:val="99"/>
    <w:rsid w:val="00C135EE"/>
    <w:rPr>
      <w:rFonts w:cs="Times New Roman"/>
      <w:color w:val="0000FF"/>
      <w:u w:val="single"/>
    </w:rPr>
  </w:style>
  <w:style w:type="paragraph" w:customStyle="1" w:styleId="a">
    <w:name w:val="Îáû÷íûé"/>
    <w:uiPriority w:val="99"/>
    <w:rsid w:val="00CD563A"/>
    <w:pPr>
      <w:autoSpaceDE w:val="0"/>
      <w:autoSpaceDN w:val="0"/>
    </w:pPr>
    <w:rPr>
      <w:sz w:val="20"/>
      <w:szCs w:val="20"/>
      <w:lang w:val="ru-RU"/>
    </w:rPr>
  </w:style>
  <w:style w:type="paragraph" w:styleId="BalloonText">
    <w:name w:val="Balloon Text"/>
    <w:basedOn w:val="Normal"/>
    <w:link w:val="BalloonTextChar"/>
    <w:uiPriority w:val="99"/>
    <w:semiHidden/>
    <w:unhideWhenUsed/>
    <w:rsid w:val="00D077E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077EE"/>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4</Pages>
  <Words>1443</Words>
  <Characters>8226</Characters>
  <Application>Microsoft Macintosh Word</Application>
  <DocSecurity>0</DocSecurity>
  <Lines>68</Lines>
  <Paragraphs>19</Paragraphs>
  <ScaleCrop>false</ScaleCrop>
  <Company>OSU - Ag Ed, Comm, Leadership</Company>
  <LinksUpToDate>false</LinksUpToDate>
  <CharactersWithSpaces>9650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Examining the Views of Multiple Stakeholders to Improve the Internship Experience of Agropastoralist Students in Mali: Implications for Practice  </dc:title>
  <dc:subject/>
  <dc:creator>M. Craig Edwards</dc:creator>
  <cp:keywords/>
  <dc:description/>
  <cp:lastModifiedBy>Shane Robinson</cp:lastModifiedBy>
  <cp:revision>3</cp:revision>
  <cp:lastPrinted>2012-10-19T02:31:00Z</cp:lastPrinted>
  <dcterms:created xsi:type="dcterms:W3CDTF">2013-02-27T19:15:00Z</dcterms:created>
  <dcterms:modified xsi:type="dcterms:W3CDTF">2013-02-27T19:39:00Z</dcterms:modified>
</cp:coreProperties>
</file>