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026A" w:rsidRPr="000E54E3" w:rsidRDefault="00D5026A" w:rsidP="00D5026A">
      <w:pPr>
        <w:jc w:val="right"/>
        <w:rPr>
          <w:rFonts w:cs="Times New Roman"/>
          <w:i/>
          <w:szCs w:val="24"/>
        </w:rPr>
      </w:pPr>
      <w:r>
        <w:rPr>
          <w:rFonts w:cs="Times New Roman"/>
          <w:i/>
          <w:szCs w:val="24"/>
        </w:rPr>
        <w:t>Innovative Idea Poster</w:t>
      </w:r>
    </w:p>
    <w:p w:rsidR="007E1FA4" w:rsidRDefault="0036060A" w:rsidP="007E1FA4">
      <w:pPr>
        <w:pStyle w:val="NoSpacing"/>
        <w:jc w:val="center"/>
        <w:rPr>
          <w:b/>
        </w:rPr>
      </w:pPr>
      <w:bookmarkStart w:id="0" w:name="_GoBack"/>
      <w:r>
        <w:rPr>
          <w:b/>
        </w:rPr>
        <w:t>A Dichotomous Key: Helping Students find their Path in SAE</w:t>
      </w:r>
    </w:p>
    <w:bookmarkEnd w:id="0"/>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417EE9" w:rsidRDefault="00417EE9" w:rsidP="00D5026A">
      <w:pPr>
        <w:spacing w:after="0" w:line="240" w:lineRule="auto"/>
        <w:jc w:val="center"/>
        <w:rPr>
          <w:rFonts w:cs="Times New Roman"/>
          <w:szCs w:val="24"/>
        </w:rPr>
      </w:pPr>
    </w:p>
    <w:p w:rsidR="00417EE9" w:rsidRDefault="00417EE9" w:rsidP="00D5026A">
      <w:pPr>
        <w:spacing w:after="0" w:line="240" w:lineRule="auto"/>
        <w:jc w:val="center"/>
        <w:rPr>
          <w:rFonts w:cs="Times New Roman"/>
          <w:szCs w:val="24"/>
        </w:rPr>
      </w:pPr>
    </w:p>
    <w:p w:rsidR="00417EE9" w:rsidRDefault="00417EE9"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417EE9" w:rsidRPr="000301BC" w:rsidRDefault="00417EE9" w:rsidP="00417EE9">
      <w:pPr>
        <w:spacing w:after="0" w:line="240" w:lineRule="auto"/>
        <w:jc w:val="center"/>
        <w:rPr>
          <w:rFonts w:cs="Times New Roman"/>
          <w:szCs w:val="24"/>
        </w:rPr>
      </w:pPr>
      <w:r w:rsidRPr="000301BC">
        <w:rPr>
          <w:rFonts w:cs="Times New Roman"/>
          <w:szCs w:val="24"/>
        </w:rPr>
        <w:t>Eric D</w:t>
      </w:r>
      <w:r>
        <w:rPr>
          <w:rFonts w:cs="Times New Roman"/>
          <w:szCs w:val="24"/>
        </w:rPr>
        <w:t xml:space="preserve">.  </w:t>
      </w:r>
      <w:r w:rsidRPr="000301BC">
        <w:rPr>
          <w:rFonts w:cs="Times New Roman"/>
          <w:szCs w:val="24"/>
        </w:rPr>
        <w:t>Rubenstein</w:t>
      </w:r>
      <w:r>
        <w:rPr>
          <w:rFonts w:cs="Times New Roman"/>
          <w:szCs w:val="24"/>
        </w:rPr>
        <w:t>, Graduate Assistant</w:t>
      </w:r>
    </w:p>
    <w:p w:rsidR="00417EE9" w:rsidRDefault="00417EE9" w:rsidP="00417EE9">
      <w:pPr>
        <w:spacing w:after="0" w:line="240" w:lineRule="auto"/>
        <w:jc w:val="center"/>
        <w:rPr>
          <w:rFonts w:cs="Times New Roman"/>
          <w:szCs w:val="24"/>
        </w:rPr>
      </w:pPr>
      <w:r>
        <w:rPr>
          <w:rFonts w:cs="Times New Roman"/>
          <w:szCs w:val="24"/>
        </w:rPr>
        <w:t>erubenstein@ufl.edu</w:t>
      </w:r>
    </w:p>
    <w:p w:rsidR="007E1FA4" w:rsidRDefault="007E1FA4" w:rsidP="007E1FA4">
      <w:pPr>
        <w:spacing w:after="0" w:line="240" w:lineRule="auto"/>
        <w:jc w:val="center"/>
        <w:rPr>
          <w:rFonts w:cs="Times New Roman"/>
          <w:szCs w:val="24"/>
        </w:rPr>
      </w:pPr>
      <w:r w:rsidRPr="000301BC">
        <w:rPr>
          <w:rFonts w:cs="Times New Roman"/>
          <w:szCs w:val="24"/>
        </w:rPr>
        <w:t>Andrew C</w:t>
      </w:r>
      <w:r w:rsidR="004D160F">
        <w:rPr>
          <w:rFonts w:cs="Times New Roman"/>
          <w:szCs w:val="24"/>
        </w:rPr>
        <w:t xml:space="preserve">.  </w:t>
      </w:r>
      <w:r w:rsidRPr="000301BC">
        <w:rPr>
          <w:rFonts w:cs="Times New Roman"/>
          <w:szCs w:val="24"/>
        </w:rPr>
        <w:t>Thoron</w:t>
      </w:r>
      <w:r>
        <w:rPr>
          <w:rFonts w:cs="Times New Roman"/>
          <w:szCs w:val="24"/>
        </w:rPr>
        <w:t>, Assistant Professor</w:t>
      </w:r>
    </w:p>
    <w:p w:rsidR="007E1FA4" w:rsidRDefault="007E1FA4" w:rsidP="007E1FA4">
      <w:pPr>
        <w:spacing w:after="0" w:line="240" w:lineRule="auto"/>
        <w:jc w:val="center"/>
        <w:rPr>
          <w:rFonts w:cs="Times New Roman"/>
          <w:szCs w:val="24"/>
        </w:rPr>
      </w:pPr>
      <w:r w:rsidRPr="007E1FA4">
        <w:rPr>
          <w:rFonts w:cs="Times New Roman"/>
          <w:szCs w:val="24"/>
        </w:rPr>
        <w:t>athoron@ufl.edu</w:t>
      </w: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Pr="000301BC"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r>
        <w:rPr>
          <w:rFonts w:cs="Times New Roman"/>
          <w:szCs w:val="24"/>
        </w:rPr>
        <w:t>University of Florida</w:t>
      </w:r>
    </w:p>
    <w:p w:rsidR="00D5026A" w:rsidRPr="000301BC" w:rsidRDefault="00D5026A" w:rsidP="00D5026A">
      <w:pPr>
        <w:spacing w:after="0" w:line="240" w:lineRule="auto"/>
        <w:jc w:val="center"/>
        <w:rPr>
          <w:rFonts w:cs="Times New Roman"/>
          <w:szCs w:val="24"/>
        </w:rPr>
      </w:pPr>
      <w:r w:rsidRPr="000301BC">
        <w:rPr>
          <w:rFonts w:cs="Times New Roman"/>
          <w:szCs w:val="24"/>
        </w:rPr>
        <w:t>PO Box 110540</w:t>
      </w:r>
    </w:p>
    <w:p w:rsidR="00D5026A" w:rsidRPr="000301BC" w:rsidRDefault="00D5026A" w:rsidP="00D5026A">
      <w:pPr>
        <w:spacing w:after="0" w:line="240" w:lineRule="auto"/>
        <w:jc w:val="center"/>
        <w:rPr>
          <w:rFonts w:cs="Times New Roman"/>
          <w:szCs w:val="24"/>
        </w:rPr>
      </w:pPr>
      <w:r w:rsidRPr="000301BC">
        <w:rPr>
          <w:rFonts w:cs="Times New Roman"/>
          <w:szCs w:val="24"/>
        </w:rPr>
        <w:t>Gainesville, FL 32611-0540</w:t>
      </w:r>
    </w:p>
    <w:p w:rsidR="00D5026A" w:rsidRPr="000301BC" w:rsidRDefault="00D5026A" w:rsidP="00D5026A">
      <w:pPr>
        <w:spacing w:line="240" w:lineRule="auto"/>
        <w:jc w:val="center"/>
        <w:rPr>
          <w:rFonts w:cs="Times New Roman"/>
          <w:szCs w:val="24"/>
        </w:rPr>
      </w:pPr>
      <w:r>
        <w:rPr>
          <w:rFonts w:cs="Times New Roman"/>
          <w:szCs w:val="24"/>
        </w:rPr>
        <w:t>Telephone: (</w:t>
      </w:r>
      <w:r w:rsidRPr="000301BC">
        <w:rPr>
          <w:rFonts w:cs="Times New Roman"/>
          <w:szCs w:val="24"/>
        </w:rPr>
        <w:t>352</w:t>
      </w:r>
      <w:r>
        <w:rPr>
          <w:rFonts w:cs="Times New Roman"/>
          <w:szCs w:val="24"/>
        </w:rPr>
        <w:t>) 273-3425</w:t>
      </w:r>
    </w:p>
    <w:p w:rsidR="00D5026A" w:rsidRDefault="00D5026A" w:rsidP="00D5026A">
      <w:pPr>
        <w:spacing w:after="0" w:line="240" w:lineRule="auto"/>
        <w:jc w:val="center"/>
        <w:rPr>
          <w:rFonts w:cs="Times New Roman"/>
          <w:szCs w:val="24"/>
        </w:rPr>
      </w:pPr>
    </w:p>
    <w:p w:rsidR="00D5026A" w:rsidRDefault="00D5026A">
      <w:pPr>
        <w:rPr>
          <w:b/>
        </w:rPr>
      </w:pPr>
    </w:p>
    <w:p w:rsidR="0036060A" w:rsidRDefault="0036060A" w:rsidP="0036060A">
      <w:pPr>
        <w:pStyle w:val="NoSpacing"/>
        <w:jc w:val="center"/>
        <w:rPr>
          <w:b/>
        </w:rPr>
      </w:pPr>
      <w:r>
        <w:rPr>
          <w:b/>
        </w:rPr>
        <w:lastRenderedPageBreak/>
        <w:t>A Dichotomous Key: Helping Students find their Path in SAE</w:t>
      </w:r>
    </w:p>
    <w:p w:rsidR="006C650B" w:rsidRDefault="006C650B" w:rsidP="00DE7990">
      <w:pPr>
        <w:pStyle w:val="NoSpacing"/>
        <w:jc w:val="center"/>
        <w:rPr>
          <w:b/>
        </w:rPr>
      </w:pPr>
    </w:p>
    <w:p w:rsidR="00E1594E" w:rsidRDefault="00E1594E" w:rsidP="00DE7990">
      <w:pPr>
        <w:pStyle w:val="NoSpacing"/>
        <w:jc w:val="center"/>
        <w:rPr>
          <w:b/>
        </w:rPr>
      </w:pPr>
      <w:r w:rsidRPr="00DE7990">
        <w:rPr>
          <w:b/>
        </w:rPr>
        <w:t>Introduction</w:t>
      </w:r>
    </w:p>
    <w:p w:rsidR="00417EE9" w:rsidRDefault="00417EE9" w:rsidP="00C367CA">
      <w:pPr>
        <w:pStyle w:val="NoSpacing"/>
        <w:jc w:val="center"/>
      </w:pPr>
    </w:p>
    <w:p w:rsidR="00417EE9" w:rsidRDefault="00A31297" w:rsidP="003C2809">
      <w:pPr>
        <w:pStyle w:val="NoSpacing"/>
        <w:ind w:firstLine="720"/>
      </w:pPr>
      <w:r>
        <w:t xml:space="preserve">Supervised </w:t>
      </w:r>
      <w:r w:rsidRPr="00D83D2B">
        <w:t xml:space="preserve">agricultural experience (SAE) </w:t>
      </w:r>
      <w:r>
        <w:t xml:space="preserve">programs are well-planned, adult-supervised, and </w:t>
      </w:r>
      <w:r w:rsidRPr="00D83D2B">
        <w:t xml:space="preserve">agriculturally-based programs where students </w:t>
      </w:r>
      <w:r w:rsidR="0036060A">
        <w:t>engage</w:t>
      </w:r>
      <w:r>
        <w:t xml:space="preserve"> in</w:t>
      </w:r>
      <w:r w:rsidRPr="00D83D2B">
        <w:t xml:space="preserve"> keepi</w:t>
      </w:r>
      <w:r w:rsidR="0036060A">
        <w:t>ng complete records and apply</w:t>
      </w:r>
      <w:r w:rsidRPr="00D83D2B">
        <w:t xml:space="preserve"> agricultural</w:t>
      </w:r>
      <w:r>
        <w:t xml:space="preserve"> concepts that are</w:t>
      </w:r>
      <w:r w:rsidRPr="0054186F">
        <w:t xml:space="preserve"> taug</w:t>
      </w:r>
      <w:r>
        <w:t xml:space="preserve">ht through classroom instruction (Camp, Clarke, &amp; Fallon, 2000; Stimson, 1915; Phipps, Osborne, Dyer, &amp; Ball, 2008). When originally introduced to the agricultural education profession, </w:t>
      </w:r>
      <w:r w:rsidR="0036060A">
        <w:t>the project method was</w:t>
      </w:r>
      <w:r>
        <w:t xml:space="preserve"> to be completed by every student enrolled in the agricultural education program (Stimson, 1915).  </w:t>
      </w:r>
      <w:r w:rsidR="00337F78">
        <w:t>From</w:t>
      </w:r>
      <w:r>
        <w:t xml:space="preserve"> 1915</w:t>
      </w:r>
      <w:r w:rsidR="00337F78">
        <w:t xml:space="preserve"> to present day</w:t>
      </w:r>
      <w:r>
        <w:t xml:space="preserve">, several changes have occurred within SAE programs such as: name changes, </w:t>
      </w:r>
      <w:r w:rsidR="0036060A">
        <w:t>strengthened</w:t>
      </w:r>
      <w:r>
        <w:t xml:space="preserve"> academic focus, and new SAE </w:t>
      </w:r>
      <w:r w:rsidR="0036060A">
        <w:t>types</w:t>
      </w:r>
      <w:r>
        <w:t xml:space="preserve"> (Phipps et al., 2008).  </w:t>
      </w:r>
      <w:r w:rsidR="00337F78">
        <w:t>Since the early 1980’s</w:t>
      </w:r>
      <w:r>
        <w:t>, teacher and student participation in SAE programs has decreased (</w:t>
      </w:r>
      <w:proofErr w:type="spellStart"/>
      <w:r>
        <w:t>Croom</w:t>
      </w:r>
      <w:proofErr w:type="spellEnd"/>
      <w:r>
        <w:t xml:space="preserve">, 2008; Dyer &amp; Osborne, 1995; </w:t>
      </w:r>
      <w:proofErr w:type="spellStart"/>
      <w:r>
        <w:t>Kotrlik</w:t>
      </w:r>
      <w:proofErr w:type="spellEnd"/>
      <w:r>
        <w:t xml:space="preserve">, Parton, &amp; </w:t>
      </w:r>
      <w:proofErr w:type="spellStart"/>
      <w:r>
        <w:t>Leile</w:t>
      </w:r>
      <w:proofErr w:type="spellEnd"/>
      <w:r>
        <w:t xml:space="preserve">, 1986; </w:t>
      </w:r>
      <w:proofErr w:type="spellStart"/>
      <w:r>
        <w:t>Leising</w:t>
      </w:r>
      <w:proofErr w:type="spellEnd"/>
      <w:r>
        <w:t xml:space="preserve"> &amp; </w:t>
      </w:r>
      <w:proofErr w:type="spellStart"/>
      <w:r>
        <w:t>Zilbert</w:t>
      </w:r>
      <w:proofErr w:type="spellEnd"/>
      <w:r>
        <w:t xml:space="preserve">, 1985; Miller, 1980; Phipps et al., 2008; </w:t>
      </w:r>
      <w:proofErr w:type="spellStart"/>
      <w:r>
        <w:t>Retallick</w:t>
      </w:r>
      <w:proofErr w:type="spellEnd"/>
      <w:r>
        <w:t xml:space="preserve"> &amp; Martin, 2008). Dyer and Osborne (1995) </w:t>
      </w:r>
      <w:r w:rsidR="007A3775">
        <w:t>asserted</w:t>
      </w:r>
      <w:r>
        <w:t xml:space="preserve"> that teachers reported difficulty in developing SAE programs for all school-based agricultural education (SBAE) students.</w:t>
      </w:r>
      <w:r w:rsidR="00337F78">
        <w:t xml:space="preserve">  Further </w:t>
      </w:r>
      <w:r w:rsidR="00D81A9B">
        <w:t xml:space="preserve">Dyer and Osborne (1996) poised that the demands on teachers’ time has affected the quality of a student’s SAE program and the teacher’s SAE supervision/management techniques. </w:t>
      </w:r>
      <w:r w:rsidR="0036060A">
        <w:t>This research identified</w:t>
      </w:r>
      <w:r w:rsidR="007A3775">
        <w:t xml:space="preserve"> </w:t>
      </w:r>
      <w:r>
        <w:t>a need to adapt SAE programs to meet the education requirements of SBAE students</w:t>
      </w:r>
      <w:r w:rsidR="007A3775">
        <w:t xml:space="preserve"> (</w:t>
      </w:r>
      <w:r>
        <w:t xml:space="preserve">Dyer &amp; Osborne, 1996; </w:t>
      </w:r>
      <w:proofErr w:type="spellStart"/>
      <w:r>
        <w:t>Retallick</w:t>
      </w:r>
      <w:proofErr w:type="spellEnd"/>
      <w:r>
        <w:t xml:space="preserve"> &amp; Marti</w:t>
      </w:r>
      <w:r w:rsidR="00A10A86">
        <w:t xml:space="preserve">n, 2008; Roberts &amp; </w:t>
      </w:r>
      <w:proofErr w:type="spellStart"/>
      <w:r w:rsidR="00A10A86">
        <w:t>Harlin</w:t>
      </w:r>
      <w:proofErr w:type="spellEnd"/>
      <w:r w:rsidR="00A10A86">
        <w:t>, 2007</w:t>
      </w:r>
      <w:r>
        <w:t xml:space="preserve">). To assist in alleviating the difficulty in developing SAE programs for all SBAE students, the </w:t>
      </w:r>
      <w:r w:rsidR="0036060A">
        <w:t>authors</w:t>
      </w:r>
      <w:r>
        <w:t xml:space="preserve"> have developed a dichotomous key for </w:t>
      </w:r>
      <w:r w:rsidR="0036060A">
        <w:t xml:space="preserve">school-based agriculture </w:t>
      </w:r>
      <w:r>
        <w:t xml:space="preserve">students to complete during the planning portion of the SAE development process. </w:t>
      </w:r>
    </w:p>
    <w:p w:rsidR="00417EE9" w:rsidRDefault="00417EE9" w:rsidP="00C367CA">
      <w:pPr>
        <w:pStyle w:val="NoSpacing"/>
        <w:jc w:val="center"/>
      </w:pPr>
    </w:p>
    <w:p w:rsidR="00C367CA" w:rsidRPr="00C367CA" w:rsidRDefault="00C367CA" w:rsidP="00C367CA">
      <w:pPr>
        <w:pStyle w:val="NoSpacing"/>
        <w:jc w:val="center"/>
        <w:rPr>
          <w:b/>
        </w:rPr>
      </w:pPr>
      <w:r w:rsidRPr="00C367CA">
        <w:rPr>
          <w:b/>
        </w:rPr>
        <w:t>How it works</w:t>
      </w:r>
    </w:p>
    <w:p w:rsidR="00417EE9" w:rsidRDefault="00417EE9" w:rsidP="00C367CA">
      <w:pPr>
        <w:pStyle w:val="NoSpacing"/>
        <w:jc w:val="center"/>
      </w:pPr>
    </w:p>
    <w:p w:rsidR="00D81A9B" w:rsidRDefault="00D81A9B" w:rsidP="003C2809">
      <w:pPr>
        <w:pStyle w:val="NoSpacing"/>
        <w:ind w:firstLine="720"/>
      </w:pPr>
      <w:r>
        <w:t xml:space="preserve">In part, SAE is not done well because of the management practices </w:t>
      </w:r>
      <w:r w:rsidR="003C2809">
        <w:t xml:space="preserve">and time </w:t>
      </w:r>
      <w:r>
        <w:t xml:space="preserve">required of the instructor. The SAE Dichotomous Key allows for the teacher to </w:t>
      </w:r>
      <w:r w:rsidR="003C2809">
        <w:t>provide a s</w:t>
      </w:r>
      <w:r>
        <w:t xml:space="preserve">tudent </w:t>
      </w:r>
      <w:r w:rsidR="003C2809">
        <w:t>with an instructional tool that they work through to engage in the SAE program development process.</w:t>
      </w:r>
      <w:r>
        <w:t xml:space="preserve"> </w:t>
      </w:r>
      <w:r w:rsidR="003C2809">
        <w:t>That in turn decreases the time that the teacher will spend assisting each student with developing an SAE program. This allows the student and teacher to spend less time on the development of the SAE program. Therefore, allowing the focus of the teacher’s interaction with a student to be on how the SAE program will be implemented.</w:t>
      </w:r>
    </w:p>
    <w:p w:rsidR="003C2809" w:rsidRDefault="00FF50D9" w:rsidP="003C2809">
      <w:pPr>
        <w:pStyle w:val="NoSpacing"/>
        <w:ind w:firstLine="720"/>
      </w:pPr>
      <w:r>
        <w:t>The SAE Dichotomous Key is an innovative instrument developed to assist students in identifying SAE programs that best suit their interest</w:t>
      </w:r>
      <w:r w:rsidR="00C83D36">
        <w:t>s</w:t>
      </w:r>
      <w:r>
        <w:t xml:space="preserve"> </w:t>
      </w:r>
      <w:r w:rsidR="00D81A9B">
        <w:t>based upon the resources available to the student</w:t>
      </w:r>
      <w:r>
        <w:t xml:space="preserve">.  </w:t>
      </w:r>
      <w:r w:rsidR="00A01C84">
        <w:t>T</w:t>
      </w:r>
      <w:r>
        <w:t xml:space="preserve">he researchers developed this instrument to facilitate students in individually identifying an SAE program topic. Finally, a compiled list of SAE programs was included to provide examples of SAE programs in each </w:t>
      </w:r>
      <w:r w:rsidR="0036060A">
        <w:t>of the agricultural career pathways</w:t>
      </w:r>
      <w:r>
        <w:t xml:space="preserve"> (Animal </w:t>
      </w:r>
      <w:r w:rsidR="0036060A">
        <w:t>Systems;</w:t>
      </w:r>
      <w:r>
        <w:t xml:space="preserve"> Plant </w:t>
      </w:r>
      <w:r w:rsidR="0036060A">
        <w:t>Systems; Environmental Services/Natural Resource Systems; Food Products and Processing Systems; Power, Structural and Technical Systems; and Social Systems</w:t>
      </w:r>
      <w:r>
        <w:t xml:space="preserve">) and type (entrepreneurship, placement, research, and exploratory). </w:t>
      </w:r>
    </w:p>
    <w:p w:rsidR="0036060A" w:rsidRDefault="00030C2C" w:rsidP="003C2809">
      <w:pPr>
        <w:pStyle w:val="NoSpacing"/>
        <w:ind w:firstLine="720"/>
      </w:pPr>
      <w:r>
        <w:t xml:space="preserve">Before using the SAE Dichotomous Key, teachers must complete an introductory lesson on the meaning and purpose of SAE programs.  </w:t>
      </w:r>
      <w:r w:rsidR="0036060A">
        <w:t>The lesson</w:t>
      </w:r>
      <w:r w:rsidR="000C04CD">
        <w:t xml:space="preserve"> will ensure that students have a fundamental understanding of the components of an SAE program. Students should then be given time in class to complete the SAE Dichotomous Key. The students should also be instructed that more than one SAE category and type </w:t>
      </w:r>
      <w:r w:rsidR="0036060A">
        <w:t>may be</w:t>
      </w:r>
      <w:r w:rsidR="000C04CD">
        <w:t xml:space="preserve"> identified. </w:t>
      </w:r>
    </w:p>
    <w:p w:rsidR="00C83D36" w:rsidRDefault="00C83D36" w:rsidP="003C2809">
      <w:pPr>
        <w:pStyle w:val="NoSpacing"/>
        <w:ind w:firstLine="720"/>
      </w:pPr>
      <w:r>
        <w:lastRenderedPageBreak/>
        <w:t xml:space="preserve">There are </w:t>
      </w:r>
      <w:r w:rsidR="00D05810">
        <w:t>four</w:t>
      </w:r>
      <w:r>
        <w:t xml:space="preserve"> steps to the usage of the SAE Dichotomous Key. First</w:t>
      </w:r>
      <w:r w:rsidR="00A01C84">
        <w:t xml:space="preserve">, </w:t>
      </w:r>
      <w:r>
        <w:t xml:space="preserve">a </w:t>
      </w:r>
      <w:r w:rsidR="00A01C84">
        <w:t xml:space="preserve">student </w:t>
      </w:r>
      <w:r w:rsidR="00D85E37">
        <w:t>is required to</w:t>
      </w:r>
      <w:r>
        <w:t xml:space="preserve"> </w:t>
      </w:r>
      <w:r w:rsidR="00A01C84">
        <w:t xml:space="preserve">self-identify </w:t>
      </w:r>
      <w:r>
        <w:t>if they have a pre-existing program that could be established as their SAE program. If the program is agriculturally-related, the student is instructed to describe the project on a separate sheet of paper. The agricultural educator can collect the</w:t>
      </w:r>
      <w:r w:rsidR="00D85E37">
        <w:t xml:space="preserve"> student’s response</w:t>
      </w:r>
      <w:r>
        <w:t xml:space="preserve"> at the end of the class period. However, the student will continue to the second step if they do not have an existing idea or their idea is not agriculturally related. </w:t>
      </w:r>
    </w:p>
    <w:p w:rsidR="00C83D36" w:rsidRDefault="00C83D36" w:rsidP="003C2809">
      <w:pPr>
        <w:pStyle w:val="NoSpacing"/>
        <w:ind w:firstLine="720"/>
      </w:pPr>
      <w:r>
        <w:t xml:space="preserve">Second, students </w:t>
      </w:r>
      <w:r w:rsidR="00D85E37">
        <w:t>are required to</w:t>
      </w:r>
      <w:r>
        <w:t xml:space="preserve"> identify the agricultural career clusters in which they have an interest.  The agricultural career clusters are presented as statements to the students. For example: Social Science – I enjoy working with people. </w:t>
      </w:r>
    </w:p>
    <w:p w:rsidR="00D05810" w:rsidRDefault="00D05810" w:rsidP="003C2809">
      <w:pPr>
        <w:pStyle w:val="NoSpacing"/>
        <w:ind w:firstLine="720"/>
      </w:pPr>
      <w:r>
        <w:t xml:space="preserve">Third, a student </w:t>
      </w:r>
      <w:r w:rsidR="006B0CB5">
        <w:t>is required to</w:t>
      </w:r>
      <w:r>
        <w:t xml:space="preserve"> select statements that accurately describe their available resources to complete an SAE program within an agricultural career cluster. Based upon the statements selected, students are presented with an SAE category (agricultural career </w:t>
      </w:r>
      <w:r w:rsidR="0036060A">
        <w:t>pathways</w:t>
      </w:r>
      <w:r>
        <w:t xml:space="preserve">) and type. Students may identify multiple types of projects within each agricultural career </w:t>
      </w:r>
      <w:r w:rsidR="0036060A">
        <w:t>pathways</w:t>
      </w:r>
      <w:r>
        <w:t xml:space="preserve">.  However, the student will continue to refine the individual components of the SAE program in step four. </w:t>
      </w:r>
    </w:p>
    <w:p w:rsidR="00FF50D9" w:rsidRDefault="0036060A" w:rsidP="003C2809">
      <w:pPr>
        <w:pStyle w:val="NoSpacing"/>
        <w:ind w:firstLine="720"/>
      </w:pPr>
      <w:r>
        <w:t xml:space="preserve">Finally, </w:t>
      </w:r>
      <w:r w:rsidR="00D05810">
        <w:t xml:space="preserve">the student is provided with a complied list of example SAE programs that have been completed by previous school-based agricultural education students. </w:t>
      </w:r>
      <w:r w:rsidR="006B0CB5">
        <w:t xml:space="preserve">The compiled list </w:t>
      </w:r>
      <w:r>
        <w:t>of s</w:t>
      </w:r>
      <w:r w:rsidR="006B0CB5">
        <w:t xml:space="preserve">pecific examples </w:t>
      </w:r>
      <w:r>
        <w:t xml:space="preserve">is utilized for students to </w:t>
      </w:r>
      <w:r w:rsidR="006B0CB5">
        <w:t xml:space="preserve">modify and adjust </w:t>
      </w:r>
      <w:r>
        <w:t>based upon</w:t>
      </w:r>
      <w:r w:rsidR="006B0CB5">
        <w:t xml:space="preserve"> their individualized interests. The student is then required to describe the SAE program on a separate sheet of paper.  </w:t>
      </w:r>
      <w:r w:rsidR="00337F78">
        <w:t xml:space="preserve">Therefore, the utilization of the SAE Dichotomous Key reduces an agricultural educator’s time commitment to working with each student on developing an SAE program. </w:t>
      </w:r>
    </w:p>
    <w:p w:rsidR="00417EE9" w:rsidRDefault="00417EE9" w:rsidP="00C367CA">
      <w:pPr>
        <w:pStyle w:val="NoSpacing"/>
        <w:jc w:val="center"/>
      </w:pPr>
    </w:p>
    <w:p w:rsidR="00C367CA" w:rsidRPr="00C367CA" w:rsidRDefault="00C367CA" w:rsidP="00C367CA">
      <w:pPr>
        <w:pStyle w:val="NoSpacing"/>
        <w:jc w:val="center"/>
        <w:rPr>
          <w:b/>
        </w:rPr>
      </w:pPr>
      <w:r>
        <w:rPr>
          <w:b/>
        </w:rPr>
        <w:t>Results to D</w:t>
      </w:r>
      <w:r w:rsidRPr="00C367CA">
        <w:rPr>
          <w:b/>
        </w:rPr>
        <w:t>ate/Implications</w:t>
      </w:r>
    </w:p>
    <w:p w:rsidR="00C367CA" w:rsidRDefault="00C367CA" w:rsidP="00C367CA">
      <w:pPr>
        <w:pStyle w:val="NoSpacing"/>
      </w:pPr>
    </w:p>
    <w:p w:rsidR="00417EE9" w:rsidRDefault="006B0CB5" w:rsidP="003C2809">
      <w:pPr>
        <w:pStyle w:val="NoSpacing"/>
        <w:ind w:firstLine="720"/>
      </w:pPr>
      <w:r>
        <w:t xml:space="preserve">Anecdotal evidence suggested that preservice and inservice teachers believed that the use of the SAE Dichotomous Key would assist students in developing an SAE program. Further, school-based agricultural education students that utilized the SAE Dichotomous Key were engaged in the development of an SAE program. </w:t>
      </w:r>
      <w:r w:rsidR="0036060A">
        <w:t xml:space="preserve">It has been qualitatively reported to the authors that the </w:t>
      </w:r>
      <w:r w:rsidR="00C75290">
        <w:t xml:space="preserve">utilization of the </w:t>
      </w:r>
      <w:r w:rsidR="0036060A">
        <w:t>SAE Dichotomous Key ha</w:t>
      </w:r>
      <w:r w:rsidR="00C75290">
        <w:t>s</w:t>
      </w:r>
      <w:r w:rsidR="0036060A">
        <w:t xml:space="preserve"> </w:t>
      </w:r>
      <w:r w:rsidR="00C75290">
        <w:t xml:space="preserve">reduced a teacher’s </w:t>
      </w:r>
      <w:r w:rsidR="0036060A">
        <w:t xml:space="preserve">time </w:t>
      </w:r>
      <w:r w:rsidR="00C75290">
        <w:t>needed to assist</w:t>
      </w:r>
      <w:r w:rsidR="0036060A">
        <w:t xml:space="preserve"> students </w:t>
      </w:r>
      <w:r w:rsidR="00C75290">
        <w:t>with the d</w:t>
      </w:r>
      <w:r w:rsidR="0036060A">
        <w:t>evelop</w:t>
      </w:r>
      <w:r w:rsidR="00C75290">
        <w:t>ment of</w:t>
      </w:r>
      <w:r w:rsidR="0036060A">
        <w:t xml:space="preserve"> SAE programs. </w:t>
      </w:r>
    </w:p>
    <w:p w:rsidR="00417EE9" w:rsidRDefault="00417EE9" w:rsidP="00C367CA">
      <w:pPr>
        <w:pStyle w:val="NoSpacing"/>
      </w:pPr>
    </w:p>
    <w:p w:rsidR="00C367CA" w:rsidRPr="00C367CA" w:rsidRDefault="00C367CA" w:rsidP="00C367CA">
      <w:pPr>
        <w:pStyle w:val="NoSpacing"/>
        <w:jc w:val="center"/>
        <w:rPr>
          <w:b/>
        </w:rPr>
      </w:pPr>
      <w:r w:rsidRPr="00C367CA">
        <w:rPr>
          <w:b/>
        </w:rPr>
        <w:t>Future Plans/Advi</w:t>
      </w:r>
      <w:r>
        <w:rPr>
          <w:b/>
        </w:rPr>
        <w:t>ce to O</w:t>
      </w:r>
      <w:r w:rsidRPr="00C367CA">
        <w:rPr>
          <w:b/>
        </w:rPr>
        <w:t>thers</w:t>
      </w:r>
    </w:p>
    <w:p w:rsidR="00417EE9" w:rsidRDefault="00417EE9" w:rsidP="00C367CA">
      <w:pPr>
        <w:pStyle w:val="NoSpacing"/>
        <w:jc w:val="center"/>
      </w:pPr>
    </w:p>
    <w:p w:rsidR="00417EE9" w:rsidRDefault="00527A49" w:rsidP="003C2809">
      <w:pPr>
        <w:pStyle w:val="NoSpacing"/>
        <w:ind w:firstLine="720"/>
      </w:pPr>
      <w:r>
        <w:t xml:space="preserve">When utilizing the SAE Dichotomous Key with school-based agricultural education students, agricultural educators must remind students that multiple SAE categories and types may be identified. Further, students should consult their parents regarding their available resources to conduct certain SAE program categories and types. The SAE Dichotomous Key will assist to alleviate inservice agricultural </w:t>
      </w:r>
      <w:r w:rsidR="00152FE5">
        <w:t>educators’</w:t>
      </w:r>
      <w:r>
        <w:t xml:space="preserve"> time constraints of SAE development. </w:t>
      </w:r>
    </w:p>
    <w:p w:rsidR="003C2809" w:rsidRDefault="003C2809" w:rsidP="00C367CA">
      <w:pPr>
        <w:pStyle w:val="NoSpacing"/>
        <w:jc w:val="center"/>
      </w:pPr>
    </w:p>
    <w:p w:rsidR="00C367CA" w:rsidRPr="00C367CA" w:rsidRDefault="00C367CA" w:rsidP="00C367CA">
      <w:pPr>
        <w:pStyle w:val="NoSpacing"/>
        <w:jc w:val="center"/>
        <w:rPr>
          <w:b/>
        </w:rPr>
      </w:pPr>
      <w:r w:rsidRPr="00C367CA">
        <w:rPr>
          <w:b/>
        </w:rPr>
        <w:t>Cost/Res</w:t>
      </w:r>
      <w:r>
        <w:rPr>
          <w:b/>
        </w:rPr>
        <w:t>ources N</w:t>
      </w:r>
      <w:r w:rsidRPr="00C367CA">
        <w:rPr>
          <w:b/>
        </w:rPr>
        <w:t>eeded</w:t>
      </w:r>
    </w:p>
    <w:p w:rsidR="00417EE9" w:rsidRDefault="00417EE9" w:rsidP="00C367CA">
      <w:pPr>
        <w:pStyle w:val="NoSpacing"/>
        <w:jc w:val="center"/>
      </w:pPr>
    </w:p>
    <w:p w:rsidR="00417EE9" w:rsidRDefault="00152FE5" w:rsidP="003C2809">
      <w:pPr>
        <w:pStyle w:val="NoSpacing"/>
        <w:ind w:firstLine="720"/>
      </w:pPr>
      <w:r>
        <w:t xml:space="preserve">The implementation of the SAE Dichotomous Key will require minimal expense for the copying of the documents. The SAE Dichotomous Key is a color copy that requires 10 x 14 copy paper. </w:t>
      </w:r>
    </w:p>
    <w:p w:rsidR="00A10A86" w:rsidRDefault="00A10A86" w:rsidP="00756141">
      <w:pPr>
        <w:pStyle w:val="NoSpacing"/>
        <w:jc w:val="center"/>
        <w:rPr>
          <w:b/>
        </w:rPr>
      </w:pPr>
    </w:p>
    <w:p w:rsidR="00A10A86" w:rsidRDefault="00A10A86" w:rsidP="00756141">
      <w:pPr>
        <w:pStyle w:val="NoSpacing"/>
        <w:jc w:val="center"/>
        <w:rPr>
          <w:b/>
        </w:rPr>
      </w:pPr>
    </w:p>
    <w:p w:rsidR="00C367CA" w:rsidRPr="00756141" w:rsidRDefault="00C367CA" w:rsidP="00756141">
      <w:pPr>
        <w:pStyle w:val="NoSpacing"/>
        <w:jc w:val="center"/>
        <w:rPr>
          <w:b/>
        </w:rPr>
      </w:pPr>
      <w:r w:rsidRPr="00756141">
        <w:rPr>
          <w:b/>
        </w:rPr>
        <w:lastRenderedPageBreak/>
        <w:t>References</w:t>
      </w:r>
    </w:p>
    <w:p w:rsidR="00671EAF" w:rsidRDefault="00671EAF" w:rsidP="00756141">
      <w:pPr>
        <w:pStyle w:val="NoSpacing"/>
      </w:pPr>
    </w:p>
    <w:p w:rsidR="00756141" w:rsidRPr="00756141" w:rsidRDefault="00756141" w:rsidP="00756141">
      <w:pPr>
        <w:pStyle w:val="NoSpacing"/>
        <w:ind w:left="720" w:hanging="720"/>
      </w:pPr>
      <w:r>
        <w:t xml:space="preserve">Camp, W. G., Clarke, A., &amp; Fallon, M. (2000). Revisiting supervised agricultural experiences. </w:t>
      </w:r>
      <w:r>
        <w:rPr>
          <w:i/>
        </w:rPr>
        <w:t>Journal of Agricultural Education, 41</w:t>
      </w:r>
      <w:r>
        <w:t>(3), 13-22. doi:10.5032/jae.2000.03013</w:t>
      </w:r>
    </w:p>
    <w:p w:rsidR="00756141" w:rsidRDefault="00756141" w:rsidP="00756141">
      <w:pPr>
        <w:pStyle w:val="NoSpacing"/>
        <w:ind w:left="720" w:hanging="720"/>
      </w:pPr>
    </w:p>
    <w:p w:rsidR="00756141" w:rsidRPr="00756141" w:rsidRDefault="00756141" w:rsidP="00756141">
      <w:pPr>
        <w:pStyle w:val="NoSpacing"/>
        <w:ind w:left="720" w:hanging="720"/>
      </w:pPr>
      <w:proofErr w:type="spellStart"/>
      <w:proofErr w:type="gramStart"/>
      <w:r>
        <w:t>Croom</w:t>
      </w:r>
      <w:proofErr w:type="spellEnd"/>
      <w:r>
        <w:t>, D. B. (2008).</w:t>
      </w:r>
      <w:proofErr w:type="gramEnd"/>
      <w:r>
        <w:t xml:space="preserve"> </w:t>
      </w:r>
      <w:proofErr w:type="gramStart"/>
      <w:r>
        <w:t>The development of the integrated three-component model of agricultural education.</w:t>
      </w:r>
      <w:proofErr w:type="gramEnd"/>
      <w:r>
        <w:t xml:space="preserve"> </w:t>
      </w:r>
      <w:r>
        <w:rPr>
          <w:i/>
        </w:rPr>
        <w:t>Journal of Agricultural Education, 49</w:t>
      </w:r>
      <w:r>
        <w:t>(1), 110-120. doi:10.5032/jae.2008.01110</w:t>
      </w:r>
    </w:p>
    <w:p w:rsidR="00756141" w:rsidRDefault="00756141" w:rsidP="00756141">
      <w:pPr>
        <w:pStyle w:val="NoSpacing"/>
        <w:ind w:left="720" w:hanging="720"/>
      </w:pPr>
    </w:p>
    <w:p w:rsidR="00756141" w:rsidRDefault="00756141" w:rsidP="00756141">
      <w:pPr>
        <w:pStyle w:val="NoSpacing"/>
        <w:ind w:left="720" w:hanging="720"/>
      </w:pPr>
      <w:proofErr w:type="gramStart"/>
      <w:r>
        <w:t>Dyer, J. E., &amp; Osborne, E. W. (1996).</w:t>
      </w:r>
      <w:proofErr w:type="gramEnd"/>
      <w:r>
        <w:t xml:space="preserve"> </w:t>
      </w:r>
      <w:proofErr w:type="gramStart"/>
      <w:r>
        <w:t>Developing a model for supervised agricultural experience program quality: A synthesis of research.</w:t>
      </w:r>
      <w:proofErr w:type="gramEnd"/>
      <w:r>
        <w:t xml:space="preserve"> </w:t>
      </w:r>
      <w:r w:rsidRPr="006C6349">
        <w:rPr>
          <w:i/>
        </w:rPr>
        <w:t>Journal of Agricultural Education, 37</w:t>
      </w:r>
      <w:r>
        <w:t>(2), 24–33. doi:10.5032/jae.1996.02024</w:t>
      </w:r>
    </w:p>
    <w:p w:rsidR="00756141" w:rsidRDefault="00756141" w:rsidP="00756141">
      <w:pPr>
        <w:pStyle w:val="NoSpacing"/>
        <w:ind w:left="720" w:hanging="720"/>
      </w:pPr>
    </w:p>
    <w:p w:rsidR="00756141" w:rsidRDefault="00756141" w:rsidP="00756141">
      <w:pPr>
        <w:pStyle w:val="NoSpacing"/>
        <w:ind w:left="720" w:hanging="720"/>
      </w:pPr>
      <w:proofErr w:type="gramStart"/>
      <w:r>
        <w:t>Dyer, J. E., &amp; Osborne, E. W. (1995).</w:t>
      </w:r>
      <w:proofErr w:type="gramEnd"/>
      <w:r>
        <w:t xml:space="preserve"> Participation in supervised agricultural experience programs: A synthesis of research. </w:t>
      </w:r>
      <w:r>
        <w:rPr>
          <w:i/>
        </w:rPr>
        <w:t>Journal of Agricultural Education, 36</w:t>
      </w:r>
      <w:r>
        <w:t xml:space="preserve">(1), 6-14. doi:10.5032/jae.1995.01006 </w:t>
      </w:r>
    </w:p>
    <w:p w:rsidR="00756141" w:rsidRDefault="00756141" w:rsidP="00756141">
      <w:pPr>
        <w:pStyle w:val="NoSpacing"/>
        <w:ind w:left="720" w:hanging="720"/>
      </w:pPr>
    </w:p>
    <w:p w:rsidR="00756141" w:rsidRDefault="00756141" w:rsidP="00756141">
      <w:pPr>
        <w:pStyle w:val="NoSpacing"/>
        <w:ind w:left="720" w:hanging="720"/>
      </w:pPr>
      <w:proofErr w:type="spellStart"/>
      <w:proofErr w:type="gramStart"/>
      <w:r>
        <w:t>Kotrlik</w:t>
      </w:r>
      <w:proofErr w:type="spellEnd"/>
      <w:r>
        <w:t xml:space="preserve">, J. W., Parton, G., &amp; </w:t>
      </w:r>
      <w:proofErr w:type="spellStart"/>
      <w:r>
        <w:t>Leile</w:t>
      </w:r>
      <w:proofErr w:type="spellEnd"/>
      <w:r>
        <w:t>, M. (1986).</w:t>
      </w:r>
      <w:proofErr w:type="gramEnd"/>
      <w:r>
        <w:t xml:space="preserve"> Factors associated with knowledge level attained by vocational agriculture II students. </w:t>
      </w:r>
      <w:r>
        <w:rPr>
          <w:i/>
        </w:rPr>
        <w:t>Journal of the American Association of Teacher Educators in Agriculture, 27</w:t>
      </w:r>
      <w:r>
        <w:t>(2), 34-49. doi:10.5031/jaatea.1986.02034</w:t>
      </w:r>
    </w:p>
    <w:p w:rsidR="00756141" w:rsidRDefault="00756141" w:rsidP="00756141">
      <w:pPr>
        <w:pStyle w:val="NoSpacing"/>
        <w:ind w:left="720" w:hanging="720"/>
        <w:rPr>
          <w:rFonts w:cs="Times New Roman"/>
          <w:szCs w:val="24"/>
        </w:rPr>
      </w:pPr>
    </w:p>
    <w:p w:rsidR="00756141" w:rsidRDefault="00756141" w:rsidP="00756141">
      <w:pPr>
        <w:pStyle w:val="NoSpacing"/>
        <w:ind w:left="720" w:hanging="720"/>
        <w:rPr>
          <w:rFonts w:cs="Times New Roman"/>
          <w:szCs w:val="24"/>
        </w:rPr>
      </w:pPr>
      <w:proofErr w:type="spellStart"/>
      <w:proofErr w:type="gramStart"/>
      <w:r w:rsidRPr="00756141">
        <w:rPr>
          <w:rFonts w:cs="Times New Roman"/>
          <w:szCs w:val="24"/>
        </w:rPr>
        <w:t>Leising</w:t>
      </w:r>
      <w:proofErr w:type="spellEnd"/>
      <w:r w:rsidRPr="00756141">
        <w:rPr>
          <w:rFonts w:cs="Times New Roman"/>
          <w:szCs w:val="24"/>
        </w:rPr>
        <w:t xml:space="preserve">, J. G., &amp; </w:t>
      </w:r>
      <w:proofErr w:type="spellStart"/>
      <w:r w:rsidRPr="00756141">
        <w:rPr>
          <w:rFonts w:cs="Times New Roman"/>
          <w:szCs w:val="24"/>
        </w:rPr>
        <w:t>Zilbert</w:t>
      </w:r>
      <w:proofErr w:type="spellEnd"/>
      <w:r w:rsidRPr="00756141">
        <w:rPr>
          <w:rFonts w:cs="Times New Roman"/>
          <w:szCs w:val="24"/>
        </w:rPr>
        <w:t>, E. E. (1985).</w:t>
      </w:r>
      <w:proofErr w:type="gramEnd"/>
      <w:r w:rsidRPr="00756141">
        <w:rPr>
          <w:rFonts w:cs="Times New Roman"/>
          <w:szCs w:val="24"/>
        </w:rPr>
        <w:t xml:space="preserve"> Factors associated with supervised occupational experience in California vocational agriculture programs. </w:t>
      </w:r>
      <w:r w:rsidRPr="00756141">
        <w:rPr>
          <w:rFonts w:cs="Times New Roman"/>
          <w:i/>
          <w:szCs w:val="24"/>
        </w:rPr>
        <w:t>Journal of the American Association of Teacher Educators in Agriculture, 26</w:t>
      </w:r>
      <w:r w:rsidRPr="00756141">
        <w:rPr>
          <w:rFonts w:cs="Times New Roman"/>
          <w:szCs w:val="24"/>
        </w:rPr>
        <w:t>(2), 56-64. doi:10.5031/jaatea.1985.02056</w:t>
      </w:r>
    </w:p>
    <w:p w:rsidR="00756141" w:rsidRPr="00756141" w:rsidRDefault="00756141" w:rsidP="00756141">
      <w:pPr>
        <w:pStyle w:val="NoSpacing"/>
        <w:ind w:left="720" w:hanging="720"/>
        <w:rPr>
          <w:rFonts w:cs="Times New Roman"/>
          <w:szCs w:val="24"/>
        </w:rPr>
      </w:pPr>
    </w:p>
    <w:p w:rsidR="00756141" w:rsidRDefault="00756141" w:rsidP="00756141">
      <w:pPr>
        <w:pStyle w:val="NoSpacing"/>
        <w:ind w:left="720" w:hanging="720"/>
      </w:pPr>
      <w:r>
        <w:t xml:space="preserve">Miller, T. R. (1980). </w:t>
      </w:r>
      <w:proofErr w:type="gramStart"/>
      <w:r>
        <w:t>The changing status of supervised occupational experience in vocational agriculture in North Carolina.</w:t>
      </w:r>
      <w:proofErr w:type="gramEnd"/>
      <w:r>
        <w:t xml:space="preserve"> </w:t>
      </w:r>
      <w:r>
        <w:rPr>
          <w:i/>
        </w:rPr>
        <w:t>Journal of the American Association of Teacher Educators in Agriculture, 21</w:t>
      </w:r>
      <w:r>
        <w:t>(1), 13-18. doi:10.5031/jaatea.1980.01013</w:t>
      </w:r>
    </w:p>
    <w:p w:rsidR="00756141" w:rsidRDefault="00756141" w:rsidP="00756141">
      <w:pPr>
        <w:pStyle w:val="NoSpacing"/>
        <w:ind w:left="720" w:hanging="720"/>
        <w:rPr>
          <w:rFonts w:cs="Times New Roman"/>
          <w:szCs w:val="24"/>
        </w:rPr>
      </w:pPr>
    </w:p>
    <w:p w:rsidR="00671EAF" w:rsidRDefault="00671EAF" w:rsidP="00756141">
      <w:pPr>
        <w:pStyle w:val="NoSpacing"/>
        <w:ind w:left="720" w:hanging="720"/>
        <w:rPr>
          <w:rFonts w:cs="Times New Roman"/>
          <w:szCs w:val="24"/>
        </w:rPr>
      </w:pPr>
      <w:proofErr w:type="gramStart"/>
      <w:r w:rsidRPr="008A49A3">
        <w:rPr>
          <w:rFonts w:cs="Times New Roman"/>
          <w:szCs w:val="24"/>
        </w:rPr>
        <w:t>Phipps, L. J, Osborne, E. W., Dyer, J. E., &amp; Ball, A. (2008).</w:t>
      </w:r>
      <w:proofErr w:type="gramEnd"/>
      <w:r w:rsidRPr="008A49A3">
        <w:rPr>
          <w:rFonts w:cs="Times New Roman"/>
          <w:szCs w:val="24"/>
        </w:rPr>
        <w:t xml:space="preserve"> </w:t>
      </w:r>
      <w:r w:rsidRPr="008A49A3">
        <w:rPr>
          <w:rFonts w:cs="Times New Roman"/>
          <w:i/>
          <w:iCs/>
          <w:szCs w:val="24"/>
        </w:rPr>
        <w:t xml:space="preserve">Handbook on agricultural education in public schools </w:t>
      </w:r>
      <w:r w:rsidRPr="008A49A3">
        <w:rPr>
          <w:rFonts w:cs="Times New Roman"/>
          <w:szCs w:val="24"/>
        </w:rPr>
        <w:t>(6</w:t>
      </w:r>
      <w:r w:rsidRPr="000D5E55">
        <w:rPr>
          <w:rFonts w:cs="Times New Roman"/>
          <w:szCs w:val="24"/>
          <w:vertAlign w:val="superscript"/>
        </w:rPr>
        <w:t>th</w:t>
      </w:r>
      <w:r w:rsidR="000D5E55">
        <w:rPr>
          <w:rFonts w:cs="Times New Roman"/>
          <w:szCs w:val="24"/>
        </w:rPr>
        <w:t xml:space="preserve"> </w:t>
      </w:r>
      <w:proofErr w:type="gramStart"/>
      <w:r w:rsidRPr="008A49A3">
        <w:rPr>
          <w:rFonts w:cs="Times New Roman"/>
          <w:szCs w:val="24"/>
        </w:rPr>
        <w:t>ed</w:t>
      </w:r>
      <w:proofErr w:type="gramEnd"/>
      <w:r w:rsidRPr="008A49A3">
        <w:rPr>
          <w:rFonts w:cs="Times New Roman"/>
          <w:szCs w:val="24"/>
        </w:rPr>
        <w:t>.). Clift Park, NY: Thomson Delmar.</w:t>
      </w:r>
    </w:p>
    <w:p w:rsidR="00756141" w:rsidRPr="008A49A3" w:rsidRDefault="00756141" w:rsidP="00756141">
      <w:pPr>
        <w:pStyle w:val="NoSpacing"/>
        <w:ind w:left="720" w:hanging="720"/>
        <w:rPr>
          <w:rFonts w:cs="Times New Roman"/>
          <w:szCs w:val="24"/>
        </w:rPr>
      </w:pPr>
    </w:p>
    <w:p w:rsidR="00756141" w:rsidRDefault="00756141" w:rsidP="00756141">
      <w:pPr>
        <w:pStyle w:val="NoSpacing"/>
        <w:ind w:left="720" w:hanging="720"/>
      </w:pPr>
      <w:proofErr w:type="spellStart"/>
      <w:proofErr w:type="gramStart"/>
      <w:r>
        <w:t>Retallick</w:t>
      </w:r>
      <w:proofErr w:type="spellEnd"/>
      <w:r>
        <w:t>, M. S., &amp; Martin, R. A. (2008).</w:t>
      </w:r>
      <w:proofErr w:type="gramEnd"/>
      <w:r>
        <w:t xml:space="preserve"> Fifteen-year enrollment trends related to the three components of comprehensive agricultural education programs. </w:t>
      </w:r>
      <w:r>
        <w:rPr>
          <w:i/>
        </w:rPr>
        <w:t>Journal of Agricultural Education, 49</w:t>
      </w:r>
      <w:r>
        <w:t>(1), 28-38. doi:10.5032/jae.2008.01028</w:t>
      </w:r>
    </w:p>
    <w:p w:rsidR="00756141" w:rsidRDefault="00756141" w:rsidP="00756141">
      <w:pPr>
        <w:pStyle w:val="NoSpacing"/>
        <w:ind w:left="720" w:hanging="720"/>
      </w:pPr>
    </w:p>
    <w:p w:rsidR="00756141" w:rsidRDefault="00756141" w:rsidP="00756141">
      <w:pPr>
        <w:pStyle w:val="NoSpacing"/>
        <w:ind w:left="720" w:hanging="720"/>
      </w:pPr>
      <w:proofErr w:type="gramStart"/>
      <w:r>
        <w:t xml:space="preserve">Roberts, T. G., &amp; </w:t>
      </w:r>
      <w:proofErr w:type="spellStart"/>
      <w:r>
        <w:t>Harlin</w:t>
      </w:r>
      <w:proofErr w:type="spellEnd"/>
      <w:r>
        <w:t>, J. F. (2007).</w:t>
      </w:r>
      <w:proofErr w:type="gramEnd"/>
      <w:r>
        <w:t xml:space="preserve"> The project method in agricultural education: Then and now. </w:t>
      </w:r>
      <w:r>
        <w:rPr>
          <w:i/>
        </w:rPr>
        <w:t>Journal of Agricultural Education, 48</w:t>
      </w:r>
      <w:r>
        <w:t>(3), 46.56.doi:10.5032/jae.2007.03046</w:t>
      </w:r>
    </w:p>
    <w:p w:rsidR="00756141" w:rsidRDefault="00756141" w:rsidP="00756141">
      <w:pPr>
        <w:pStyle w:val="NoSpacing"/>
        <w:ind w:left="720" w:hanging="720"/>
        <w:rPr>
          <w:rFonts w:cs="Times New Roman"/>
          <w:szCs w:val="24"/>
        </w:rPr>
      </w:pPr>
    </w:p>
    <w:p w:rsidR="00756141" w:rsidRPr="00756141" w:rsidRDefault="00756141" w:rsidP="00756141">
      <w:pPr>
        <w:pStyle w:val="NoSpacing"/>
        <w:ind w:left="720" w:hanging="720"/>
        <w:rPr>
          <w:rFonts w:cs="Times New Roman"/>
          <w:szCs w:val="24"/>
        </w:rPr>
      </w:pPr>
      <w:r w:rsidRPr="00756141">
        <w:rPr>
          <w:rFonts w:cs="Times New Roman"/>
          <w:szCs w:val="24"/>
        </w:rPr>
        <w:t xml:space="preserve">Stimson, R. W. (1915). </w:t>
      </w:r>
      <w:proofErr w:type="gramStart"/>
      <w:r w:rsidRPr="00756141">
        <w:rPr>
          <w:rFonts w:cs="Times New Roman"/>
          <w:szCs w:val="24"/>
        </w:rPr>
        <w:t>The Massachusetts home project plan for vocational agricultural education.</w:t>
      </w:r>
      <w:proofErr w:type="gramEnd"/>
      <w:r w:rsidRPr="00756141">
        <w:rPr>
          <w:rFonts w:cs="Times New Roman"/>
          <w:szCs w:val="24"/>
        </w:rPr>
        <w:t xml:space="preserve"> </w:t>
      </w:r>
      <w:r w:rsidRPr="00756141">
        <w:rPr>
          <w:rFonts w:cs="Times New Roman"/>
          <w:i/>
          <w:szCs w:val="24"/>
        </w:rPr>
        <w:t>The School Review, 23</w:t>
      </w:r>
      <w:r w:rsidRPr="00756141">
        <w:rPr>
          <w:rFonts w:cs="Times New Roman"/>
          <w:szCs w:val="24"/>
        </w:rPr>
        <w:t>(7), 474-478. Retrieved from http://www.jstor.org/stable/1076877</w:t>
      </w:r>
    </w:p>
    <w:p w:rsidR="008A49A3" w:rsidRDefault="008A49A3" w:rsidP="00756141">
      <w:pPr>
        <w:pStyle w:val="NoSpacing"/>
        <w:ind w:left="720" w:hanging="720"/>
        <w:rPr>
          <w:rFonts w:cs="Times New Roman"/>
          <w:szCs w:val="24"/>
        </w:rPr>
      </w:pPr>
    </w:p>
    <w:p w:rsidR="00756141" w:rsidRPr="008A49A3" w:rsidRDefault="00756141" w:rsidP="00756141">
      <w:pPr>
        <w:pStyle w:val="NoSpacing"/>
        <w:ind w:left="720" w:hanging="720"/>
        <w:rPr>
          <w:rFonts w:cs="Times New Roman"/>
          <w:szCs w:val="24"/>
        </w:rPr>
      </w:pPr>
    </w:p>
    <w:sectPr w:rsidR="00756141" w:rsidRPr="008A49A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4CEA" w:rsidRDefault="00A54CEA" w:rsidP="00A23887">
      <w:pPr>
        <w:spacing w:after="0" w:line="240" w:lineRule="auto"/>
      </w:pPr>
      <w:r>
        <w:separator/>
      </w:r>
    </w:p>
  </w:endnote>
  <w:endnote w:type="continuationSeparator" w:id="0">
    <w:p w:rsidR="00A54CEA" w:rsidRDefault="00A54CEA" w:rsidP="00A238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1914787"/>
      <w:docPartObj>
        <w:docPartGallery w:val="Page Numbers (Bottom of Page)"/>
        <w:docPartUnique/>
      </w:docPartObj>
    </w:sdtPr>
    <w:sdtEndPr>
      <w:rPr>
        <w:noProof/>
      </w:rPr>
    </w:sdtEndPr>
    <w:sdtContent>
      <w:p w:rsidR="00A23887" w:rsidRDefault="00A2388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A23887" w:rsidRDefault="00A238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4CEA" w:rsidRDefault="00A54CEA" w:rsidP="00A23887">
      <w:pPr>
        <w:spacing w:after="0" w:line="240" w:lineRule="auto"/>
      </w:pPr>
      <w:r>
        <w:separator/>
      </w:r>
    </w:p>
  </w:footnote>
  <w:footnote w:type="continuationSeparator" w:id="0">
    <w:p w:rsidR="00A54CEA" w:rsidRDefault="00A54CEA" w:rsidP="00A2388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167A7"/>
    <w:multiLevelType w:val="hybridMultilevel"/>
    <w:tmpl w:val="5E708C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94E"/>
    <w:rsid w:val="00030C2C"/>
    <w:rsid w:val="000954C2"/>
    <w:rsid w:val="000B6446"/>
    <w:rsid w:val="000C04CD"/>
    <w:rsid w:val="000D5E55"/>
    <w:rsid w:val="00106A39"/>
    <w:rsid w:val="00152FE5"/>
    <w:rsid w:val="00180DD5"/>
    <w:rsid w:val="0018145F"/>
    <w:rsid w:val="001B7237"/>
    <w:rsid w:val="002465D8"/>
    <w:rsid w:val="00260935"/>
    <w:rsid w:val="0029227A"/>
    <w:rsid w:val="002C164C"/>
    <w:rsid w:val="00337F78"/>
    <w:rsid w:val="0036060A"/>
    <w:rsid w:val="00385F73"/>
    <w:rsid w:val="003916FC"/>
    <w:rsid w:val="003C2809"/>
    <w:rsid w:val="0040269F"/>
    <w:rsid w:val="00417EE9"/>
    <w:rsid w:val="00454CC9"/>
    <w:rsid w:val="004910E8"/>
    <w:rsid w:val="004D160F"/>
    <w:rsid w:val="004D35A7"/>
    <w:rsid w:val="004D39BA"/>
    <w:rsid w:val="005252E1"/>
    <w:rsid w:val="00527A49"/>
    <w:rsid w:val="00580F42"/>
    <w:rsid w:val="005B4A81"/>
    <w:rsid w:val="00671EAF"/>
    <w:rsid w:val="006B0CB5"/>
    <w:rsid w:val="006C650B"/>
    <w:rsid w:val="006D6D81"/>
    <w:rsid w:val="00737664"/>
    <w:rsid w:val="0075264D"/>
    <w:rsid w:val="00756141"/>
    <w:rsid w:val="007A3775"/>
    <w:rsid w:val="007E1FA4"/>
    <w:rsid w:val="007F0088"/>
    <w:rsid w:val="008070C4"/>
    <w:rsid w:val="00820363"/>
    <w:rsid w:val="00836E46"/>
    <w:rsid w:val="00837E68"/>
    <w:rsid w:val="00846A7F"/>
    <w:rsid w:val="008542D2"/>
    <w:rsid w:val="008A49A3"/>
    <w:rsid w:val="00913D86"/>
    <w:rsid w:val="0096450F"/>
    <w:rsid w:val="0098234E"/>
    <w:rsid w:val="00A01C84"/>
    <w:rsid w:val="00A02792"/>
    <w:rsid w:val="00A02A7C"/>
    <w:rsid w:val="00A10A86"/>
    <w:rsid w:val="00A14949"/>
    <w:rsid w:val="00A23887"/>
    <w:rsid w:val="00A31297"/>
    <w:rsid w:val="00A54CEA"/>
    <w:rsid w:val="00A8242B"/>
    <w:rsid w:val="00A90469"/>
    <w:rsid w:val="00AA7A39"/>
    <w:rsid w:val="00AE376F"/>
    <w:rsid w:val="00B877C3"/>
    <w:rsid w:val="00B92DC8"/>
    <w:rsid w:val="00BA6DDB"/>
    <w:rsid w:val="00C1403A"/>
    <w:rsid w:val="00C367CA"/>
    <w:rsid w:val="00C75290"/>
    <w:rsid w:val="00C768F9"/>
    <w:rsid w:val="00C83D36"/>
    <w:rsid w:val="00D05810"/>
    <w:rsid w:val="00D31FDF"/>
    <w:rsid w:val="00D5026A"/>
    <w:rsid w:val="00D5432E"/>
    <w:rsid w:val="00D81A9B"/>
    <w:rsid w:val="00D85E37"/>
    <w:rsid w:val="00D905BA"/>
    <w:rsid w:val="00DE7990"/>
    <w:rsid w:val="00E1594E"/>
    <w:rsid w:val="00E21545"/>
    <w:rsid w:val="00EC0904"/>
    <w:rsid w:val="00EC472C"/>
    <w:rsid w:val="00ED3CAC"/>
    <w:rsid w:val="00EF5316"/>
    <w:rsid w:val="00F36FE6"/>
    <w:rsid w:val="00F446F9"/>
    <w:rsid w:val="00F81038"/>
    <w:rsid w:val="00F84E37"/>
    <w:rsid w:val="00F95C4C"/>
    <w:rsid w:val="00FA7AF3"/>
    <w:rsid w:val="00FD5A92"/>
    <w:rsid w:val="00FF50D9"/>
    <w:rsid w:val="00FF5F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16FC"/>
    <w:rPr>
      <w:rFonts w:ascii="Times New Roman" w:hAnsi="Times New Roman"/>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94E"/>
    <w:pPr>
      <w:ind w:left="720"/>
      <w:contextualSpacing/>
    </w:pPr>
  </w:style>
  <w:style w:type="paragraph" w:styleId="NoSpacing">
    <w:name w:val="No Spacing"/>
    <w:uiPriority w:val="1"/>
    <w:qFormat/>
    <w:rsid w:val="00DE7990"/>
    <w:pPr>
      <w:spacing w:after="0" w:line="240" w:lineRule="auto"/>
    </w:pPr>
    <w:rPr>
      <w:rFonts w:ascii="Times New Roman" w:hAnsi="Times New Roman"/>
      <w:sz w:val="24"/>
    </w:rPr>
  </w:style>
  <w:style w:type="paragraph" w:styleId="BalloonText">
    <w:name w:val="Balloon Text"/>
    <w:basedOn w:val="Normal"/>
    <w:link w:val="BalloonTextChar"/>
    <w:uiPriority w:val="99"/>
    <w:semiHidden/>
    <w:unhideWhenUsed/>
    <w:rsid w:val="00C367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67CA"/>
    <w:rPr>
      <w:rFonts w:ascii="Tahoma" w:hAnsi="Tahoma" w:cs="Tahoma"/>
      <w:sz w:val="16"/>
      <w:szCs w:val="16"/>
    </w:rPr>
  </w:style>
  <w:style w:type="character" w:styleId="Hyperlink">
    <w:name w:val="Hyperlink"/>
    <w:basedOn w:val="DefaultParagraphFont"/>
    <w:uiPriority w:val="99"/>
    <w:unhideWhenUsed/>
    <w:rsid w:val="007E1FA4"/>
    <w:rPr>
      <w:color w:val="0000FF" w:themeColor="hyperlink"/>
      <w:u w:val="single"/>
    </w:rPr>
  </w:style>
  <w:style w:type="paragraph" w:styleId="Header">
    <w:name w:val="header"/>
    <w:basedOn w:val="Normal"/>
    <w:link w:val="HeaderChar"/>
    <w:uiPriority w:val="99"/>
    <w:unhideWhenUsed/>
    <w:rsid w:val="00A238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3887"/>
    <w:rPr>
      <w:rFonts w:ascii="Times New Roman" w:hAnsi="Times New Roman"/>
      <w:sz w:val="24"/>
    </w:rPr>
  </w:style>
  <w:style w:type="paragraph" w:styleId="Footer">
    <w:name w:val="footer"/>
    <w:basedOn w:val="Normal"/>
    <w:link w:val="FooterChar"/>
    <w:uiPriority w:val="99"/>
    <w:unhideWhenUsed/>
    <w:rsid w:val="00A238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3887"/>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16FC"/>
    <w:rPr>
      <w:rFonts w:ascii="Times New Roman" w:hAnsi="Times New Roman"/>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94E"/>
    <w:pPr>
      <w:ind w:left="720"/>
      <w:contextualSpacing/>
    </w:pPr>
  </w:style>
  <w:style w:type="paragraph" w:styleId="NoSpacing">
    <w:name w:val="No Spacing"/>
    <w:uiPriority w:val="1"/>
    <w:qFormat/>
    <w:rsid w:val="00DE7990"/>
    <w:pPr>
      <w:spacing w:after="0" w:line="240" w:lineRule="auto"/>
    </w:pPr>
    <w:rPr>
      <w:rFonts w:ascii="Times New Roman" w:hAnsi="Times New Roman"/>
      <w:sz w:val="24"/>
    </w:rPr>
  </w:style>
  <w:style w:type="paragraph" w:styleId="BalloonText">
    <w:name w:val="Balloon Text"/>
    <w:basedOn w:val="Normal"/>
    <w:link w:val="BalloonTextChar"/>
    <w:uiPriority w:val="99"/>
    <w:semiHidden/>
    <w:unhideWhenUsed/>
    <w:rsid w:val="00C367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67CA"/>
    <w:rPr>
      <w:rFonts w:ascii="Tahoma" w:hAnsi="Tahoma" w:cs="Tahoma"/>
      <w:sz w:val="16"/>
      <w:szCs w:val="16"/>
    </w:rPr>
  </w:style>
  <w:style w:type="character" w:styleId="Hyperlink">
    <w:name w:val="Hyperlink"/>
    <w:basedOn w:val="DefaultParagraphFont"/>
    <w:uiPriority w:val="99"/>
    <w:unhideWhenUsed/>
    <w:rsid w:val="007E1FA4"/>
    <w:rPr>
      <w:color w:val="0000FF" w:themeColor="hyperlink"/>
      <w:u w:val="single"/>
    </w:rPr>
  </w:style>
  <w:style w:type="paragraph" w:styleId="Header">
    <w:name w:val="header"/>
    <w:basedOn w:val="Normal"/>
    <w:link w:val="HeaderChar"/>
    <w:uiPriority w:val="99"/>
    <w:unhideWhenUsed/>
    <w:rsid w:val="00A238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3887"/>
    <w:rPr>
      <w:rFonts w:ascii="Times New Roman" w:hAnsi="Times New Roman"/>
      <w:sz w:val="24"/>
    </w:rPr>
  </w:style>
  <w:style w:type="paragraph" w:styleId="Footer">
    <w:name w:val="footer"/>
    <w:basedOn w:val="Normal"/>
    <w:link w:val="FooterChar"/>
    <w:uiPriority w:val="99"/>
    <w:unhideWhenUsed/>
    <w:rsid w:val="00A238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3887"/>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1367</Words>
  <Characters>7793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2013-02-28T15:48:00Z</dcterms:created>
  <dcterms:modified xsi:type="dcterms:W3CDTF">2013-02-28T15:49:00Z</dcterms:modified>
</cp:coreProperties>
</file>