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683" w:rsidRDefault="004A3683" w:rsidP="004A3683">
      <w:pPr>
        <w:pStyle w:val="Title"/>
        <w:jc w:val="right"/>
      </w:pPr>
      <w:r>
        <w:t>Innovative Idea</w:t>
      </w:r>
    </w:p>
    <w:p w:rsidR="004A3683" w:rsidRDefault="004A3683" w:rsidP="004A3683">
      <w:pPr>
        <w:pStyle w:val="Title"/>
      </w:pPr>
    </w:p>
    <w:p w:rsidR="004A3683" w:rsidRDefault="004A3683" w:rsidP="004A3683">
      <w:pPr>
        <w:pStyle w:val="Title"/>
      </w:pPr>
    </w:p>
    <w:p w:rsidR="004A3683" w:rsidRDefault="004A3683" w:rsidP="004A3683">
      <w:pPr>
        <w:pStyle w:val="Title"/>
      </w:pPr>
    </w:p>
    <w:p w:rsidR="004A3683" w:rsidRDefault="004A3683" w:rsidP="004A3683">
      <w:pPr>
        <w:pStyle w:val="Title"/>
      </w:pPr>
    </w:p>
    <w:p w:rsidR="004A3683" w:rsidRDefault="004A3683" w:rsidP="004A3683">
      <w:pPr>
        <w:pStyle w:val="Title"/>
      </w:pPr>
      <w:r>
        <w:t>Specialty Crop Growers Apprenticeship Program</w:t>
      </w:r>
    </w:p>
    <w:p w:rsidR="004A3683" w:rsidRDefault="004A3683" w:rsidP="004A3683">
      <w:pPr>
        <w:pStyle w:val="Title"/>
        <w:rPr>
          <w:b w:val="0"/>
        </w:rPr>
      </w:pPr>
    </w:p>
    <w:p w:rsidR="004A3683" w:rsidRDefault="004A3683" w:rsidP="004A3683">
      <w:pPr>
        <w:pStyle w:val="Title"/>
        <w:contextualSpacing/>
        <w:rPr>
          <w:b w:val="0"/>
          <w:sz w:val="23"/>
          <w:szCs w:val="23"/>
        </w:rPr>
      </w:pPr>
    </w:p>
    <w:p w:rsidR="004A3683" w:rsidRDefault="004A3683" w:rsidP="004A3683">
      <w:pPr>
        <w:pStyle w:val="Title"/>
        <w:contextualSpacing/>
        <w:rPr>
          <w:sz w:val="23"/>
          <w:szCs w:val="23"/>
        </w:rPr>
      </w:pPr>
      <w:r>
        <w:rPr>
          <w:sz w:val="23"/>
          <w:szCs w:val="23"/>
        </w:rPr>
        <w:t>Joy Bauman</w:t>
      </w:r>
    </w:p>
    <w:p w:rsidR="004A3683" w:rsidRPr="00390110" w:rsidRDefault="004A3683" w:rsidP="004A3683">
      <w:pPr>
        <w:pStyle w:val="Title"/>
        <w:contextualSpacing/>
        <w:rPr>
          <w:b w:val="0"/>
          <w:sz w:val="23"/>
          <w:szCs w:val="23"/>
        </w:rPr>
      </w:pPr>
      <w:r w:rsidRPr="00390110">
        <w:rPr>
          <w:b w:val="0"/>
          <w:sz w:val="23"/>
          <w:szCs w:val="23"/>
        </w:rPr>
        <w:t>The Ohio State University</w:t>
      </w:r>
      <w:r>
        <w:rPr>
          <w:b w:val="0"/>
          <w:sz w:val="23"/>
          <w:szCs w:val="23"/>
        </w:rPr>
        <w:t xml:space="preserve"> South Centers</w:t>
      </w:r>
    </w:p>
    <w:p w:rsidR="004A3683" w:rsidRPr="00390110" w:rsidRDefault="004A3683" w:rsidP="004A3683">
      <w:pPr>
        <w:pStyle w:val="Title"/>
        <w:contextualSpacing/>
        <w:rPr>
          <w:b w:val="0"/>
          <w:sz w:val="23"/>
          <w:szCs w:val="23"/>
        </w:rPr>
      </w:pPr>
      <w:r>
        <w:rPr>
          <w:b w:val="0"/>
          <w:sz w:val="23"/>
          <w:szCs w:val="23"/>
        </w:rPr>
        <w:t xml:space="preserve">1864 </w:t>
      </w:r>
      <w:proofErr w:type="spellStart"/>
      <w:r>
        <w:rPr>
          <w:b w:val="0"/>
          <w:sz w:val="23"/>
          <w:szCs w:val="23"/>
        </w:rPr>
        <w:t>Shyville</w:t>
      </w:r>
      <w:proofErr w:type="spellEnd"/>
      <w:r>
        <w:rPr>
          <w:b w:val="0"/>
          <w:sz w:val="23"/>
          <w:szCs w:val="23"/>
        </w:rPr>
        <w:t xml:space="preserve"> Road</w:t>
      </w:r>
    </w:p>
    <w:p w:rsidR="004A3683" w:rsidRPr="00390110" w:rsidRDefault="004A3683" w:rsidP="004A3683">
      <w:pPr>
        <w:pStyle w:val="Title"/>
        <w:contextualSpacing/>
        <w:rPr>
          <w:b w:val="0"/>
          <w:sz w:val="23"/>
          <w:szCs w:val="23"/>
        </w:rPr>
      </w:pPr>
      <w:r>
        <w:rPr>
          <w:b w:val="0"/>
          <w:sz w:val="23"/>
          <w:szCs w:val="23"/>
        </w:rPr>
        <w:t>Piketon, Ohio 45661</w:t>
      </w:r>
    </w:p>
    <w:p w:rsidR="004A3683" w:rsidRPr="00390110" w:rsidRDefault="004A3683" w:rsidP="004A3683">
      <w:pPr>
        <w:pStyle w:val="Title"/>
        <w:contextualSpacing/>
        <w:rPr>
          <w:b w:val="0"/>
          <w:sz w:val="23"/>
          <w:szCs w:val="23"/>
        </w:rPr>
      </w:pPr>
      <w:r>
        <w:rPr>
          <w:b w:val="0"/>
          <w:sz w:val="23"/>
          <w:szCs w:val="23"/>
        </w:rPr>
        <w:t>740-289-2071 ext. 111</w:t>
      </w:r>
    </w:p>
    <w:p w:rsidR="004A3683" w:rsidRDefault="004A3683" w:rsidP="004A3683">
      <w:pPr>
        <w:pStyle w:val="Title"/>
        <w:contextualSpacing/>
        <w:rPr>
          <w:b w:val="0"/>
          <w:sz w:val="23"/>
          <w:szCs w:val="23"/>
        </w:rPr>
      </w:pPr>
      <w:r>
        <w:rPr>
          <w:b w:val="0"/>
          <w:sz w:val="23"/>
          <w:szCs w:val="23"/>
        </w:rPr>
        <w:t>bauman.67</w:t>
      </w:r>
      <w:r w:rsidRPr="004805FF">
        <w:rPr>
          <w:b w:val="0"/>
          <w:sz w:val="23"/>
          <w:szCs w:val="23"/>
        </w:rPr>
        <w:t>@osu.edu</w:t>
      </w:r>
    </w:p>
    <w:p w:rsidR="004A3683" w:rsidRDefault="004A3683" w:rsidP="004A3683">
      <w:pPr>
        <w:pStyle w:val="Title"/>
        <w:contextualSpacing/>
        <w:rPr>
          <w:sz w:val="23"/>
          <w:szCs w:val="23"/>
        </w:rPr>
      </w:pPr>
    </w:p>
    <w:p w:rsidR="004A3683" w:rsidRPr="00B52A78" w:rsidRDefault="004A3683" w:rsidP="004A3683">
      <w:pPr>
        <w:pStyle w:val="Title"/>
        <w:contextualSpacing/>
        <w:rPr>
          <w:sz w:val="23"/>
          <w:szCs w:val="23"/>
        </w:rPr>
      </w:pPr>
      <w:r>
        <w:rPr>
          <w:sz w:val="23"/>
          <w:szCs w:val="23"/>
        </w:rPr>
        <w:t>Brad Bergefurd</w:t>
      </w:r>
    </w:p>
    <w:p w:rsidR="004A3683" w:rsidRPr="00390110" w:rsidRDefault="004A3683" w:rsidP="004A3683">
      <w:pPr>
        <w:pStyle w:val="Title"/>
        <w:contextualSpacing/>
        <w:rPr>
          <w:b w:val="0"/>
          <w:sz w:val="23"/>
          <w:szCs w:val="23"/>
        </w:rPr>
      </w:pPr>
      <w:r w:rsidRPr="00390110">
        <w:rPr>
          <w:b w:val="0"/>
          <w:sz w:val="23"/>
          <w:szCs w:val="23"/>
        </w:rPr>
        <w:t>The Ohio State University</w:t>
      </w:r>
      <w:r>
        <w:rPr>
          <w:b w:val="0"/>
          <w:sz w:val="23"/>
          <w:szCs w:val="23"/>
        </w:rPr>
        <w:t xml:space="preserve"> South Centers</w:t>
      </w:r>
    </w:p>
    <w:p w:rsidR="004A3683" w:rsidRPr="00390110" w:rsidRDefault="004A3683" w:rsidP="004A3683">
      <w:pPr>
        <w:pStyle w:val="Title"/>
        <w:contextualSpacing/>
        <w:rPr>
          <w:b w:val="0"/>
          <w:sz w:val="23"/>
          <w:szCs w:val="23"/>
        </w:rPr>
      </w:pPr>
      <w:r>
        <w:rPr>
          <w:b w:val="0"/>
          <w:sz w:val="23"/>
          <w:szCs w:val="23"/>
        </w:rPr>
        <w:t xml:space="preserve">1864 </w:t>
      </w:r>
      <w:proofErr w:type="spellStart"/>
      <w:r>
        <w:rPr>
          <w:b w:val="0"/>
          <w:sz w:val="23"/>
          <w:szCs w:val="23"/>
        </w:rPr>
        <w:t>Shyville</w:t>
      </w:r>
      <w:proofErr w:type="spellEnd"/>
      <w:r>
        <w:rPr>
          <w:b w:val="0"/>
          <w:sz w:val="23"/>
          <w:szCs w:val="23"/>
        </w:rPr>
        <w:t xml:space="preserve"> Road</w:t>
      </w:r>
    </w:p>
    <w:p w:rsidR="004A3683" w:rsidRPr="00390110" w:rsidRDefault="004A3683" w:rsidP="004A3683">
      <w:pPr>
        <w:pStyle w:val="Title"/>
        <w:contextualSpacing/>
        <w:rPr>
          <w:b w:val="0"/>
          <w:sz w:val="23"/>
          <w:szCs w:val="23"/>
        </w:rPr>
      </w:pPr>
      <w:r>
        <w:rPr>
          <w:b w:val="0"/>
          <w:sz w:val="23"/>
          <w:szCs w:val="23"/>
        </w:rPr>
        <w:t>Piketon, Ohio 45661</w:t>
      </w:r>
    </w:p>
    <w:p w:rsidR="004A3683" w:rsidRPr="00390110" w:rsidRDefault="004A3683" w:rsidP="004A3683">
      <w:pPr>
        <w:pStyle w:val="Title"/>
        <w:contextualSpacing/>
        <w:rPr>
          <w:b w:val="0"/>
          <w:sz w:val="23"/>
          <w:szCs w:val="23"/>
        </w:rPr>
      </w:pPr>
      <w:r>
        <w:rPr>
          <w:b w:val="0"/>
          <w:sz w:val="23"/>
          <w:szCs w:val="23"/>
        </w:rPr>
        <w:t>740-289-2071 ext. 236</w:t>
      </w:r>
    </w:p>
    <w:p w:rsidR="004A3683" w:rsidRDefault="004A3683" w:rsidP="004A3683">
      <w:pPr>
        <w:pStyle w:val="Title"/>
        <w:contextualSpacing/>
        <w:rPr>
          <w:b w:val="0"/>
          <w:sz w:val="23"/>
          <w:szCs w:val="23"/>
        </w:rPr>
      </w:pPr>
      <w:r w:rsidRPr="004805FF">
        <w:rPr>
          <w:b w:val="0"/>
          <w:sz w:val="23"/>
          <w:szCs w:val="23"/>
        </w:rPr>
        <w:t>bergefurd.1@osu.edu</w:t>
      </w:r>
    </w:p>
    <w:p w:rsidR="004A3683" w:rsidRDefault="004A3683" w:rsidP="004A3683">
      <w:pPr>
        <w:pStyle w:val="Title"/>
        <w:contextualSpacing/>
        <w:rPr>
          <w:sz w:val="23"/>
          <w:szCs w:val="23"/>
        </w:rPr>
      </w:pPr>
    </w:p>
    <w:p w:rsidR="004A3683" w:rsidRPr="00B52A78" w:rsidRDefault="004A3683" w:rsidP="004A3683">
      <w:pPr>
        <w:pStyle w:val="Title"/>
        <w:contextualSpacing/>
        <w:rPr>
          <w:sz w:val="23"/>
          <w:szCs w:val="23"/>
        </w:rPr>
      </w:pPr>
      <w:r w:rsidRPr="00B52A78">
        <w:rPr>
          <w:sz w:val="23"/>
          <w:szCs w:val="23"/>
        </w:rPr>
        <w:t>Graham R. Cochran</w:t>
      </w:r>
    </w:p>
    <w:p w:rsidR="004A3683" w:rsidRPr="00390110" w:rsidRDefault="004A3683" w:rsidP="004A3683">
      <w:pPr>
        <w:pStyle w:val="Title"/>
        <w:contextualSpacing/>
        <w:rPr>
          <w:b w:val="0"/>
          <w:sz w:val="23"/>
          <w:szCs w:val="23"/>
        </w:rPr>
      </w:pPr>
      <w:r w:rsidRPr="00390110">
        <w:rPr>
          <w:b w:val="0"/>
          <w:sz w:val="23"/>
          <w:szCs w:val="23"/>
        </w:rPr>
        <w:t>The Ohio State University</w:t>
      </w:r>
    </w:p>
    <w:p w:rsidR="004A3683" w:rsidRPr="00390110" w:rsidRDefault="004A3683" w:rsidP="004A3683">
      <w:pPr>
        <w:pStyle w:val="Title"/>
        <w:contextualSpacing/>
        <w:rPr>
          <w:b w:val="0"/>
          <w:sz w:val="23"/>
          <w:szCs w:val="23"/>
        </w:rPr>
      </w:pPr>
      <w:r w:rsidRPr="00390110">
        <w:rPr>
          <w:b w:val="0"/>
          <w:sz w:val="23"/>
          <w:szCs w:val="23"/>
        </w:rPr>
        <w:t>24 Agricultural Admin Building</w:t>
      </w:r>
    </w:p>
    <w:p w:rsidR="004A3683" w:rsidRPr="00390110" w:rsidRDefault="004A3683" w:rsidP="004A3683">
      <w:pPr>
        <w:pStyle w:val="Title"/>
        <w:contextualSpacing/>
        <w:rPr>
          <w:b w:val="0"/>
          <w:sz w:val="23"/>
          <w:szCs w:val="23"/>
        </w:rPr>
      </w:pPr>
      <w:r w:rsidRPr="00390110">
        <w:rPr>
          <w:b w:val="0"/>
          <w:sz w:val="23"/>
          <w:szCs w:val="23"/>
        </w:rPr>
        <w:t>2120 Fyffe Road</w:t>
      </w:r>
    </w:p>
    <w:p w:rsidR="004A3683" w:rsidRPr="00390110" w:rsidRDefault="004A3683" w:rsidP="004A3683">
      <w:pPr>
        <w:pStyle w:val="Title"/>
        <w:contextualSpacing/>
        <w:rPr>
          <w:b w:val="0"/>
          <w:sz w:val="23"/>
          <w:szCs w:val="23"/>
        </w:rPr>
      </w:pPr>
      <w:r w:rsidRPr="00390110">
        <w:rPr>
          <w:b w:val="0"/>
          <w:sz w:val="23"/>
          <w:szCs w:val="23"/>
        </w:rPr>
        <w:t>Columbus, Ohio 43210</w:t>
      </w:r>
    </w:p>
    <w:p w:rsidR="004A3683" w:rsidRPr="00390110" w:rsidRDefault="004A3683" w:rsidP="004A3683">
      <w:pPr>
        <w:pStyle w:val="Title"/>
        <w:contextualSpacing/>
        <w:rPr>
          <w:b w:val="0"/>
          <w:sz w:val="23"/>
          <w:szCs w:val="23"/>
        </w:rPr>
      </w:pPr>
      <w:r w:rsidRPr="00390110">
        <w:rPr>
          <w:b w:val="0"/>
          <w:sz w:val="23"/>
          <w:szCs w:val="23"/>
        </w:rPr>
        <w:t>614-688-4246</w:t>
      </w:r>
    </w:p>
    <w:p w:rsidR="004A3683" w:rsidRPr="00390110" w:rsidRDefault="004A3683" w:rsidP="004A3683">
      <w:pPr>
        <w:pStyle w:val="Title"/>
        <w:contextualSpacing/>
        <w:rPr>
          <w:b w:val="0"/>
          <w:sz w:val="23"/>
          <w:szCs w:val="23"/>
        </w:rPr>
      </w:pPr>
      <w:r w:rsidRPr="00390110">
        <w:rPr>
          <w:b w:val="0"/>
          <w:sz w:val="23"/>
          <w:szCs w:val="23"/>
        </w:rPr>
        <w:t>cochran.99@osu.edu</w:t>
      </w:r>
    </w:p>
    <w:p w:rsidR="004A3683" w:rsidRDefault="004A3683" w:rsidP="004A3683">
      <w:pPr>
        <w:pStyle w:val="Title"/>
        <w:rPr>
          <w:b w:val="0"/>
        </w:rPr>
      </w:pPr>
    </w:p>
    <w:p w:rsidR="004A3683" w:rsidRDefault="004A3683" w:rsidP="004A3683">
      <w:pPr>
        <w:pStyle w:val="Title"/>
        <w:rPr>
          <w:b w:val="0"/>
        </w:rPr>
      </w:pPr>
    </w:p>
    <w:p w:rsidR="004A3683" w:rsidRDefault="004A3683" w:rsidP="004A3683">
      <w:pPr>
        <w:pStyle w:val="Title"/>
        <w:rPr>
          <w:b w:val="0"/>
        </w:rPr>
      </w:pPr>
    </w:p>
    <w:p w:rsidR="004A3683" w:rsidRDefault="004A3683" w:rsidP="004A3683">
      <w:pPr>
        <w:pStyle w:val="Title"/>
        <w:rPr>
          <w:b w:val="0"/>
        </w:rPr>
      </w:pPr>
    </w:p>
    <w:p w:rsidR="004A3683" w:rsidRDefault="004A3683" w:rsidP="004A3683">
      <w:pPr>
        <w:pStyle w:val="Title"/>
        <w:rPr>
          <w:b w:val="0"/>
        </w:rPr>
      </w:pPr>
    </w:p>
    <w:p w:rsidR="004A3683" w:rsidRDefault="004A3683" w:rsidP="004A3683">
      <w:pPr>
        <w:pStyle w:val="Title"/>
        <w:rPr>
          <w:b w:val="0"/>
        </w:rPr>
      </w:pPr>
    </w:p>
    <w:p w:rsidR="004A3683" w:rsidRDefault="004A3683" w:rsidP="004A3683">
      <w:pPr>
        <w:pStyle w:val="Title"/>
        <w:sectPr w:rsidR="004A3683" w:rsidSect="005E7A11">
          <w:footerReference w:type="default" r:id="rId5"/>
          <w:footerReference w:type="first" r:id="rId6"/>
          <w:pgSz w:w="12240" w:h="15840" w:code="1"/>
          <w:pgMar w:top="1440" w:right="1440" w:bottom="1440" w:left="1440" w:header="720" w:footer="720" w:gutter="0"/>
          <w:pgNumType w:start="1"/>
          <w:cols w:space="720"/>
          <w:titlePg/>
          <w:docGrid w:linePitch="360"/>
        </w:sectPr>
      </w:pPr>
    </w:p>
    <w:p w:rsidR="004A3683" w:rsidRPr="003B2DEA" w:rsidRDefault="004A3683" w:rsidP="004A3683">
      <w:pPr>
        <w:pStyle w:val="Title"/>
        <w:spacing w:after="0"/>
        <w:rPr>
          <w:szCs w:val="24"/>
        </w:rPr>
      </w:pPr>
      <w:r w:rsidRPr="003B2DEA">
        <w:rPr>
          <w:szCs w:val="24"/>
        </w:rPr>
        <w:lastRenderedPageBreak/>
        <w:t>Specialty Crop Growers Apprenticeship Program</w:t>
      </w:r>
    </w:p>
    <w:p w:rsidR="004A3683" w:rsidRPr="003B2DEA" w:rsidRDefault="004A3683" w:rsidP="004A3683">
      <w:pPr>
        <w:jc w:val="center"/>
        <w:rPr>
          <w:sz w:val="22"/>
          <w:szCs w:val="22"/>
        </w:rPr>
      </w:pPr>
    </w:p>
    <w:p w:rsidR="004A3683" w:rsidRPr="003B2DEA" w:rsidRDefault="004A3683" w:rsidP="004A3683">
      <w:pPr>
        <w:rPr>
          <w:b/>
        </w:rPr>
      </w:pPr>
      <w:r w:rsidRPr="003B2DEA">
        <w:rPr>
          <w:b/>
        </w:rPr>
        <w:t>Introduction/Background/Need</w:t>
      </w:r>
    </w:p>
    <w:p w:rsidR="004A3683" w:rsidRPr="003B2DEA" w:rsidRDefault="004A3683" w:rsidP="004A3683">
      <w:pPr>
        <w:ind w:firstLine="720"/>
      </w:pPr>
      <w:r w:rsidRPr="003B2DEA">
        <w:t>Expanding access to nutritious homegrown food is important to the health of consumers, helps in job creation and also improving our rural economy.  While $29 billion was estimated to be spent on food by Ohio consumers in 2011, about $26 billion (89%) of the food was sourced outside of the state (Meter, 2011).  If Ohio residents purchased only 15% of the foods they eat at home directly from Ohio farmers, with no intermediary, this would result in $2.5 billion of new farm income for the state (Meter, 2011.)  Recent research has described specialty crop growers, operations, and needs for Ohio and Kentucky. In Ohio and Kentucky, 70% of existing growers are over 50 years old and 80-85% of farms are operated by part-time growers with less than 15 acres and grossing less than $50,000 annually.  Skilled labor was identified as the main barrier for moving to a full-time specialty crops farming business (Snyder &amp; Bergefurd, 2012).  Furthermore, the need for training strategies, educational programs, training development, and trainee achievement tracking were identified as gaps in the support of specialty crops growers and cooperative businesses in a 2011 USDA Specialty Crops Feasibility Study (Snyder et. al., 2011).</w:t>
      </w:r>
    </w:p>
    <w:p w:rsidR="004A3683" w:rsidRPr="003B2DEA" w:rsidRDefault="004A3683" w:rsidP="004A3683">
      <w:pPr>
        <w:ind w:firstLine="720"/>
      </w:pPr>
      <w:r w:rsidRPr="003B2DEA">
        <w:t xml:space="preserve">In response to the escalating demand for locally grown specialty crops, [State University] South Centers partnered with the Non-Profit Local Foods Network (NPLFN), local producers, and community growing projects to address the need to increase the number of specialty crop growers.  An education and new growers support committee, consisting of member representatives from Extension, the [State] Cooperative Development Center, several food marketing and distribution businesses, and the United Food and Commercial Workers Union, was organized to discuss solutions to the need for more local specialty crop growers.  The committee designed a program to educate and support new specialty crop growers as they enter the farming industry.  As part of that plan, a Specialty Crop Growers Apprenticeship Program plan was submitted and approved by the [State] Apprenticeship Council for implementation.  The U.S. Department of Labor issues the apprenticeship certificates.  The pilot apprenticeship program began in April 2012 with classes in two areas of the state.  </w:t>
      </w:r>
    </w:p>
    <w:p w:rsidR="004A3683" w:rsidRPr="003B2DEA" w:rsidRDefault="004A3683" w:rsidP="004A3683">
      <w:pPr>
        <w:ind w:firstLine="720"/>
        <w:contextualSpacing/>
        <w:rPr>
          <w:sz w:val="22"/>
          <w:szCs w:val="22"/>
        </w:rPr>
      </w:pPr>
    </w:p>
    <w:p w:rsidR="004A3683" w:rsidRPr="003B2DEA" w:rsidRDefault="004A3683" w:rsidP="004A3683">
      <w:pPr>
        <w:rPr>
          <w:b/>
        </w:rPr>
      </w:pPr>
      <w:r w:rsidRPr="003B2DEA">
        <w:rPr>
          <w:b/>
        </w:rPr>
        <w:t>Program Design</w:t>
      </w:r>
    </w:p>
    <w:p w:rsidR="004A3683" w:rsidRPr="003B2DEA" w:rsidRDefault="004A3683" w:rsidP="004A3683">
      <w:pPr>
        <w:ind w:firstLine="720"/>
      </w:pPr>
      <w:r w:rsidRPr="003B2DEA">
        <w:t>The Specialty Crop Growers Apprenticeship Program consists of 144 technical classroom instruction hours and 2,000 hours of on-the-job-training (OJT).  Apprentice applicants age 18 and older submit applications, are interviewed, and take a general skills knowledge assessment.  Apprentices work at the farms of participating employer/sponsors and are paid an hourly rate of at least minimum wage for 30 to 40 hours per week until 2,000 OJT hours are completed.  Related technical classroom training and lab work occurs four hours a week for nine months at two incubator farms.</w:t>
      </w:r>
    </w:p>
    <w:p w:rsidR="004A3683" w:rsidRPr="003B2DEA" w:rsidRDefault="004A3683" w:rsidP="004A3683">
      <w:pPr>
        <w:ind w:firstLine="720"/>
      </w:pPr>
      <w:r w:rsidRPr="003B2DEA">
        <w:t xml:space="preserve">The effort was coordinated by [State University] Extension Horticulture, Community and Cooperative Development Specialists, along with farm managers of four participating employer/sponsors. The apprenticeship program class work was conducted face-to-face and via distance learning using Adobe Connect technology.  Online training included instruction in farm management and crop production by the Extension Horticulture Specialist and technical instruction in business and cooperative development was provided by the [State] Cooperative Development Center Program Manager.  The horticulture specialist provided instruction in research-based techniques of planning seasonal crop production, maintaining equipment and facilities, preparing growing medium for planting, harvesting and packing produce for delivery, </w:t>
      </w:r>
      <w:r w:rsidRPr="003B2DEA">
        <w:lastRenderedPageBreak/>
        <w:t>government regulations compliance, and product marketing strategies.  The online technical training included business and cooperative development related topics provided by the [State] Cooperative Development Center staff and other guest speakers regarding topics such as: safety requirements, recordkeeping, taxes, financing and loan options, land acquisition, business planning, cooperative formation, bylaws development, board of directors training, and cooperative purchasing.  The online sessions were conducted twice monthly for nine months.  On opposite weeks, on-site review and follow-up to the horticulture and business lessons was provided by the farm managers at the incubator farms.  They conducted classroom and hands-on lab work and follow-up discussion with the participants.  Upon completion of the coursework and accumulation of 2,000 OJT hours, each apprentice will receive a certificate of completion as a Journeyperson from the [State] Apprenticeship Council and the Bureau of Apprenticeship and Training, U.S. Department of Labor.</w:t>
      </w:r>
    </w:p>
    <w:p w:rsidR="004A3683" w:rsidRPr="003B2DEA" w:rsidRDefault="004A3683" w:rsidP="004A3683">
      <w:pPr>
        <w:rPr>
          <w:sz w:val="22"/>
          <w:szCs w:val="22"/>
        </w:rPr>
      </w:pPr>
    </w:p>
    <w:p w:rsidR="004A3683" w:rsidRPr="003B2DEA" w:rsidRDefault="004A3683" w:rsidP="004A3683">
      <w:pPr>
        <w:rPr>
          <w:b/>
        </w:rPr>
      </w:pPr>
      <w:r w:rsidRPr="003B2DEA">
        <w:rPr>
          <w:b/>
        </w:rPr>
        <w:t>Results/Implications</w:t>
      </w:r>
    </w:p>
    <w:p w:rsidR="004A3683" w:rsidRPr="003B2DEA" w:rsidRDefault="004A3683" w:rsidP="004A3683">
      <w:r w:rsidRPr="003B2DEA">
        <w:tab/>
        <w:t>The goal of this pilot apprenticeship program was to develop a training program to help meet the need for skilled growers and workers to produce local foods.  At the completion of the first year pilot program, eight specialty crop grower apprentices have completed 144 hours of classroom instruction and are moving through the required OJT hours. Pilot program apprentices and cooperating growers have provided positive feedback.  The pilot participants are on target to receive certificates of completion as Journeypersons from the state Apprenticeship Council and the Bureau of Apprenticeship and Training, U.S. Department of Labor at the conclusion of the course in 2013.  The program coordinators are planning for enhancement of the program in 2014.</w:t>
      </w:r>
    </w:p>
    <w:p w:rsidR="004A3683" w:rsidRPr="003B2DEA" w:rsidRDefault="004A3683" w:rsidP="004A3683">
      <w:pPr>
        <w:rPr>
          <w:sz w:val="22"/>
          <w:szCs w:val="22"/>
        </w:rPr>
      </w:pPr>
    </w:p>
    <w:p w:rsidR="004A3683" w:rsidRPr="003B2DEA" w:rsidRDefault="004A3683" w:rsidP="004A3683">
      <w:pPr>
        <w:rPr>
          <w:b/>
        </w:rPr>
      </w:pPr>
      <w:r w:rsidRPr="003B2DEA">
        <w:rPr>
          <w:b/>
        </w:rPr>
        <w:t>Future Plans/Advice</w:t>
      </w:r>
    </w:p>
    <w:p w:rsidR="004A3683" w:rsidRPr="003B2DEA" w:rsidRDefault="004A3683" w:rsidP="004A3683">
      <w:pPr>
        <w:pStyle w:val="Title"/>
        <w:spacing w:after="0"/>
        <w:jc w:val="left"/>
        <w:rPr>
          <w:rFonts w:cs="Times New Roman"/>
          <w:b w:val="0"/>
          <w:bCs w:val="0"/>
          <w:kern w:val="0"/>
          <w:szCs w:val="24"/>
        </w:rPr>
      </w:pPr>
      <w:r w:rsidRPr="003B2DEA">
        <w:rPr>
          <w:rFonts w:cs="Times New Roman"/>
          <w:b w:val="0"/>
          <w:bCs w:val="0"/>
          <w:kern w:val="0"/>
          <w:szCs w:val="24"/>
        </w:rPr>
        <w:tab/>
        <w:t xml:space="preserve">Plans are being made to expand the Specialty Crop Growers Apprenticeship Program to a two-year program requiring 4,000 OJT hours and 383 hours of related instruction.  This approach will be more appropriate to provide adequate training to build a skilled work force.  There is a plan to link with community colleges to provide related technical instruction.  The program will become eligible for Title IV funding.  Being partnered with community colleges will further allow the program to respond to community needs and control the cost of new curricula development.  </w:t>
      </w:r>
    </w:p>
    <w:p w:rsidR="004A3683" w:rsidRPr="003B2DEA" w:rsidRDefault="004A3683" w:rsidP="004A3683">
      <w:pPr>
        <w:rPr>
          <w:b/>
          <w:sz w:val="22"/>
          <w:szCs w:val="22"/>
        </w:rPr>
      </w:pPr>
    </w:p>
    <w:p w:rsidR="004A3683" w:rsidRPr="003B2DEA" w:rsidRDefault="004A3683" w:rsidP="004A3683">
      <w:pPr>
        <w:rPr>
          <w:b/>
        </w:rPr>
      </w:pPr>
      <w:r w:rsidRPr="003B2DEA">
        <w:rPr>
          <w:b/>
        </w:rPr>
        <w:t>Costs/Resources Needed</w:t>
      </w:r>
    </w:p>
    <w:p w:rsidR="004A3683" w:rsidRPr="00021CB3" w:rsidRDefault="004A3683" w:rsidP="004A3683">
      <w:r w:rsidRPr="003B2DEA">
        <w:tab/>
        <w:t>This pilot program was facilitated with time donated by Extension and the [State] Cooperative Development Center in cooperation with the Non-Profit Local Foods Network.  In the pilot program, participants were not charged a fee to participate and received a salary from their employer/sponsor for their OJT hours.  The employers/sponsors pay costs of wages and any benefits for the apprentices.  Expenses included course materials (approximately $30 per trainee) and Adobe Connect service, which was provided by Extension.  In addition to the instructional and volunteer management resources, the main requirement for this apprenticeship program is to have a working farm to serve as the incubator farm for related technical instruction and laboratory experiences.  To conduct the classroom training, it requires a classroom that is Web-compatible for video conferencing via Adobe Connect or other online video conferencing system.  Depending on your individual situation, additional costs may exist. For this particular program, site fees were not incurred due to availability of classroom space at no charge. Other costs included a larger time commitment and travel expenses for facilitator and participants of this program if the classroom training were to be conducted in a face-to-face classroom setting.</w:t>
      </w:r>
      <w:r>
        <w:br w:type="page"/>
      </w:r>
      <w:r w:rsidRPr="009D1030">
        <w:rPr>
          <w:b/>
        </w:rPr>
        <w:lastRenderedPageBreak/>
        <w:t>References</w:t>
      </w:r>
    </w:p>
    <w:p w:rsidR="004A3683" w:rsidRDefault="004A3683" w:rsidP="004A3683"/>
    <w:p w:rsidR="004A3683" w:rsidRDefault="004A3683" w:rsidP="004A3683">
      <w:pPr>
        <w:ind w:left="720" w:hanging="720"/>
        <w:rPr>
          <w:lang w:val="en"/>
        </w:rPr>
      </w:pPr>
      <w:r>
        <w:rPr>
          <w:lang w:val="en"/>
        </w:rPr>
        <w:t xml:space="preserve">Meter, Ken. (2011). </w:t>
      </w:r>
      <w:r>
        <w:rPr>
          <w:i/>
          <w:iCs/>
          <w:lang w:val="en"/>
        </w:rPr>
        <w:t>Ohio's food systems - Farms at the heart of it all</w:t>
      </w:r>
      <w:r>
        <w:rPr>
          <w:lang w:val="en"/>
        </w:rPr>
        <w:t xml:space="preserve"> (Report). Retrieved from Crossroads Resource Center website: </w:t>
      </w:r>
      <w:hyperlink r:id="rId7" w:history="1">
        <w:r w:rsidRPr="00345A95">
          <w:rPr>
            <w:rStyle w:val="Hyperlink"/>
            <w:lang w:val="en"/>
          </w:rPr>
          <w:t>http://www.crcworks.org/ohfood.pdf</w:t>
        </w:r>
      </w:hyperlink>
    </w:p>
    <w:p w:rsidR="004A3683" w:rsidRDefault="004A3683" w:rsidP="004A3683">
      <w:pPr>
        <w:ind w:left="720" w:hanging="720"/>
        <w:rPr>
          <w:lang w:val="en"/>
        </w:rPr>
      </w:pPr>
    </w:p>
    <w:p w:rsidR="004A3683" w:rsidRDefault="004A3683" w:rsidP="004A3683">
      <w:pPr>
        <w:ind w:left="720" w:hanging="720"/>
      </w:pPr>
      <w:proofErr w:type="gramStart"/>
      <w:r>
        <w:rPr>
          <w:lang w:val="en"/>
        </w:rPr>
        <w:t>Snyder, T., Fox, J., Welch, C., and Brown, M. (2011).</w:t>
      </w:r>
      <w:proofErr w:type="gramEnd"/>
      <w:r>
        <w:rPr>
          <w:lang w:val="en"/>
        </w:rPr>
        <w:t xml:space="preserve"> </w:t>
      </w:r>
      <w:r>
        <w:rPr>
          <w:i/>
          <w:iCs/>
          <w:lang w:val="en"/>
        </w:rPr>
        <w:t>USDA specialty crops cooperatives feasibility study for Ohio Department of Agriculture</w:t>
      </w:r>
      <w:r>
        <w:rPr>
          <w:lang w:val="en"/>
        </w:rPr>
        <w:t xml:space="preserve"> (Report). Piketon, OH: The Ohio State University South Centers.</w:t>
      </w:r>
    </w:p>
    <w:p w:rsidR="004A3683" w:rsidRPr="00002826" w:rsidRDefault="004A3683" w:rsidP="004A3683"/>
    <w:p w:rsidR="004A3683" w:rsidRPr="004F6E5F" w:rsidRDefault="004A3683" w:rsidP="004A3683">
      <w:pPr>
        <w:ind w:left="720" w:hanging="720"/>
        <w:rPr>
          <w:rFonts w:eastAsia="Calibri"/>
          <w:noProof/>
        </w:rPr>
      </w:pPr>
      <w:r>
        <w:rPr>
          <w:rFonts w:eastAsia="Calibri"/>
          <w:noProof/>
        </w:rPr>
        <w:t>Snyder, T. and</w:t>
      </w:r>
      <w:r w:rsidRPr="004F6E5F">
        <w:rPr>
          <w:rFonts w:eastAsia="Calibri"/>
          <w:noProof/>
        </w:rPr>
        <w:t xml:space="preserve"> Bergefurd, B. (2012). </w:t>
      </w:r>
      <w:r w:rsidRPr="00145275">
        <w:rPr>
          <w:rFonts w:eastAsia="Calibri"/>
          <w:i/>
          <w:noProof/>
        </w:rPr>
        <w:t xml:space="preserve">Cincinnati </w:t>
      </w:r>
      <w:r>
        <w:rPr>
          <w:rFonts w:eastAsia="Calibri"/>
          <w:i/>
          <w:noProof/>
        </w:rPr>
        <w:t>f</w:t>
      </w:r>
      <w:r w:rsidRPr="00145275">
        <w:rPr>
          <w:rFonts w:eastAsia="Calibri"/>
          <w:i/>
          <w:noProof/>
        </w:rPr>
        <w:t xml:space="preserve">ood </w:t>
      </w:r>
      <w:r>
        <w:rPr>
          <w:rFonts w:eastAsia="Calibri"/>
          <w:i/>
          <w:noProof/>
        </w:rPr>
        <w:t>h</w:t>
      </w:r>
      <w:r w:rsidRPr="00145275">
        <w:rPr>
          <w:rFonts w:eastAsia="Calibri"/>
          <w:i/>
          <w:noProof/>
        </w:rPr>
        <w:t xml:space="preserve">ub </w:t>
      </w:r>
      <w:r>
        <w:rPr>
          <w:rFonts w:eastAsia="Calibri"/>
          <w:i/>
          <w:noProof/>
        </w:rPr>
        <w:t>f</w:t>
      </w:r>
      <w:r w:rsidRPr="00145275">
        <w:rPr>
          <w:rFonts w:eastAsia="Calibri"/>
          <w:i/>
          <w:noProof/>
        </w:rPr>
        <w:t xml:space="preserve">easibility </w:t>
      </w:r>
      <w:r>
        <w:rPr>
          <w:rFonts w:eastAsia="Calibri"/>
          <w:i/>
          <w:noProof/>
        </w:rPr>
        <w:t>s</w:t>
      </w:r>
      <w:r w:rsidRPr="00145275">
        <w:rPr>
          <w:rFonts w:eastAsia="Calibri"/>
          <w:i/>
          <w:noProof/>
        </w:rPr>
        <w:t>tudy</w:t>
      </w:r>
      <w:r>
        <w:rPr>
          <w:rFonts w:eastAsia="Calibri"/>
          <w:noProof/>
        </w:rPr>
        <w:t xml:space="preserve"> (Report). Piketon, OH: The Ohio State University South Centers.  </w:t>
      </w:r>
    </w:p>
    <w:p w:rsidR="004A3683" w:rsidRDefault="004A3683" w:rsidP="004A3683"/>
    <w:p w:rsidR="009A0B7B" w:rsidRPr="004A3683" w:rsidRDefault="00511337" w:rsidP="004A3683">
      <w:bookmarkStart w:id="0" w:name="_GoBack"/>
      <w:bookmarkEnd w:id="0"/>
    </w:p>
    <w:sectPr w:rsidR="009A0B7B" w:rsidRPr="004A3683" w:rsidSect="00B452D5">
      <w:footerReference w:type="first" r:id="rId8"/>
      <w:pgSz w:w="12240" w:h="15840" w:code="1"/>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83" w:rsidRDefault="004A3683"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83" w:rsidRDefault="004A3683"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11337"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4A3683">
      <w:rPr>
        <w:rStyle w:val="PageNumber"/>
        <w:noProof/>
      </w:rPr>
      <w:t>1</w:t>
    </w:r>
    <w:r>
      <w:rPr>
        <w:rStyle w:val="PageNumber"/>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2A7"/>
    <w:rsid w:val="002003F4"/>
    <w:rsid w:val="004A3683"/>
    <w:rsid w:val="005860D9"/>
    <w:rsid w:val="00791D44"/>
    <w:rsid w:val="007C5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C52A7"/>
    <w:pPr>
      <w:spacing w:after="60"/>
      <w:jc w:val="center"/>
      <w:outlineLvl w:val="0"/>
    </w:pPr>
    <w:rPr>
      <w:rFonts w:cs="Arial"/>
      <w:b/>
      <w:bCs/>
      <w:kern w:val="28"/>
      <w:szCs w:val="32"/>
    </w:rPr>
  </w:style>
  <w:style w:type="character" w:customStyle="1" w:styleId="TitleChar">
    <w:name w:val="Title Char"/>
    <w:basedOn w:val="DefaultParagraphFont"/>
    <w:link w:val="Title"/>
    <w:rsid w:val="007C52A7"/>
    <w:rPr>
      <w:rFonts w:ascii="Times New Roman" w:eastAsia="Times New Roman" w:hAnsi="Times New Roman" w:cs="Arial"/>
      <w:b/>
      <w:bCs/>
      <w:kern w:val="28"/>
      <w:sz w:val="24"/>
      <w:szCs w:val="32"/>
    </w:rPr>
  </w:style>
  <w:style w:type="paragraph" w:styleId="Footer">
    <w:name w:val="footer"/>
    <w:basedOn w:val="Normal"/>
    <w:link w:val="FooterChar"/>
    <w:rsid w:val="007C52A7"/>
    <w:pPr>
      <w:tabs>
        <w:tab w:val="center" w:pos="4320"/>
        <w:tab w:val="right" w:pos="8640"/>
      </w:tabs>
    </w:pPr>
  </w:style>
  <w:style w:type="character" w:customStyle="1" w:styleId="FooterChar">
    <w:name w:val="Footer Char"/>
    <w:basedOn w:val="DefaultParagraphFont"/>
    <w:link w:val="Footer"/>
    <w:rsid w:val="007C52A7"/>
    <w:rPr>
      <w:rFonts w:ascii="Times New Roman" w:eastAsia="Times New Roman" w:hAnsi="Times New Roman" w:cs="Times New Roman"/>
      <w:sz w:val="24"/>
      <w:szCs w:val="24"/>
    </w:rPr>
  </w:style>
  <w:style w:type="character" w:styleId="PageNumber">
    <w:name w:val="page number"/>
    <w:basedOn w:val="DefaultParagraphFont"/>
    <w:rsid w:val="007C52A7"/>
  </w:style>
  <w:style w:type="character" w:styleId="Hyperlink">
    <w:name w:val="Hyperlink"/>
    <w:rsid w:val="004A36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C52A7"/>
    <w:pPr>
      <w:spacing w:after="60"/>
      <w:jc w:val="center"/>
      <w:outlineLvl w:val="0"/>
    </w:pPr>
    <w:rPr>
      <w:rFonts w:cs="Arial"/>
      <w:b/>
      <w:bCs/>
      <w:kern w:val="28"/>
      <w:szCs w:val="32"/>
    </w:rPr>
  </w:style>
  <w:style w:type="character" w:customStyle="1" w:styleId="TitleChar">
    <w:name w:val="Title Char"/>
    <w:basedOn w:val="DefaultParagraphFont"/>
    <w:link w:val="Title"/>
    <w:rsid w:val="007C52A7"/>
    <w:rPr>
      <w:rFonts w:ascii="Times New Roman" w:eastAsia="Times New Roman" w:hAnsi="Times New Roman" w:cs="Arial"/>
      <w:b/>
      <w:bCs/>
      <w:kern w:val="28"/>
      <w:sz w:val="24"/>
      <w:szCs w:val="32"/>
    </w:rPr>
  </w:style>
  <w:style w:type="paragraph" w:styleId="Footer">
    <w:name w:val="footer"/>
    <w:basedOn w:val="Normal"/>
    <w:link w:val="FooterChar"/>
    <w:rsid w:val="007C52A7"/>
    <w:pPr>
      <w:tabs>
        <w:tab w:val="center" w:pos="4320"/>
        <w:tab w:val="right" w:pos="8640"/>
      </w:tabs>
    </w:pPr>
  </w:style>
  <w:style w:type="character" w:customStyle="1" w:styleId="FooterChar">
    <w:name w:val="Footer Char"/>
    <w:basedOn w:val="DefaultParagraphFont"/>
    <w:link w:val="Footer"/>
    <w:rsid w:val="007C52A7"/>
    <w:rPr>
      <w:rFonts w:ascii="Times New Roman" w:eastAsia="Times New Roman" w:hAnsi="Times New Roman" w:cs="Times New Roman"/>
      <w:sz w:val="24"/>
      <w:szCs w:val="24"/>
    </w:rPr>
  </w:style>
  <w:style w:type="character" w:styleId="PageNumber">
    <w:name w:val="page number"/>
    <w:basedOn w:val="DefaultParagraphFont"/>
    <w:rsid w:val="007C52A7"/>
  </w:style>
  <w:style w:type="character" w:styleId="Hyperlink">
    <w:name w:val="Hyperlink"/>
    <w:rsid w:val="004A36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rcworks.org/ohfood.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OSU Extension</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Joy Bauman</dc:creator>
  <cp:lastModifiedBy>Joy Bauman</cp:lastModifiedBy>
  <cp:revision>3</cp:revision>
  <dcterms:created xsi:type="dcterms:W3CDTF">2013-02-28T22:08:00Z</dcterms:created>
  <dcterms:modified xsi:type="dcterms:W3CDTF">2013-02-28T23:17:00Z</dcterms:modified>
</cp:coreProperties>
</file>