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448" w:rsidRDefault="00756448" w:rsidP="00756448">
      <w:pPr>
        <w:pStyle w:val="Title"/>
        <w:jc w:val="right"/>
      </w:pPr>
      <w:r>
        <w:t>Research</w:t>
      </w:r>
    </w:p>
    <w:p w:rsidR="00756448" w:rsidRDefault="00756448" w:rsidP="00756448">
      <w:pPr>
        <w:pStyle w:val="Title"/>
      </w:pPr>
    </w:p>
    <w:p w:rsidR="00756448" w:rsidRDefault="00756448" w:rsidP="00756448">
      <w:pPr>
        <w:pStyle w:val="Title"/>
      </w:pPr>
    </w:p>
    <w:p w:rsidR="00756448" w:rsidRDefault="00756448" w:rsidP="00756448">
      <w:pPr>
        <w:pStyle w:val="Title"/>
      </w:pPr>
    </w:p>
    <w:p w:rsidR="00756448" w:rsidRDefault="00756448" w:rsidP="00756448">
      <w:pPr>
        <w:pStyle w:val="Title"/>
      </w:pPr>
    </w:p>
    <w:p w:rsidR="00756448" w:rsidRDefault="00756448" w:rsidP="00756448">
      <w:pPr>
        <w:pStyle w:val="Title"/>
      </w:pPr>
      <w:bookmarkStart w:id="0" w:name="_GoBack"/>
      <w:r>
        <w:t>Trends in Ethnicity Demographics of [State] Secondary Agricultural Education Students</w:t>
      </w:r>
    </w:p>
    <w:bookmarkEnd w:id="0"/>
    <w:p w:rsidR="00756448" w:rsidRDefault="00756448" w:rsidP="00756448">
      <w:pPr>
        <w:pStyle w:val="Title"/>
        <w:rPr>
          <w:b w:val="0"/>
        </w:rPr>
      </w:pPr>
    </w:p>
    <w:p w:rsidR="00756448" w:rsidRPr="00763512" w:rsidRDefault="00756448" w:rsidP="00756448">
      <w:pPr>
        <w:pStyle w:val="Title"/>
        <w:rPr>
          <w:b w:val="0"/>
        </w:rPr>
      </w:pPr>
      <w:r>
        <w:rPr>
          <w:b w:val="0"/>
        </w:rPr>
        <w:t>Kristopher M. Elliott and Misty D. Lambert</w:t>
      </w:r>
    </w:p>
    <w:p w:rsidR="00756448" w:rsidRDefault="00756448" w:rsidP="00756448">
      <w:pPr>
        <w:pStyle w:val="Title"/>
        <w:rPr>
          <w:b w:val="0"/>
        </w:rPr>
      </w:pPr>
      <w:r>
        <w:rPr>
          <w:b w:val="0"/>
        </w:rPr>
        <w:t>Oregon State University</w:t>
      </w:r>
    </w:p>
    <w:p w:rsidR="00756448" w:rsidRDefault="00756448" w:rsidP="00756448">
      <w:pPr>
        <w:pStyle w:val="Title"/>
        <w:rPr>
          <w:b w:val="0"/>
        </w:rPr>
      </w:pPr>
    </w:p>
    <w:p w:rsidR="00756448" w:rsidRDefault="00756448" w:rsidP="00756448">
      <w:pPr>
        <w:pStyle w:val="Title"/>
        <w:rPr>
          <w:b w:val="0"/>
        </w:rPr>
      </w:pPr>
    </w:p>
    <w:p w:rsidR="00756448" w:rsidRDefault="00756448" w:rsidP="00756448">
      <w:pPr>
        <w:pStyle w:val="Title"/>
        <w:rPr>
          <w:b w:val="0"/>
        </w:rPr>
      </w:pPr>
    </w:p>
    <w:p w:rsidR="00756448" w:rsidRDefault="00756448" w:rsidP="00756448">
      <w:pPr>
        <w:pStyle w:val="Title"/>
        <w:rPr>
          <w:b w:val="0"/>
        </w:rPr>
      </w:pPr>
    </w:p>
    <w:p w:rsidR="00756448" w:rsidRDefault="00756448" w:rsidP="00756448">
      <w:pPr>
        <w:pStyle w:val="Title"/>
        <w:rPr>
          <w:b w:val="0"/>
        </w:rPr>
      </w:pPr>
    </w:p>
    <w:p w:rsidR="00756448" w:rsidRDefault="00756448" w:rsidP="00756448">
      <w:pPr>
        <w:pStyle w:val="Title"/>
        <w:rPr>
          <w:b w:val="0"/>
        </w:rPr>
      </w:pPr>
      <w:r>
        <w:rPr>
          <w:b w:val="0"/>
        </w:rPr>
        <w:t>112 Strand Agriculture Hall</w:t>
      </w:r>
    </w:p>
    <w:p w:rsidR="00756448" w:rsidRDefault="00756448" w:rsidP="00756448">
      <w:pPr>
        <w:pStyle w:val="Title"/>
        <w:rPr>
          <w:b w:val="0"/>
        </w:rPr>
      </w:pPr>
      <w:r>
        <w:rPr>
          <w:b w:val="0"/>
        </w:rPr>
        <w:t>Corvallis, OR  97331</w:t>
      </w:r>
    </w:p>
    <w:p w:rsidR="00756448" w:rsidRDefault="00756448" w:rsidP="00756448">
      <w:pPr>
        <w:pStyle w:val="Title"/>
        <w:rPr>
          <w:b w:val="0"/>
        </w:rPr>
      </w:pPr>
      <w:r>
        <w:rPr>
          <w:b w:val="0"/>
        </w:rPr>
        <w:t>(541) 737- 1338</w:t>
      </w:r>
    </w:p>
    <w:p w:rsidR="00756448" w:rsidRDefault="00756448" w:rsidP="00756448">
      <w:pPr>
        <w:pStyle w:val="Title"/>
        <w:rPr>
          <w:b w:val="0"/>
        </w:rPr>
      </w:pPr>
      <w:r w:rsidRPr="006D3220">
        <w:rPr>
          <w:b w:val="0"/>
        </w:rPr>
        <w:t>Kris.Elliott@oregonstate.edu</w:t>
      </w:r>
    </w:p>
    <w:p w:rsidR="00756448" w:rsidRDefault="00756448" w:rsidP="00756448">
      <w:pPr>
        <w:pStyle w:val="Title"/>
        <w:rPr>
          <w:b w:val="0"/>
        </w:rPr>
      </w:pPr>
      <w:r w:rsidRPr="006D3220">
        <w:rPr>
          <w:b w:val="0"/>
        </w:rPr>
        <w:t>Misty.Lambert@oregonstate.edu</w:t>
      </w:r>
    </w:p>
    <w:p w:rsidR="00756448" w:rsidRDefault="00756448" w:rsidP="00756448">
      <w:pPr>
        <w:pStyle w:val="Title"/>
        <w:rPr>
          <w:b w:val="0"/>
        </w:rPr>
      </w:pPr>
    </w:p>
    <w:p w:rsidR="00756448" w:rsidRDefault="00756448" w:rsidP="00756448">
      <w:pPr>
        <w:pStyle w:val="Title"/>
        <w:rPr>
          <w:b w:val="0"/>
        </w:rPr>
      </w:pPr>
    </w:p>
    <w:p w:rsidR="00756448" w:rsidRDefault="00756448" w:rsidP="00756448">
      <w:pPr>
        <w:pStyle w:val="Title"/>
        <w:rPr>
          <w:b w:val="0"/>
        </w:rPr>
      </w:pPr>
    </w:p>
    <w:p w:rsidR="00756448" w:rsidRDefault="00756448" w:rsidP="00756448">
      <w:pPr>
        <w:pStyle w:val="Title"/>
        <w:sectPr w:rsidR="00756448" w:rsidSect="005E7A11">
          <w:footerReference w:type="default" r:id="rId5"/>
          <w:footerReference w:type="first" r:id="rId6"/>
          <w:pgSz w:w="12240" w:h="15840" w:code="1"/>
          <w:pgMar w:top="1440" w:right="1440" w:bottom="1440" w:left="1440" w:header="720" w:footer="720" w:gutter="0"/>
          <w:pgNumType w:start="1"/>
          <w:cols w:space="720"/>
          <w:titlePg/>
          <w:docGrid w:linePitch="360"/>
        </w:sectPr>
      </w:pPr>
    </w:p>
    <w:p w:rsidR="00756448" w:rsidRPr="008D2FCB" w:rsidRDefault="00756448" w:rsidP="00756448">
      <w:pPr>
        <w:jc w:val="center"/>
        <w:rPr>
          <w:b/>
        </w:rPr>
      </w:pPr>
      <w:r>
        <w:lastRenderedPageBreak/>
        <w:t>Trends in Ethnicity Demographics of [State] Secondary Agricultural Education Students</w:t>
      </w:r>
    </w:p>
    <w:p w:rsidR="00756448" w:rsidRDefault="00756448" w:rsidP="00756448">
      <w:pPr>
        <w:jc w:val="center"/>
        <w:rPr>
          <w:b/>
        </w:rPr>
      </w:pPr>
    </w:p>
    <w:p w:rsidR="00756448" w:rsidRPr="00EB7F54" w:rsidRDefault="00756448" w:rsidP="00756448">
      <w:pPr>
        <w:jc w:val="center"/>
        <w:rPr>
          <w:b/>
        </w:rPr>
      </w:pPr>
      <w:r>
        <w:rPr>
          <w:b/>
        </w:rPr>
        <w:t>Introduction</w:t>
      </w:r>
    </w:p>
    <w:p w:rsidR="00756448" w:rsidRDefault="00756448" w:rsidP="00756448">
      <w:pPr>
        <w:ind w:firstLine="720"/>
      </w:pPr>
      <w:r>
        <w:t>The United States is rapidly becoming a more diverse society. The US Census (2011) estimates that people of Hispanic-origin will account for approximately 60% of our nation’s total population growth from 2030 to 2050. In our nation’s schools, Hispanic students accounted for 60% of the growth in public schools between 1990 and 2006 (Fry &amp; Gonzales, 2008).  [State] has already begun to experience the changes that are still many years in the distance for our country at large, just as policy makers continue to argue that the state’s public schools are not addressing the needs of the non-White population (</w:t>
      </w:r>
      <w:proofErr w:type="spellStart"/>
      <w:r>
        <w:t>Spiess</w:t>
      </w:r>
      <w:proofErr w:type="spellEnd"/>
      <w:r>
        <w:t xml:space="preserve">, 2008). In fact, all non-Hispanic race groups combined make up less than half of the student population in [State] (CBEDS, 2013). Given this data, we argue the importance of investigating how well the trends in student demographics in [State] Agricultural Education reflect the overall student population in the state; most arguably, the Hispanic population. </w:t>
      </w:r>
    </w:p>
    <w:p w:rsidR="00756448" w:rsidRDefault="00756448" w:rsidP="00756448">
      <w:pPr>
        <w:rPr>
          <w:b/>
        </w:rPr>
      </w:pPr>
      <w:r>
        <w:tab/>
      </w:r>
      <w:r>
        <w:rPr>
          <w:b/>
        </w:rPr>
        <w:tab/>
      </w:r>
    </w:p>
    <w:p w:rsidR="00756448" w:rsidRDefault="00756448" w:rsidP="00756448">
      <w:pPr>
        <w:jc w:val="center"/>
        <w:rPr>
          <w:b/>
        </w:rPr>
      </w:pPr>
      <w:r>
        <w:rPr>
          <w:b/>
        </w:rPr>
        <w:t>Conceptual Framework</w:t>
      </w:r>
    </w:p>
    <w:p w:rsidR="00756448" w:rsidRDefault="00756448" w:rsidP="00756448">
      <w:r>
        <w:rPr>
          <w:b/>
        </w:rPr>
        <w:tab/>
      </w:r>
      <w:r>
        <w:t>The American Association for Agricultural Education national research agenda, priority three, calls for a sufficient supply of agricultural scientists that will meet the needs of the 21</w:t>
      </w:r>
      <w:r w:rsidRPr="0063684A">
        <w:rPr>
          <w:vertAlign w:val="superscript"/>
        </w:rPr>
        <w:t>st</w:t>
      </w:r>
      <w:r>
        <w:t xml:space="preserve"> century, while priority six calls for vibrant and resilient communities (</w:t>
      </w:r>
      <w:proofErr w:type="spellStart"/>
      <w:r>
        <w:t>Doerfert</w:t>
      </w:r>
      <w:proofErr w:type="spellEnd"/>
      <w:r>
        <w:t>, 2011). Neither of these lofty goals can be addressed if we fail to include a persistent and meaningful line of research that investigates the needs of underrepresented groups. Currently, the National FFA and Ag Ed demographics do not reflect that of our nation’s public schools (Grady et al., 2009). Based upon the national and state demographic trends, our research seeks to identify the trends specific to Hispanic students in our profession. If we fail to address this growing student population, it will likely become more and more difficult to address the priorities listed above.</w:t>
      </w:r>
    </w:p>
    <w:p w:rsidR="00756448" w:rsidRDefault="00756448" w:rsidP="00756448">
      <w:pPr>
        <w:jc w:val="center"/>
      </w:pPr>
    </w:p>
    <w:p w:rsidR="00756448" w:rsidRDefault="00756448" w:rsidP="00756448">
      <w:pPr>
        <w:jc w:val="center"/>
        <w:rPr>
          <w:b/>
        </w:rPr>
      </w:pPr>
      <w:r>
        <w:rPr>
          <w:b/>
        </w:rPr>
        <w:t>Methodology</w:t>
      </w:r>
    </w:p>
    <w:p w:rsidR="00756448" w:rsidRDefault="00756448" w:rsidP="00756448">
      <w:pPr>
        <w:ind w:firstLine="720"/>
      </w:pPr>
      <w:r w:rsidRPr="005B3409">
        <w:t>Given the interest in</w:t>
      </w:r>
      <w:r>
        <w:rPr>
          <w:b/>
        </w:rPr>
        <w:t xml:space="preserve"> </w:t>
      </w:r>
      <w:r w:rsidRPr="005B3409">
        <w:t>addressing the current trends of Hispanic students in</w:t>
      </w:r>
      <w:r>
        <w:rPr>
          <w:b/>
        </w:rPr>
        <w:t xml:space="preserve"> </w:t>
      </w:r>
      <w:r w:rsidRPr="005B3409">
        <w:t>Agricultural Education,</w:t>
      </w:r>
      <w:r>
        <w:rPr>
          <w:b/>
        </w:rPr>
        <w:t xml:space="preserve"> </w:t>
      </w:r>
      <w:r>
        <w:t xml:space="preserve">[State] was chosen as a unique population to study for three primary reasons: 1) the state has a large number of students enrolled in Agricultural Education, currently over 65,000; 2) the state compiles annual and comprehensive demographics of programs, teachers, and students through the R-2 reporting system and statewide data through the CBEDS/Dataquest site, and; 3) the state is one of a handful of states experiencing a large growth of Hispanic students relative to the overall nation (Roberts et al., 2009). The researchers obtained access to the [State] Department of Education’s database of student demographics in Agricultural Education, managed by the Agricultural Education unit, and downloaded state-wide data through the CBEDS website from 2002 to 2012. </w:t>
      </w:r>
    </w:p>
    <w:p w:rsidR="00756448" w:rsidRPr="005B3409" w:rsidRDefault="00756448" w:rsidP="00756448">
      <w:r>
        <w:tab/>
        <w:t>The Hispanic or non-Hispanic data were analyzed year by year. Charts were developed in order to compare the trends of agriculture enrollment versus statewide students at large, though there are several key factors that should be noted. First of all, the Agricultural Education data are self-reported by each program, though the state’s agricultural education staff conduct annual audits and periodic visits of each program to ensure accurate reporting (</w:t>
      </w:r>
      <w:proofErr w:type="spellStart"/>
      <w:r>
        <w:t>Spiess</w:t>
      </w:r>
      <w:proofErr w:type="spellEnd"/>
      <w:r>
        <w:t xml:space="preserve">, 2008). Secondly, the federal government changed the Hispanic classification, no longer considering it as a race but an ethnicity, and though the R-2 report began accounting for this change in 2007, the data can only be compared over the ten-year period by disaggregating the student data as Hispanic versus non-Hispanic. The data were compared in percentages, as the total number of students tended to vary slightly year by year, with just over 56,000 students in 2002 to over 73,500 in 2012, a 31% increase in total membership over the </w:t>
      </w:r>
      <w:proofErr w:type="gramStart"/>
      <w:r>
        <w:t>ten year</w:t>
      </w:r>
      <w:proofErr w:type="gramEnd"/>
      <w:r>
        <w:t xml:space="preserve"> period of the study. Finally, it should also be noted that other races/ethnicities such as Asian, Native American, and African American, included in the non-Hispanic data, only account for 8% of the data set in 2002 and 12 of the category in 2012. Though future studies should target each of these groups, this study only targeted the Hispanic population.</w:t>
      </w:r>
    </w:p>
    <w:p w:rsidR="00756448" w:rsidRDefault="00756448" w:rsidP="00756448">
      <w:pPr>
        <w:jc w:val="center"/>
        <w:rPr>
          <w:b/>
        </w:rPr>
      </w:pPr>
    </w:p>
    <w:p w:rsidR="00756448" w:rsidRPr="004B308E" w:rsidRDefault="00756448" w:rsidP="00756448">
      <w:pPr>
        <w:jc w:val="center"/>
        <w:rPr>
          <w:b/>
        </w:rPr>
      </w:pPr>
      <w:r w:rsidRPr="004B308E">
        <w:rPr>
          <w:b/>
        </w:rPr>
        <w:t>Results</w:t>
      </w:r>
    </w:p>
    <w:p w:rsidR="00756448" w:rsidRDefault="00756448" w:rsidP="00756448">
      <w:pPr>
        <w:ind w:firstLine="720"/>
      </w:pPr>
      <w:r>
        <w:t>Data for the</w:t>
      </w:r>
      <w:r w:rsidRPr="004B308E">
        <w:t xml:space="preserve"> </w:t>
      </w:r>
      <w:r>
        <w:t>ten-</w:t>
      </w:r>
      <w:r w:rsidRPr="004B308E">
        <w:t>year time period observed</w:t>
      </w:r>
      <w:r>
        <w:t xml:space="preserve"> in this study reveal </w:t>
      </w:r>
      <w:r w:rsidRPr="004B308E">
        <w:t>an observable increase in Hispanic students when compared to non-Hispanic stude</w:t>
      </w:r>
      <w:r>
        <w:t>nts. In 2002, Hispanic students accounted for 34% (</w:t>
      </w:r>
      <w:r w:rsidRPr="00306B27">
        <w:rPr>
          <w:i/>
        </w:rPr>
        <w:t>f</w:t>
      </w:r>
      <w:r>
        <w:t xml:space="preserve"> = 19,014) of Ag Ed enrollment. By the year 2012, Hispanic </w:t>
      </w:r>
      <w:r w:rsidRPr="006D2441">
        <w:t xml:space="preserve">student enrollment had increased to just </w:t>
      </w:r>
      <w:proofErr w:type="gramStart"/>
      <w:r w:rsidRPr="006D2441">
        <w:t>under</w:t>
      </w:r>
      <w:proofErr w:type="gramEnd"/>
      <w:r w:rsidRPr="006D2441">
        <w:t xml:space="preserve"> 50% (</w:t>
      </w:r>
      <w:r w:rsidRPr="006D2441">
        <w:rPr>
          <w:i/>
        </w:rPr>
        <w:t>f</w:t>
      </w:r>
      <w:r w:rsidRPr="006D2441">
        <w:t xml:space="preserve"> = 36,705) of total Ag Ed enrollment in </w:t>
      </w:r>
      <w:r>
        <w:t>[State] (R-2 Data, 2012)</w:t>
      </w:r>
      <w:r w:rsidRPr="006D2441">
        <w:t xml:space="preserve">. In the same time period, </w:t>
      </w:r>
      <w:r>
        <w:t>the</w:t>
      </w:r>
      <w:r w:rsidRPr="006D2441">
        <w:t xml:space="preserve"> enrollment of Hispanic students </w:t>
      </w:r>
      <w:r>
        <w:t xml:space="preserve">in all of [State]’s public schools </w:t>
      </w:r>
      <w:r w:rsidRPr="006D2441">
        <w:t>jumped from 44% (</w:t>
      </w:r>
      <w:r w:rsidRPr="006D2441">
        <w:rPr>
          <w:i/>
        </w:rPr>
        <w:t xml:space="preserve">f </w:t>
      </w:r>
      <w:r w:rsidRPr="006D2441">
        <w:t xml:space="preserve">= </w:t>
      </w:r>
      <w:r w:rsidRPr="006D2441">
        <w:rPr>
          <w:rFonts w:eastAsia="Calibri"/>
          <w:color w:val="000000"/>
          <w:shd w:val="clear" w:color="auto" w:fill="FFFFFF"/>
        </w:rPr>
        <w:t>2,717,602) in 2002 to 52% (</w:t>
      </w:r>
      <w:r w:rsidRPr="006D2441">
        <w:rPr>
          <w:rFonts w:eastAsia="Calibri"/>
          <w:i/>
          <w:color w:val="000000"/>
          <w:shd w:val="clear" w:color="auto" w:fill="FFFFFF"/>
        </w:rPr>
        <w:t xml:space="preserve">f </w:t>
      </w:r>
      <w:r w:rsidRPr="006D2441">
        <w:rPr>
          <w:rFonts w:eastAsia="Calibri"/>
          <w:color w:val="000000"/>
          <w:shd w:val="clear" w:color="auto" w:fill="FFFFFF"/>
        </w:rPr>
        <w:t>= 3,236,942)</w:t>
      </w:r>
      <w:r>
        <w:rPr>
          <w:rFonts w:eastAsia="Calibri"/>
          <w:color w:val="000000"/>
          <w:shd w:val="clear" w:color="auto" w:fill="FFFFFF"/>
        </w:rPr>
        <w:t>. In 2010, there were more Hispanics than non-Hispanics enrolled in [State]’s public schools, the first time that this had been observed in the ten-year study period. Only two years later in 2012, Hispanic student enrollment in Ag Ed surpassed non-Hispanic enrollment for the first time (R-2 Data, 2012). Though National FFA enrollment does not encompass all students in Ag Ed, the number of Hispanic/Latino students is only 15% (National FFA, 2013).</w:t>
      </w:r>
    </w:p>
    <w:p w:rsidR="00756448" w:rsidRPr="00FB3312" w:rsidRDefault="00756448" w:rsidP="00756448">
      <w:pPr>
        <w:rPr>
          <w:i/>
        </w:rPr>
      </w:pPr>
    </w:p>
    <w:p w:rsidR="00756448" w:rsidRDefault="00756448" w:rsidP="00756448">
      <w:pPr>
        <w:jc w:val="center"/>
        <w:rPr>
          <w:b/>
        </w:rPr>
      </w:pPr>
      <w:r>
        <w:rPr>
          <w:b/>
        </w:rPr>
        <w:t>Conclusion/Implications/</w:t>
      </w:r>
      <w:r w:rsidRPr="00592889">
        <w:rPr>
          <w:b/>
        </w:rPr>
        <w:t xml:space="preserve"> </w:t>
      </w:r>
      <w:r>
        <w:rPr>
          <w:b/>
        </w:rPr>
        <w:t>Recommendations</w:t>
      </w:r>
    </w:p>
    <w:p w:rsidR="00756448" w:rsidRDefault="00756448" w:rsidP="00756448">
      <w:r>
        <w:rPr>
          <w:b/>
        </w:rPr>
        <w:tab/>
      </w:r>
      <w:r>
        <w:t xml:space="preserve">The study shows the student demographics of Hispanics versus non-Hispanics in [State] statistically mirror each other, with less than a 2% difference between Ag Ed students and public school students at large. Over the ten-year period of the study, the growth rate in Agricultural Education among Hispanic students took place more rapidly than the overall growth statewide, catching up to the state enrollment percentages in 2012. These results show that the goal of statewide parity among Hispanic students in and outside of Ag Ed has been achieved. This still, however, presents us with more questions. Though the statewide data look promising, what do individual schools and regions of the state look like? How do these trends correlate to the national student enrollment trends in and outside of Ag Education? Are these trends unique or do they closely mirror states with similar student demographics? </w:t>
      </w:r>
    </w:p>
    <w:p w:rsidR="00756448" w:rsidRDefault="00756448" w:rsidP="00756448">
      <w:r>
        <w:tab/>
        <w:t>The researchers recommend further study within and outside of [State] to begin to answer these important questions. The data do not show what caused the rapid acceleration of Hispanic enrollment in Ag Ed in [State]; nor can we predict or forecast if this trend will continue at its current rate. We must continue to investigate how our programs serve Hispanic students, and what role culture may play in the way programs are run and how successful students are. As [State] is a 100% membership state, we cannot determine the engagement level of these Hispanic students. Are we satisfied with equitable Hispanic enrollment if it does not address how well we are connecting with these students once they are enrolled? Further studies are needed.</w:t>
      </w:r>
    </w:p>
    <w:p w:rsidR="00756448" w:rsidRPr="00297F70" w:rsidRDefault="00756448" w:rsidP="00756448">
      <w:r>
        <w:tab/>
        <w:t xml:space="preserve">Finally, the researchers found it difficult to make claims outside of the state in the study, as data are not widely available on a national level. The National FFA freely provides the demographics of its membership; however, not every state has 100% or affiliated membership programs, making it difficult to make claims about national Ag Ed trends and level of involvement. Hopefully, this study will provide other states the opportunity to investigate their own demographic trends with regard to the growing Hispanic population, and that successful strategies for meeting the needs of this growing demographic can be shared freely. </w:t>
      </w:r>
    </w:p>
    <w:p w:rsidR="00756448" w:rsidRDefault="00756448" w:rsidP="00756448">
      <w:pPr>
        <w:jc w:val="center"/>
        <w:rPr>
          <w:b/>
        </w:rPr>
      </w:pPr>
      <w:r w:rsidRPr="008D2FCB">
        <w:rPr>
          <w:b/>
        </w:rPr>
        <w:t>References</w:t>
      </w:r>
    </w:p>
    <w:p w:rsidR="00756448" w:rsidRDefault="00756448" w:rsidP="00756448">
      <w:pPr>
        <w:jc w:val="center"/>
        <w:rPr>
          <w:b/>
        </w:rPr>
      </w:pPr>
    </w:p>
    <w:p w:rsidR="00756448" w:rsidRDefault="00756448" w:rsidP="00756448">
      <w:pPr>
        <w:ind w:left="720" w:hanging="720"/>
      </w:pPr>
      <w:proofErr w:type="spellStart"/>
      <w:proofErr w:type="gramStart"/>
      <w:r>
        <w:t>Doerfert</w:t>
      </w:r>
      <w:proofErr w:type="spellEnd"/>
      <w:r>
        <w:t>, D. L. (Ed.) (2011).</w:t>
      </w:r>
      <w:proofErr w:type="gramEnd"/>
      <w:r>
        <w:t xml:space="preserve"> </w:t>
      </w:r>
      <w:r w:rsidRPr="009238BE">
        <w:rPr>
          <w:i/>
        </w:rPr>
        <w:t>National research agenda: American Association for Agricultural Education’s research priority areas for 2011-2015</w:t>
      </w:r>
      <w:r>
        <w:t>. Lubbock, TX: Texas Tech University, Department of Agricultural Education and Communications.</w:t>
      </w:r>
    </w:p>
    <w:p w:rsidR="00756448" w:rsidRDefault="00756448" w:rsidP="00756448">
      <w:pPr>
        <w:ind w:left="720" w:hanging="720"/>
      </w:pPr>
    </w:p>
    <w:p w:rsidR="00756448" w:rsidRDefault="00756448" w:rsidP="00756448">
      <w:pPr>
        <w:ind w:left="720" w:hanging="720"/>
      </w:pPr>
      <w:r>
        <w:t>[State]</w:t>
      </w:r>
      <w:r w:rsidRPr="00843703">
        <w:t xml:space="preserve"> </w:t>
      </w:r>
      <w:proofErr w:type="gramStart"/>
      <w:r w:rsidRPr="00843703">
        <w:t xml:space="preserve">Department of Education, </w:t>
      </w:r>
      <w:r>
        <w:t>(</w:t>
      </w:r>
      <w:r w:rsidRPr="00843703">
        <w:t>2013</w:t>
      </w:r>
      <w:r>
        <w:t>).</w:t>
      </w:r>
      <w:proofErr w:type="gramEnd"/>
      <w:r>
        <w:t xml:space="preserve"> </w:t>
      </w:r>
      <w:r w:rsidRPr="009238BE">
        <w:rPr>
          <w:i/>
        </w:rPr>
        <w:t>CBEDS data</w:t>
      </w:r>
      <w:r>
        <w:t xml:space="preserve">. Retrieved January 6, 2013, from </w:t>
      </w:r>
      <w:hyperlink r:id="rId7" w:history="1">
        <w:r w:rsidRPr="00756448">
          <w:rPr>
            <w:rStyle w:val="Hyperlink"/>
            <w:color w:val="000000"/>
            <w:u w:val="none"/>
          </w:rPr>
          <w:t>http://dq.cde.ca.gov/dataquest/</w:t>
        </w:r>
      </w:hyperlink>
    </w:p>
    <w:p w:rsidR="00756448" w:rsidRDefault="00756448" w:rsidP="00756448">
      <w:pPr>
        <w:ind w:left="720" w:hanging="720"/>
        <w:rPr>
          <w:color w:val="000000"/>
        </w:rPr>
      </w:pPr>
    </w:p>
    <w:p w:rsidR="00756448" w:rsidRPr="0037361A" w:rsidRDefault="00756448" w:rsidP="00756448">
      <w:pPr>
        <w:ind w:left="720" w:hanging="720"/>
        <w:rPr>
          <w:i/>
        </w:rPr>
      </w:pPr>
      <w:r>
        <w:rPr>
          <w:color w:val="000000"/>
        </w:rPr>
        <w:t xml:space="preserve">Fry, R. &amp; Gonzales, F. (2008). </w:t>
      </w:r>
      <w:r w:rsidRPr="009238BE">
        <w:rPr>
          <w:i/>
          <w:color w:val="000000"/>
        </w:rPr>
        <w:t>One-in-five and growing fast: A profile of Hispanic public school students</w:t>
      </w:r>
      <w:r>
        <w:rPr>
          <w:color w:val="000000"/>
        </w:rPr>
        <w:t>. Washington, DC: Pew Hispanic Center. Retrieved January 10, 2013, from http://pewhispanic.org/reports.</w:t>
      </w:r>
    </w:p>
    <w:p w:rsidR="00756448" w:rsidRDefault="00756448" w:rsidP="00756448">
      <w:pPr>
        <w:ind w:left="720" w:hanging="720"/>
      </w:pPr>
    </w:p>
    <w:p w:rsidR="00756448" w:rsidRDefault="00756448" w:rsidP="00756448">
      <w:pPr>
        <w:ind w:left="720" w:hanging="720"/>
      </w:pPr>
      <w:r>
        <w:t xml:space="preserve">Grady, R. T., Hall, J. L., Briers, G. E., Gill, E., Shinn, G., C., &amp; </w:t>
      </w:r>
      <w:proofErr w:type="spellStart"/>
      <w:r>
        <w:t>Jaure</w:t>
      </w:r>
      <w:proofErr w:type="spellEnd"/>
      <w:r>
        <w:t xml:space="preserve">, P. (2009). Engaging Hispanic students in agricultural education and the FFA: A 3-year case study. </w:t>
      </w:r>
      <w:proofErr w:type="gramStart"/>
      <w:r>
        <w:rPr>
          <w:i/>
        </w:rPr>
        <w:t>Journal of Agricultural Education, 50</w:t>
      </w:r>
      <w:r>
        <w:t>(3), 69-80.</w:t>
      </w:r>
      <w:proofErr w:type="gramEnd"/>
      <w:r>
        <w:t xml:space="preserve"> </w:t>
      </w:r>
    </w:p>
    <w:p w:rsidR="00756448" w:rsidRPr="00F14379" w:rsidRDefault="00756448" w:rsidP="00756448">
      <w:pPr>
        <w:ind w:left="720"/>
      </w:pPr>
      <w:proofErr w:type="spellStart"/>
      <w:proofErr w:type="gramStart"/>
      <w:r>
        <w:t>doi</w:t>
      </w:r>
      <w:proofErr w:type="spellEnd"/>
      <w:proofErr w:type="gramEnd"/>
      <w:r>
        <w:t>: 10.5032/jae.2009.03069</w:t>
      </w:r>
    </w:p>
    <w:p w:rsidR="00756448" w:rsidRDefault="00756448" w:rsidP="00756448"/>
    <w:p w:rsidR="00756448" w:rsidRPr="00756448" w:rsidRDefault="00756448" w:rsidP="00756448">
      <w:pPr>
        <w:ind w:left="720" w:hanging="720"/>
      </w:pPr>
      <w:r>
        <w:t xml:space="preserve">National FFA, (2013). Who We Are – Statistics. Retrieved February 19, 2013, from </w:t>
      </w:r>
      <w:hyperlink r:id="rId8" w:history="1">
        <w:r w:rsidRPr="00756448">
          <w:rPr>
            <w:rStyle w:val="Hyperlink"/>
            <w:color w:val="000000"/>
            <w:u w:val="none"/>
          </w:rPr>
          <w:t>https://www.ffa.org/about/whoweare/Pages/Statistics.aspx</w:t>
        </w:r>
      </w:hyperlink>
    </w:p>
    <w:p w:rsidR="00756448" w:rsidRDefault="00756448" w:rsidP="00756448">
      <w:pPr>
        <w:ind w:left="720" w:hanging="720"/>
      </w:pPr>
    </w:p>
    <w:p w:rsidR="00756448" w:rsidRDefault="00756448" w:rsidP="00756448">
      <w:pPr>
        <w:ind w:left="720" w:hanging="720"/>
        <w:rPr>
          <w:i/>
        </w:rPr>
      </w:pPr>
      <w:r>
        <w:t xml:space="preserve">R-2 Data, (2012). </w:t>
      </w:r>
      <w:proofErr w:type="gramStart"/>
      <w:r>
        <w:t>California Department of Education, Agricultural Education Unit.</w:t>
      </w:r>
      <w:proofErr w:type="gramEnd"/>
      <w:r>
        <w:t xml:space="preserve"> Retrieved December 15, 2012, from http://www.calaged.org/r2</w:t>
      </w:r>
    </w:p>
    <w:p w:rsidR="00756448" w:rsidRDefault="00756448" w:rsidP="00756448"/>
    <w:p w:rsidR="00756448" w:rsidRDefault="00756448" w:rsidP="00756448">
      <w:pPr>
        <w:ind w:left="720" w:hanging="720"/>
      </w:pPr>
      <w:proofErr w:type="spellStart"/>
      <w:r>
        <w:t>Spiess</w:t>
      </w:r>
      <w:proofErr w:type="spellEnd"/>
      <w:r>
        <w:t xml:space="preserve">, M. (2008). FFA diversity – Establishing benchmarks and tracking developing trends. </w:t>
      </w:r>
      <w:proofErr w:type="gramStart"/>
      <w:r>
        <w:rPr>
          <w:i/>
        </w:rPr>
        <w:t>Proceedings of the 35</w:t>
      </w:r>
      <w:r w:rsidRPr="00183F94">
        <w:rPr>
          <w:i/>
          <w:vertAlign w:val="superscript"/>
        </w:rPr>
        <w:t>th</w:t>
      </w:r>
      <w:r>
        <w:rPr>
          <w:i/>
        </w:rPr>
        <w:t xml:space="preserve"> Annual National Agricultural Education Research Conference, 35,</w:t>
      </w:r>
      <w:r>
        <w:t xml:space="preserve"> 1014-1016.</w:t>
      </w:r>
      <w:proofErr w:type="gramEnd"/>
    </w:p>
    <w:p w:rsidR="00756448" w:rsidRDefault="00756448" w:rsidP="00756448">
      <w:pPr>
        <w:ind w:left="720" w:hanging="720"/>
      </w:pPr>
    </w:p>
    <w:p w:rsidR="00756448" w:rsidRDefault="00756448" w:rsidP="00756448">
      <w:pPr>
        <w:ind w:left="720" w:hanging="720"/>
      </w:pPr>
      <w:r>
        <w:t>US Census. (2011)</w:t>
      </w:r>
      <w:proofErr w:type="gramStart"/>
      <w:r>
        <w:t xml:space="preserve">. </w:t>
      </w:r>
      <w:r w:rsidRPr="009238BE">
        <w:rPr>
          <w:i/>
        </w:rPr>
        <w:t>Population Profile of the United States</w:t>
      </w:r>
      <w:r>
        <w:t>.</w:t>
      </w:r>
      <w:proofErr w:type="gramEnd"/>
      <w:r>
        <w:t xml:space="preserve"> Retrieved February 10, 2013, from http://census.gov/population/www/op-profile/natproj.html</w:t>
      </w:r>
    </w:p>
    <w:p w:rsidR="006C541F" w:rsidRDefault="006C541F"/>
    <w:sectPr w:rsidR="006C541F" w:rsidSect="00756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1A" w:rsidRDefault="00756448"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61A" w:rsidRDefault="00756448" w:rsidP="005E7A11">
    <w:pPr>
      <w:pStyle w:val="Footer"/>
      <w:tabs>
        <w:tab w:val="clear" w:pos="4320"/>
        <w:tab w:val="center" w:pos="4680"/>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448"/>
    <w:rsid w:val="006C541F"/>
    <w:rsid w:val="00756448"/>
    <w:rsid w:val="009E65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549E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44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56448"/>
    <w:pPr>
      <w:spacing w:after="60"/>
      <w:jc w:val="center"/>
      <w:outlineLvl w:val="0"/>
    </w:pPr>
    <w:rPr>
      <w:rFonts w:cs="Arial"/>
      <w:b/>
      <w:bCs/>
      <w:kern w:val="28"/>
      <w:szCs w:val="32"/>
    </w:rPr>
  </w:style>
  <w:style w:type="character" w:customStyle="1" w:styleId="TitleChar">
    <w:name w:val="Title Char"/>
    <w:basedOn w:val="DefaultParagraphFont"/>
    <w:link w:val="Title"/>
    <w:rsid w:val="00756448"/>
    <w:rPr>
      <w:rFonts w:ascii="Times New Roman" w:eastAsia="Times New Roman" w:hAnsi="Times New Roman" w:cs="Arial"/>
      <w:b/>
      <w:bCs/>
      <w:kern w:val="28"/>
      <w:szCs w:val="32"/>
    </w:rPr>
  </w:style>
  <w:style w:type="paragraph" w:styleId="Footer">
    <w:name w:val="footer"/>
    <w:basedOn w:val="Normal"/>
    <w:link w:val="FooterChar"/>
    <w:rsid w:val="00756448"/>
    <w:pPr>
      <w:tabs>
        <w:tab w:val="center" w:pos="4320"/>
        <w:tab w:val="right" w:pos="8640"/>
      </w:tabs>
    </w:pPr>
  </w:style>
  <w:style w:type="character" w:customStyle="1" w:styleId="FooterChar">
    <w:name w:val="Footer Char"/>
    <w:basedOn w:val="DefaultParagraphFont"/>
    <w:link w:val="Footer"/>
    <w:rsid w:val="00756448"/>
    <w:rPr>
      <w:rFonts w:ascii="Times New Roman" w:eastAsia="Times New Roman" w:hAnsi="Times New Roman" w:cs="Times New Roman"/>
    </w:rPr>
  </w:style>
  <w:style w:type="character" w:styleId="PageNumber">
    <w:name w:val="page number"/>
    <w:basedOn w:val="DefaultParagraphFont"/>
    <w:rsid w:val="00756448"/>
  </w:style>
  <w:style w:type="character" w:styleId="Hyperlink">
    <w:name w:val="Hyperlink"/>
    <w:rsid w:val="0075644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44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56448"/>
    <w:pPr>
      <w:spacing w:after="60"/>
      <w:jc w:val="center"/>
      <w:outlineLvl w:val="0"/>
    </w:pPr>
    <w:rPr>
      <w:rFonts w:cs="Arial"/>
      <w:b/>
      <w:bCs/>
      <w:kern w:val="28"/>
      <w:szCs w:val="32"/>
    </w:rPr>
  </w:style>
  <w:style w:type="character" w:customStyle="1" w:styleId="TitleChar">
    <w:name w:val="Title Char"/>
    <w:basedOn w:val="DefaultParagraphFont"/>
    <w:link w:val="Title"/>
    <w:rsid w:val="00756448"/>
    <w:rPr>
      <w:rFonts w:ascii="Times New Roman" w:eastAsia="Times New Roman" w:hAnsi="Times New Roman" w:cs="Arial"/>
      <w:b/>
      <w:bCs/>
      <w:kern w:val="28"/>
      <w:szCs w:val="32"/>
    </w:rPr>
  </w:style>
  <w:style w:type="paragraph" w:styleId="Footer">
    <w:name w:val="footer"/>
    <w:basedOn w:val="Normal"/>
    <w:link w:val="FooterChar"/>
    <w:rsid w:val="00756448"/>
    <w:pPr>
      <w:tabs>
        <w:tab w:val="center" w:pos="4320"/>
        <w:tab w:val="right" w:pos="8640"/>
      </w:tabs>
    </w:pPr>
  </w:style>
  <w:style w:type="character" w:customStyle="1" w:styleId="FooterChar">
    <w:name w:val="Footer Char"/>
    <w:basedOn w:val="DefaultParagraphFont"/>
    <w:link w:val="Footer"/>
    <w:rsid w:val="00756448"/>
    <w:rPr>
      <w:rFonts w:ascii="Times New Roman" w:eastAsia="Times New Roman" w:hAnsi="Times New Roman" w:cs="Times New Roman"/>
    </w:rPr>
  </w:style>
  <w:style w:type="character" w:styleId="PageNumber">
    <w:name w:val="page number"/>
    <w:basedOn w:val="DefaultParagraphFont"/>
    <w:rsid w:val="00756448"/>
  </w:style>
  <w:style w:type="character" w:styleId="Hyperlink">
    <w:name w:val="Hyperlink"/>
    <w:rsid w:val="007564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hyperlink" Target="http://dq.cde.ca.gov/dataquest/" TargetMode="External"/><Relationship Id="rId8" Type="http://schemas.openxmlformats.org/officeDocument/2006/relationships/hyperlink" Target="https://www.ffa.org/about/whoweare/Pages/Statistics.aspx"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1403</Words>
  <Characters>8003</Characters>
  <Application>Microsoft Macintosh Word</Application>
  <DocSecurity>0</DocSecurity>
  <Lines>66</Lines>
  <Paragraphs>18</Paragraphs>
  <ScaleCrop>false</ScaleCrop>
  <Company/>
  <LinksUpToDate>false</LinksUpToDate>
  <CharactersWithSpaces>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Elliott</dc:creator>
  <cp:keywords/>
  <dc:description/>
  <cp:lastModifiedBy>Kris Elliott</cp:lastModifiedBy>
  <cp:revision>1</cp:revision>
  <dcterms:created xsi:type="dcterms:W3CDTF">2013-03-01T01:00:00Z</dcterms:created>
  <dcterms:modified xsi:type="dcterms:W3CDTF">2013-03-01T01:06:00Z</dcterms:modified>
</cp:coreProperties>
</file>