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b/>
          <w:sz w:val="24"/>
          <w:szCs w:val="24"/>
        </w:rPr>
        <w:t>Teacher Learning Outcomes at an Agriculture-based Renewable Energy Professional Development Workshop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Sarah J. </w:t>
      </w:r>
      <w:proofErr w:type="spellStart"/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Humke</w:t>
      </w:r>
      <w:proofErr w:type="spellEnd"/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Graduate Student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Iowa State University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220 Curtiss Hall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Ames, IA 50011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sarahh</w:t>
      </w: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@iastate.edu</w:t>
      </w:r>
      <w:bookmarkStart w:id="0" w:name="_GoBack"/>
      <w:bookmarkEnd w:id="0"/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515-295-5872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Thomas H. Paulsen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Assistant Professor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Iowa State University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217 Curtiss Hall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Ames, IA 50011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tpaulsen@iastate.edu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515-294-0047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 xml:space="preserve">Nick </w:t>
      </w:r>
      <w:proofErr w:type="spellStart"/>
      <w:r w:rsidRPr="009F2AB2">
        <w:rPr>
          <w:rFonts w:ascii="Times New Roman" w:eastAsia="Times New Roman" w:hAnsi="Times New Roman" w:cs="Times New Roman"/>
          <w:sz w:val="24"/>
          <w:szCs w:val="24"/>
        </w:rPr>
        <w:t>Ohde</w:t>
      </w:r>
      <w:proofErr w:type="spellEnd"/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Graduate Student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Iowa State University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217 Curtiss Hall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sz w:val="24"/>
          <w:szCs w:val="24"/>
        </w:rPr>
        <w:t>Ames, IA 50011</w:t>
      </w:r>
    </w:p>
    <w:p w:rsidR="009F2AB2" w:rsidRPr="009F2AB2" w:rsidRDefault="009F2AB2" w:rsidP="009F2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F2AB2">
        <w:rPr>
          <w:rFonts w:ascii="Times New Roman" w:eastAsia="Times New Roman" w:hAnsi="Times New Roman" w:cs="Times New Roman"/>
          <w:color w:val="000000"/>
          <w:sz w:val="24"/>
          <w:szCs w:val="24"/>
        </w:rPr>
        <w:t>515-295-5872</w:t>
      </w:r>
    </w:p>
    <w:p w:rsidR="009F2AB2" w:rsidRPr="009F2AB2" w:rsidRDefault="009F2AB2" w:rsidP="009F2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2AB2" w:rsidRDefault="009F2AB2">
      <w:pPr>
        <w:rPr>
          <w:rFonts w:ascii="Times New Roman" w:hAnsi="Times New Roman" w:cs="Times New Roman"/>
          <w:b/>
          <w:sz w:val="24"/>
          <w:szCs w:val="24"/>
        </w:rPr>
      </w:pPr>
    </w:p>
    <w:p w:rsidR="009F2AB2" w:rsidRDefault="009F2AB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C5FC2" w:rsidRPr="00FF1617" w:rsidRDefault="00A87EE0" w:rsidP="005C36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617">
        <w:rPr>
          <w:rFonts w:ascii="Times New Roman" w:hAnsi="Times New Roman" w:cs="Times New Roman"/>
          <w:b/>
          <w:sz w:val="24"/>
          <w:szCs w:val="24"/>
        </w:rPr>
        <w:lastRenderedPageBreak/>
        <w:t>Teacher Learning Outcomes at an Agriculture-based Renewable Energy Professional Development Workshop</w:t>
      </w:r>
    </w:p>
    <w:p w:rsidR="00833F94" w:rsidRPr="00FF1617" w:rsidRDefault="00833F94" w:rsidP="005C36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617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A87EE0" w:rsidRPr="00FF1617" w:rsidRDefault="00A87EE0" w:rsidP="005C36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F1617">
        <w:rPr>
          <w:rFonts w:ascii="Times New Roman" w:hAnsi="Times New Roman" w:cs="Times New Roman"/>
          <w:sz w:val="24"/>
          <w:szCs w:val="24"/>
        </w:rPr>
        <w:tab/>
        <w:t>Challenges in the energy sector are among the most pressing facing society as we move into the 21</w:t>
      </w:r>
      <w:r w:rsidRPr="00FF161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635C5" w:rsidRPr="00FF1617">
        <w:rPr>
          <w:rFonts w:ascii="Times New Roman" w:hAnsi="Times New Roman" w:cs="Times New Roman"/>
          <w:sz w:val="24"/>
          <w:szCs w:val="24"/>
        </w:rPr>
        <w:t xml:space="preserve"> century. The Energy Independence Act </w:t>
      </w:r>
      <w:r w:rsidR="000F47A1" w:rsidRPr="00FF1617">
        <w:rPr>
          <w:rFonts w:ascii="Times New Roman" w:hAnsi="Times New Roman" w:cs="Times New Roman"/>
          <w:sz w:val="24"/>
          <w:szCs w:val="24"/>
        </w:rPr>
        <w:t xml:space="preserve">of </w:t>
      </w:r>
      <w:r w:rsidR="00A45359">
        <w:rPr>
          <w:rFonts w:ascii="Times New Roman" w:hAnsi="Times New Roman" w:cs="Times New Roman"/>
          <w:sz w:val="24"/>
          <w:szCs w:val="24"/>
        </w:rPr>
        <w:t>2007</w:t>
      </w:r>
      <w:r w:rsidR="008635C5" w:rsidRPr="00FF1617">
        <w:rPr>
          <w:rFonts w:ascii="Times New Roman" w:hAnsi="Times New Roman" w:cs="Times New Roman"/>
          <w:sz w:val="24"/>
          <w:szCs w:val="24"/>
        </w:rPr>
        <w:t xml:space="preserve"> called for a large switch from</w:t>
      </w:r>
      <w:r w:rsidR="00A45359">
        <w:rPr>
          <w:rFonts w:ascii="Times New Roman" w:hAnsi="Times New Roman" w:cs="Times New Roman"/>
          <w:sz w:val="24"/>
          <w:szCs w:val="24"/>
        </w:rPr>
        <w:t xml:space="preserve"> fossil fuels to renewable alternatives</w:t>
      </w:r>
      <w:r w:rsidR="008635C5" w:rsidRPr="00FF1617">
        <w:rPr>
          <w:rFonts w:ascii="Times New Roman" w:hAnsi="Times New Roman" w:cs="Times New Roman"/>
          <w:sz w:val="24"/>
          <w:szCs w:val="24"/>
        </w:rPr>
        <w:t xml:space="preserve"> (</w:t>
      </w:r>
      <w:r w:rsidR="000F47A1" w:rsidRPr="00FF1617">
        <w:rPr>
          <w:rFonts w:ascii="Times New Roman" w:hAnsi="Times New Roman" w:cs="Times New Roman"/>
          <w:sz w:val="24"/>
          <w:szCs w:val="24"/>
        </w:rPr>
        <w:t>H.R. 6, 2007</w:t>
      </w:r>
      <w:r w:rsidR="00A45359">
        <w:rPr>
          <w:rFonts w:ascii="Times New Roman" w:hAnsi="Times New Roman" w:cs="Times New Roman"/>
          <w:sz w:val="24"/>
          <w:szCs w:val="24"/>
        </w:rPr>
        <w:t>) and highlighted</w:t>
      </w:r>
      <w:r w:rsidR="008635C5" w:rsidRPr="00FF1617">
        <w:rPr>
          <w:rFonts w:ascii="Times New Roman" w:hAnsi="Times New Roman" w:cs="Times New Roman"/>
          <w:sz w:val="24"/>
          <w:szCs w:val="24"/>
        </w:rPr>
        <w:t xml:space="preserve"> the need for more information in the area of renewable ene</w:t>
      </w:r>
      <w:r w:rsidR="00833F94" w:rsidRPr="00FF1617">
        <w:rPr>
          <w:rFonts w:ascii="Times New Roman" w:hAnsi="Times New Roman" w:cs="Times New Roman"/>
          <w:sz w:val="24"/>
          <w:szCs w:val="24"/>
        </w:rPr>
        <w:t>rgy.  This knowledge has caused</w:t>
      </w:r>
      <w:r w:rsidR="008635C5" w:rsidRPr="00FF1617">
        <w:rPr>
          <w:rFonts w:ascii="Times New Roman" w:hAnsi="Times New Roman" w:cs="Times New Roman"/>
          <w:sz w:val="24"/>
          <w:szCs w:val="24"/>
        </w:rPr>
        <w:t xml:space="preserve"> </w:t>
      </w:r>
      <w:r w:rsidR="00833F94" w:rsidRPr="00FF1617">
        <w:rPr>
          <w:rFonts w:ascii="Times New Roman" w:hAnsi="Times New Roman" w:cs="Times New Roman"/>
          <w:sz w:val="24"/>
          <w:szCs w:val="24"/>
        </w:rPr>
        <w:t>an expansion in the</w:t>
      </w:r>
      <w:r w:rsidR="008635C5" w:rsidRPr="00FF1617">
        <w:rPr>
          <w:rFonts w:ascii="Times New Roman" w:hAnsi="Times New Roman" w:cs="Times New Roman"/>
          <w:sz w:val="24"/>
          <w:szCs w:val="24"/>
        </w:rPr>
        <w:t xml:space="preserve"> </w:t>
      </w:r>
      <w:r w:rsidR="00833F94" w:rsidRPr="00FF1617">
        <w:rPr>
          <w:rFonts w:ascii="Times New Roman" w:hAnsi="Times New Roman" w:cs="Times New Roman"/>
          <w:sz w:val="24"/>
          <w:szCs w:val="24"/>
        </w:rPr>
        <w:t>markets</w:t>
      </w:r>
      <w:r w:rsidR="00A45359">
        <w:rPr>
          <w:rFonts w:ascii="Times New Roman" w:hAnsi="Times New Roman" w:cs="Times New Roman"/>
          <w:sz w:val="24"/>
          <w:szCs w:val="24"/>
        </w:rPr>
        <w:t>’</w:t>
      </w:r>
      <w:r w:rsidR="00833F94" w:rsidRPr="00FF1617">
        <w:rPr>
          <w:rFonts w:ascii="Times New Roman" w:hAnsi="Times New Roman" w:cs="Times New Roman"/>
          <w:sz w:val="24"/>
          <w:szCs w:val="24"/>
        </w:rPr>
        <w:t xml:space="preserve"> need for employees able to take up careers</w:t>
      </w:r>
      <w:r w:rsidR="00A45359">
        <w:rPr>
          <w:rFonts w:ascii="Times New Roman" w:hAnsi="Times New Roman" w:cs="Times New Roman"/>
          <w:sz w:val="24"/>
          <w:szCs w:val="24"/>
        </w:rPr>
        <w:t xml:space="preserve"> in those</w:t>
      </w:r>
      <w:r w:rsidR="000F47A1" w:rsidRPr="00FF1617">
        <w:rPr>
          <w:rFonts w:ascii="Times New Roman" w:hAnsi="Times New Roman" w:cs="Times New Roman"/>
          <w:sz w:val="24"/>
          <w:szCs w:val="24"/>
        </w:rPr>
        <w:t xml:space="preserve"> fields (Jennings, 2009</w:t>
      </w:r>
      <w:r w:rsidR="00833F94" w:rsidRPr="00FF1617">
        <w:rPr>
          <w:rFonts w:ascii="Times New Roman" w:hAnsi="Times New Roman" w:cs="Times New Roman"/>
          <w:sz w:val="24"/>
          <w:szCs w:val="24"/>
        </w:rPr>
        <w:t>). Many of these careers will likely require two-year degrees or oth</w:t>
      </w:r>
      <w:r w:rsidR="00A45359">
        <w:rPr>
          <w:rFonts w:ascii="Times New Roman" w:hAnsi="Times New Roman" w:cs="Times New Roman"/>
          <w:sz w:val="24"/>
          <w:szCs w:val="24"/>
        </w:rPr>
        <w:t>er technical training.  However</w:t>
      </w:r>
      <w:r w:rsidR="00833F94" w:rsidRPr="00FF1617">
        <w:rPr>
          <w:rFonts w:ascii="Times New Roman" w:hAnsi="Times New Roman" w:cs="Times New Roman"/>
          <w:sz w:val="24"/>
          <w:szCs w:val="24"/>
        </w:rPr>
        <w:t xml:space="preserve"> many renewable energy technologies are relatively new and it can be difficult for high school and community college instructors to stay abreast of new knowledge in these fields. </w:t>
      </w:r>
      <w:r w:rsidR="00314B4D" w:rsidRPr="00FF1617">
        <w:rPr>
          <w:rFonts w:ascii="Times New Roman" w:hAnsi="Times New Roman" w:cs="Times New Roman"/>
          <w:sz w:val="24"/>
          <w:szCs w:val="24"/>
        </w:rPr>
        <w:t xml:space="preserve"> Given that the dominant land use in the Midwest is for agricultural purposes, energy production will inevitab</w:t>
      </w:r>
      <w:r w:rsidR="00A45359">
        <w:rPr>
          <w:rFonts w:ascii="Times New Roman" w:hAnsi="Times New Roman" w:cs="Times New Roman"/>
          <w:sz w:val="24"/>
          <w:szCs w:val="24"/>
        </w:rPr>
        <w:t>ly interact with it thus creating a need for agricultural instructors to address the issue</w:t>
      </w:r>
      <w:r w:rsidR="00314B4D" w:rsidRPr="00FF1617">
        <w:rPr>
          <w:rFonts w:ascii="Times New Roman" w:hAnsi="Times New Roman" w:cs="Times New Roman"/>
          <w:sz w:val="24"/>
          <w:szCs w:val="24"/>
        </w:rPr>
        <w:t>.</w:t>
      </w:r>
    </w:p>
    <w:p w:rsidR="00833F94" w:rsidRDefault="00833F94" w:rsidP="005C36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F1617">
        <w:rPr>
          <w:rFonts w:ascii="Times New Roman" w:hAnsi="Times New Roman" w:cs="Times New Roman"/>
          <w:sz w:val="24"/>
          <w:szCs w:val="24"/>
        </w:rPr>
        <w:tab/>
        <w:t>The purp</w:t>
      </w:r>
      <w:r w:rsidR="00223974">
        <w:rPr>
          <w:rFonts w:ascii="Times New Roman" w:hAnsi="Times New Roman" w:cs="Times New Roman"/>
          <w:sz w:val="24"/>
          <w:szCs w:val="24"/>
        </w:rPr>
        <w:t xml:space="preserve">ose of this study was to explore the following </w:t>
      </w:r>
      <w:r w:rsidR="00223974" w:rsidRPr="00223974">
        <w:rPr>
          <w:rFonts w:ascii="Times New Roman" w:hAnsi="Times New Roman" w:cs="Times New Roman"/>
          <w:sz w:val="24"/>
          <w:szCs w:val="24"/>
        </w:rPr>
        <w:t xml:space="preserve">two </w:t>
      </w:r>
      <w:r w:rsidR="00223974">
        <w:rPr>
          <w:rFonts w:ascii="Times New Roman" w:hAnsi="Times New Roman" w:cs="Times New Roman"/>
          <w:sz w:val="24"/>
          <w:szCs w:val="24"/>
        </w:rPr>
        <w:t xml:space="preserve">research objectives. First, describing the demographic characteristics of the renewable energy professional development workshop attendees. </w:t>
      </w:r>
      <w:r w:rsidRPr="00FF1617">
        <w:rPr>
          <w:rFonts w:ascii="Times New Roman" w:hAnsi="Times New Roman" w:cs="Times New Roman"/>
          <w:sz w:val="24"/>
          <w:szCs w:val="24"/>
        </w:rPr>
        <w:t xml:space="preserve"> Secondly, </w:t>
      </w:r>
      <w:r w:rsidR="00223974">
        <w:rPr>
          <w:rFonts w:ascii="Times New Roman" w:hAnsi="Times New Roman" w:cs="Times New Roman"/>
          <w:sz w:val="24"/>
          <w:szCs w:val="24"/>
        </w:rPr>
        <w:t xml:space="preserve">to describe the mean levels of </w:t>
      </w:r>
      <w:r w:rsidR="00D01F4E">
        <w:rPr>
          <w:rFonts w:ascii="Times New Roman" w:hAnsi="Times New Roman" w:cs="Times New Roman"/>
          <w:sz w:val="24"/>
          <w:szCs w:val="24"/>
        </w:rPr>
        <w:t xml:space="preserve">teacher efficacy on the </w:t>
      </w:r>
      <w:r w:rsidR="00213F08">
        <w:rPr>
          <w:rFonts w:ascii="Times New Roman" w:hAnsi="Times New Roman" w:cs="Times New Roman"/>
          <w:sz w:val="24"/>
          <w:szCs w:val="24"/>
        </w:rPr>
        <w:t>post then pre</w:t>
      </w:r>
      <w:r w:rsidR="00D01F4E">
        <w:rPr>
          <w:rFonts w:ascii="Times New Roman" w:hAnsi="Times New Roman" w:cs="Times New Roman"/>
          <w:sz w:val="24"/>
          <w:szCs w:val="24"/>
        </w:rPr>
        <w:t xml:space="preserve"> instrument measuring teacher learning outcomes.</w:t>
      </w:r>
    </w:p>
    <w:p w:rsidR="00916916" w:rsidRDefault="00916916" w:rsidP="005C36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3F2A6D" w:rsidRDefault="005A40D7" w:rsidP="003F2A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6D58">
        <w:rPr>
          <w:rFonts w:ascii="Times New Roman" w:hAnsi="Times New Roman" w:cs="Times New Roman"/>
          <w:sz w:val="24"/>
          <w:szCs w:val="24"/>
        </w:rPr>
        <w:t>Bandura’s Social Cognitive Theory</w:t>
      </w:r>
      <w:r w:rsidR="009D6F0C">
        <w:rPr>
          <w:rFonts w:ascii="Times New Roman" w:hAnsi="Times New Roman" w:cs="Times New Roman"/>
          <w:sz w:val="24"/>
          <w:szCs w:val="24"/>
        </w:rPr>
        <w:t xml:space="preserve"> </w:t>
      </w:r>
      <w:r w:rsidR="00FF1DE9">
        <w:rPr>
          <w:rFonts w:ascii="Times New Roman" w:hAnsi="Times New Roman" w:cs="Times New Roman"/>
          <w:sz w:val="24"/>
          <w:szCs w:val="24"/>
        </w:rPr>
        <w:t>was used as the framework for this study with an emphasis on the self-efficacy component</w:t>
      </w:r>
      <w:r w:rsidR="002A4D91">
        <w:rPr>
          <w:rFonts w:ascii="Times New Roman" w:hAnsi="Times New Roman" w:cs="Times New Roman"/>
          <w:sz w:val="24"/>
          <w:szCs w:val="24"/>
        </w:rPr>
        <w:t xml:space="preserve"> (Bandura, 2012</w:t>
      </w:r>
      <w:r w:rsidR="00914DAF">
        <w:rPr>
          <w:rFonts w:ascii="Times New Roman" w:hAnsi="Times New Roman" w:cs="Times New Roman"/>
          <w:sz w:val="24"/>
          <w:szCs w:val="24"/>
        </w:rPr>
        <w:t>)</w:t>
      </w:r>
      <w:r w:rsidR="00FF1DE9">
        <w:rPr>
          <w:rFonts w:ascii="Times New Roman" w:hAnsi="Times New Roman" w:cs="Times New Roman"/>
          <w:sz w:val="24"/>
          <w:szCs w:val="24"/>
        </w:rPr>
        <w:t xml:space="preserve">.  </w:t>
      </w:r>
      <w:r w:rsidR="002A4D91">
        <w:rPr>
          <w:rFonts w:ascii="Times New Roman" w:hAnsi="Times New Roman" w:cs="Times New Roman"/>
          <w:sz w:val="24"/>
          <w:szCs w:val="24"/>
        </w:rPr>
        <w:t xml:space="preserve">In this theory, Bandura </w:t>
      </w:r>
      <w:r w:rsidR="00213F08">
        <w:rPr>
          <w:rFonts w:ascii="Times New Roman" w:hAnsi="Times New Roman" w:cs="Times New Roman"/>
          <w:sz w:val="24"/>
          <w:szCs w:val="24"/>
        </w:rPr>
        <w:t>posited</w:t>
      </w:r>
      <w:r w:rsidR="002A4D91">
        <w:rPr>
          <w:rFonts w:ascii="Times New Roman" w:hAnsi="Times New Roman" w:cs="Times New Roman"/>
          <w:sz w:val="24"/>
          <w:szCs w:val="24"/>
        </w:rPr>
        <w:t xml:space="preserve"> that a person’s perceived level of self-efficacy aids in determining eventual outcomes of the </w:t>
      </w:r>
      <w:r w:rsidR="00213F08">
        <w:rPr>
          <w:rFonts w:ascii="Times New Roman" w:hAnsi="Times New Roman" w:cs="Times New Roman"/>
          <w:sz w:val="24"/>
          <w:szCs w:val="24"/>
        </w:rPr>
        <w:t xml:space="preserve">objectives to be met (Bandura, 2012). </w:t>
      </w:r>
      <w:r w:rsidR="002A4D91">
        <w:rPr>
          <w:rFonts w:ascii="Times New Roman" w:hAnsi="Times New Roman" w:cs="Times New Roman"/>
          <w:sz w:val="24"/>
          <w:szCs w:val="24"/>
        </w:rPr>
        <w:t xml:space="preserve"> </w:t>
      </w:r>
      <w:r w:rsidR="00914DAF">
        <w:rPr>
          <w:rFonts w:ascii="Times New Roman" w:hAnsi="Times New Roman" w:cs="Times New Roman"/>
          <w:sz w:val="24"/>
          <w:szCs w:val="24"/>
        </w:rPr>
        <w:t>T</w:t>
      </w:r>
      <w:r w:rsidR="00A44D8F">
        <w:rPr>
          <w:rFonts w:ascii="Times New Roman" w:hAnsi="Times New Roman" w:cs="Times New Roman"/>
          <w:sz w:val="24"/>
          <w:szCs w:val="24"/>
        </w:rPr>
        <w:t>he Science Teaching Efficacy Beliefs Instrument (STEBI)</w:t>
      </w:r>
      <w:r w:rsidR="00914DAF">
        <w:rPr>
          <w:rFonts w:ascii="Times New Roman" w:hAnsi="Times New Roman" w:cs="Times New Roman"/>
          <w:sz w:val="24"/>
          <w:szCs w:val="24"/>
        </w:rPr>
        <w:t>,</w:t>
      </w:r>
      <w:r w:rsidR="00A44D8F">
        <w:rPr>
          <w:rFonts w:ascii="Times New Roman" w:hAnsi="Times New Roman" w:cs="Times New Roman"/>
          <w:sz w:val="24"/>
          <w:szCs w:val="24"/>
        </w:rPr>
        <w:t xml:space="preserve"> which has been shown to be effective at determining perceived teaching efficacy</w:t>
      </w:r>
      <w:r w:rsidR="00914DAF">
        <w:rPr>
          <w:rFonts w:ascii="Times New Roman" w:hAnsi="Times New Roman" w:cs="Times New Roman"/>
          <w:sz w:val="24"/>
          <w:szCs w:val="24"/>
        </w:rPr>
        <w:t>, was used</w:t>
      </w:r>
      <w:r w:rsidR="00213F08">
        <w:rPr>
          <w:rFonts w:ascii="Times New Roman" w:hAnsi="Times New Roman" w:cs="Times New Roman"/>
          <w:sz w:val="24"/>
          <w:szCs w:val="24"/>
        </w:rPr>
        <w:t xml:space="preserve"> as the measuring device</w:t>
      </w:r>
      <w:r w:rsidR="00A44D8F">
        <w:rPr>
          <w:rFonts w:ascii="Times New Roman" w:hAnsi="Times New Roman" w:cs="Times New Roman"/>
          <w:sz w:val="24"/>
          <w:szCs w:val="24"/>
        </w:rPr>
        <w:t xml:space="preserve"> </w:t>
      </w:r>
      <w:r w:rsidR="005B70C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B70C4">
        <w:rPr>
          <w:rFonts w:ascii="Times New Roman" w:hAnsi="Times New Roman" w:cs="Times New Roman"/>
          <w:sz w:val="24"/>
          <w:szCs w:val="24"/>
        </w:rPr>
        <w:t>Tschannen</w:t>
      </w:r>
      <w:proofErr w:type="spellEnd"/>
      <w:r w:rsidR="005B70C4">
        <w:rPr>
          <w:rFonts w:ascii="Times New Roman" w:hAnsi="Times New Roman" w:cs="Times New Roman"/>
          <w:sz w:val="24"/>
          <w:szCs w:val="24"/>
        </w:rPr>
        <w:t>-Moran &amp;</w:t>
      </w:r>
      <w:r w:rsidR="00A44D8F" w:rsidRPr="00A44D8F">
        <w:rPr>
          <w:rFonts w:ascii="Times New Roman" w:hAnsi="Times New Roman" w:cs="Times New Roman"/>
          <w:sz w:val="24"/>
          <w:szCs w:val="24"/>
        </w:rPr>
        <w:t xml:space="preserve"> Hoy, 2001; </w:t>
      </w:r>
      <w:proofErr w:type="spellStart"/>
      <w:r w:rsidR="005B70C4">
        <w:rPr>
          <w:rFonts w:ascii="Times New Roman" w:hAnsi="Times New Roman" w:cs="Times New Roman"/>
          <w:sz w:val="24"/>
          <w:szCs w:val="24"/>
        </w:rPr>
        <w:t>Woolfolk</w:t>
      </w:r>
      <w:proofErr w:type="spellEnd"/>
      <w:r w:rsidR="005B70C4">
        <w:rPr>
          <w:rFonts w:ascii="Times New Roman" w:hAnsi="Times New Roman" w:cs="Times New Roman"/>
          <w:sz w:val="24"/>
          <w:szCs w:val="24"/>
        </w:rPr>
        <w:t xml:space="preserve">, 2007; </w:t>
      </w:r>
      <w:proofErr w:type="spellStart"/>
      <w:r w:rsidR="005B70C4">
        <w:rPr>
          <w:rFonts w:ascii="Times New Roman" w:hAnsi="Times New Roman" w:cs="Times New Roman"/>
          <w:sz w:val="24"/>
          <w:szCs w:val="24"/>
        </w:rPr>
        <w:t>Woolfolk</w:t>
      </w:r>
      <w:proofErr w:type="spellEnd"/>
      <w:r w:rsidR="005B70C4">
        <w:rPr>
          <w:rFonts w:ascii="Times New Roman" w:hAnsi="Times New Roman" w:cs="Times New Roman"/>
          <w:sz w:val="24"/>
          <w:szCs w:val="24"/>
        </w:rPr>
        <w:t>-Hoy &amp;</w:t>
      </w:r>
      <w:r w:rsidR="00A44D8F" w:rsidRPr="00A44D8F">
        <w:rPr>
          <w:rFonts w:ascii="Times New Roman" w:hAnsi="Times New Roman" w:cs="Times New Roman"/>
          <w:sz w:val="24"/>
          <w:szCs w:val="24"/>
        </w:rPr>
        <w:t xml:space="preserve"> Hoy</w:t>
      </w:r>
      <w:r w:rsidR="005B70C4">
        <w:rPr>
          <w:rFonts w:ascii="Times New Roman" w:hAnsi="Times New Roman" w:cs="Times New Roman"/>
          <w:sz w:val="24"/>
          <w:szCs w:val="24"/>
        </w:rPr>
        <w:t>,</w:t>
      </w:r>
      <w:r w:rsidR="00A44D8F" w:rsidRPr="00A44D8F">
        <w:rPr>
          <w:rFonts w:ascii="Times New Roman" w:hAnsi="Times New Roman" w:cs="Times New Roman"/>
          <w:sz w:val="24"/>
          <w:szCs w:val="24"/>
        </w:rPr>
        <w:t xml:space="preserve"> 2009).  </w:t>
      </w:r>
    </w:p>
    <w:p w:rsidR="00904532" w:rsidRPr="003F2A6D" w:rsidRDefault="00875083" w:rsidP="003F2A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1617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5C3600" w:rsidRDefault="00160089" w:rsidP="005C36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F1617">
        <w:rPr>
          <w:rFonts w:ascii="Times New Roman" w:hAnsi="Times New Roman" w:cs="Times New Roman"/>
          <w:sz w:val="24"/>
          <w:szCs w:val="24"/>
        </w:rPr>
        <w:tab/>
        <w:t>The target popul</w:t>
      </w:r>
      <w:r w:rsidR="00A45359">
        <w:rPr>
          <w:rFonts w:ascii="Times New Roman" w:hAnsi="Times New Roman" w:cs="Times New Roman"/>
          <w:sz w:val="24"/>
          <w:szCs w:val="24"/>
        </w:rPr>
        <w:t>ation of this study consisted of</w:t>
      </w:r>
      <w:r w:rsidR="00213F08">
        <w:rPr>
          <w:rFonts w:ascii="Times New Roman" w:hAnsi="Times New Roman" w:cs="Times New Roman"/>
          <w:sz w:val="24"/>
          <w:szCs w:val="24"/>
        </w:rPr>
        <w:t xml:space="preserve"> 18</w:t>
      </w:r>
      <w:r w:rsidRPr="00FF1617">
        <w:rPr>
          <w:rFonts w:ascii="Times New Roman" w:hAnsi="Times New Roman" w:cs="Times New Roman"/>
          <w:sz w:val="24"/>
          <w:szCs w:val="24"/>
        </w:rPr>
        <w:t xml:space="preserve"> high school and community college instructors from throughout the Midwest who attended a workshop held</w:t>
      </w:r>
      <w:r w:rsidR="000B034A" w:rsidRPr="000B034A">
        <w:rPr>
          <w:rFonts w:ascii="Times New Roman" w:hAnsi="Times New Roman" w:cs="Times New Roman"/>
          <w:sz w:val="24"/>
          <w:szCs w:val="24"/>
        </w:rPr>
        <w:t xml:space="preserve"> June 11-14, 2012</w:t>
      </w:r>
      <w:r w:rsidRPr="00FF1617">
        <w:rPr>
          <w:rFonts w:ascii="Times New Roman" w:hAnsi="Times New Roman" w:cs="Times New Roman"/>
          <w:sz w:val="24"/>
          <w:szCs w:val="24"/>
        </w:rPr>
        <w:t xml:space="preserve"> at [University] in [State</w:t>
      </w:r>
      <w:r w:rsidR="000B034A">
        <w:rPr>
          <w:rFonts w:ascii="Times New Roman" w:hAnsi="Times New Roman" w:cs="Times New Roman"/>
          <w:sz w:val="24"/>
          <w:szCs w:val="24"/>
        </w:rPr>
        <w:t>]</w:t>
      </w:r>
      <w:r w:rsidRPr="00FF1617">
        <w:rPr>
          <w:rFonts w:ascii="Times New Roman" w:hAnsi="Times New Roman" w:cs="Times New Roman"/>
          <w:sz w:val="24"/>
          <w:szCs w:val="24"/>
        </w:rPr>
        <w:t>.</w:t>
      </w:r>
      <w:r w:rsidR="008F7EC3" w:rsidRPr="00FF1617">
        <w:rPr>
          <w:rFonts w:ascii="Times New Roman" w:hAnsi="Times New Roman" w:cs="Times New Roman"/>
          <w:sz w:val="24"/>
          <w:szCs w:val="24"/>
        </w:rPr>
        <w:t xml:space="preserve"> </w:t>
      </w:r>
      <w:r w:rsidRPr="00FF1617">
        <w:rPr>
          <w:rFonts w:ascii="Times New Roman" w:hAnsi="Times New Roman" w:cs="Times New Roman"/>
          <w:sz w:val="24"/>
          <w:szCs w:val="24"/>
        </w:rPr>
        <w:t xml:space="preserve"> </w:t>
      </w:r>
      <w:r w:rsidR="00394530" w:rsidRPr="00FF1617">
        <w:rPr>
          <w:rFonts w:ascii="Times New Roman" w:hAnsi="Times New Roman" w:cs="Times New Roman"/>
          <w:sz w:val="24"/>
          <w:szCs w:val="24"/>
        </w:rPr>
        <w:t xml:space="preserve">A survey was conducted </w:t>
      </w:r>
      <w:r w:rsidR="008F7EC3" w:rsidRPr="00FF1617">
        <w:rPr>
          <w:rFonts w:ascii="Times New Roman" w:hAnsi="Times New Roman" w:cs="Times New Roman"/>
          <w:sz w:val="24"/>
          <w:szCs w:val="24"/>
        </w:rPr>
        <w:t xml:space="preserve">using a post then pre method </w:t>
      </w:r>
      <w:r w:rsidR="00647BE7" w:rsidRPr="00FF1617">
        <w:rPr>
          <w:rFonts w:ascii="Times New Roman" w:hAnsi="Times New Roman" w:cs="Times New Roman"/>
          <w:sz w:val="24"/>
          <w:szCs w:val="24"/>
        </w:rPr>
        <w:t>(Ulmer, Velez, Witt, Thompson, Lambert &amp; Burris, 2012</w:t>
      </w:r>
      <w:r w:rsidR="00394530" w:rsidRPr="00FF1617">
        <w:rPr>
          <w:rFonts w:ascii="Times New Roman" w:hAnsi="Times New Roman" w:cs="Times New Roman"/>
          <w:sz w:val="24"/>
          <w:szCs w:val="24"/>
        </w:rPr>
        <w:t>).</w:t>
      </w:r>
      <w:r w:rsidR="00A2240C">
        <w:rPr>
          <w:rFonts w:ascii="Times New Roman" w:hAnsi="Times New Roman" w:cs="Times New Roman"/>
          <w:sz w:val="24"/>
          <w:szCs w:val="24"/>
        </w:rPr>
        <w:t xml:space="preserve"> This method has been</w:t>
      </w:r>
      <w:r w:rsidR="008F7EC3" w:rsidRPr="00FF1617">
        <w:rPr>
          <w:rFonts w:ascii="Times New Roman" w:hAnsi="Times New Roman" w:cs="Times New Roman"/>
          <w:sz w:val="24"/>
          <w:szCs w:val="24"/>
        </w:rPr>
        <w:t xml:space="preserve"> designed to reduce the impact of “response shift bias” as described by </w:t>
      </w:r>
      <w:proofErr w:type="spellStart"/>
      <w:r w:rsidR="008F7EC3" w:rsidRPr="00FF1617">
        <w:rPr>
          <w:rFonts w:ascii="Times New Roman" w:hAnsi="Times New Roman" w:cs="Times New Roman"/>
          <w:sz w:val="24"/>
          <w:szCs w:val="24"/>
        </w:rPr>
        <w:t>Colosi</w:t>
      </w:r>
      <w:proofErr w:type="spellEnd"/>
      <w:r w:rsidR="008F7EC3" w:rsidRPr="00FF161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F7EC3" w:rsidRPr="00FF1617">
        <w:rPr>
          <w:rFonts w:ascii="Times New Roman" w:hAnsi="Times New Roman" w:cs="Times New Roman"/>
          <w:sz w:val="24"/>
          <w:szCs w:val="24"/>
        </w:rPr>
        <w:t>Dunifon</w:t>
      </w:r>
      <w:proofErr w:type="spellEnd"/>
      <w:r w:rsidR="00213F08">
        <w:rPr>
          <w:rFonts w:ascii="Times New Roman" w:hAnsi="Times New Roman" w:cs="Times New Roman"/>
          <w:sz w:val="24"/>
          <w:szCs w:val="24"/>
        </w:rPr>
        <w:t xml:space="preserve"> (2006). </w:t>
      </w:r>
      <w:r w:rsidR="000B034A">
        <w:rPr>
          <w:rFonts w:ascii="Times New Roman" w:hAnsi="Times New Roman" w:cs="Times New Roman"/>
          <w:sz w:val="24"/>
          <w:szCs w:val="24"/>
        </w:rPr>
        <w:t>A</w:t>
      </w:r>
      <w:r w:rsidR="00394530" w:rsidRPr="00FF1617">
        <w:rPr>
          <w:rFonts w:ascii="Times New Roman" w:hAnsi="Times New Roman" w:cs="Times New Roman"/>
          <w:sz w:val="24"/>
          <w:szCs w:val="24"/>
        </w:rPr>
        <w:t>t the end of the workshop</w:t>
      </w:r>
      <w:r w:rsidR="000B034A">
        <w:rPr>
          <w:rFonts w:ascii="Times New Roman" w:hAnsi="Times New Roman" w:cs="Times New Roman"/>
          <w:sz w:val="24"/>
          <w:szCs w:val="24"/>
        </w:rPr>
        <w:t xml:space="preserve"> the instructors were asked to respond twice to each question</w:t>
      </w:r>
      <w:r w:rsidR="00394530" w:rsidRPr="00FF1617">
        <w:rPr>
          <w:rFonts w:ascii="Times New Roman" w:hAnsi="Times New Roman" w:cs="Times New Roman"/>
          <w:sz w:val="24"/>
          <w:szCs w:val="24"/>
        </w:rPr>
        <w:t xml:space="preserve">.  </w:t>
      </w:r>
      <w:r w:rsidR="00040A86" w:rsidRPr="00FF1617">
        <w:rPr>
          <w:rFonts w:ascii="Times New Roman" w:hAnsi="Times New Roman" w:cs="Times New Roman"/>
          <w:sz w:val="24"/>
          <w:szCs w:val="24"/>
        </w:rPr>
        <w:t>This method of questioning measured the instructors’ perception of how much the works</w:t>
      </w:r>
      <w:r w:rsidR="000B034A">
        <w:rPr>
          <w:rFonts w:ascii="Times New Roman" w:hAnsi="Times New Roman" w:cs="Times New Roman"/>
          <w:sz w:val="24"/>
          <w:szCs w:val="24"/>
        </w:rPr>
        <w:t>hop had affected their self-efficacy regarding</w:t>
      </w:r>
      <w:r w:rsidR="00040A86" w:rsidRPr="00FF1617">
        <w:rPr>
          <w:rFonts w:ascii="Times New Roman" w:hAnsi="Times New Roman" w:cs="Times New Roman"/>
          <w:sz w:val="24"/>
          <w:szCs w:val="24"/>
        </w:rPr>
        <w:t xml:space="preserve"> energy education.</w:t>
      </w:r>
      <w:r w:rsidR="005C3600">
        <w:rPr>
          <w:rFonts w:ascii="Times New Roman" w:hAnsi="Times New Roman" w:cs="Times New Roman"/>
          <w:sz w:val="24"/>
          <w:szCs w:val="24"/>
        </w:rPr>
        <w:t xml:space="preserve"> </w:t>
      </w:r>
      <w:r w:rsidR="00A45359">
        <w:rPr>
          <w:rFonts w:ascii="Times New Roman" w:hAnsi="Times New Roman" w:cs="Times New Roman"/>
          <w:sz w:val="24"/>
          <w:szCs w:val="24"/>
        </w:rPr>
        <w:t>To address the question</w:t>
      </w:r>
      <w:r w:rsidR="000B034A">
        <w:rPr>
          <w:rFonts w:ascii="Times New Roman" w:hAnsi="Times New Roman" w:cs="Times New Roman"/>
          <w:sz w:val="24"/>
          <w:szCs w:val="24"/>
        </w:rPr>
        <w:t xml:space="preserve"> of teaching self-efficacy</w:t>
      </w:r>
      <w:r w:rsidR="00A45359">
        <w:rPr>
          <w:rFonts w:ascii="Times New Roman" w:hAnsi="Times New Roman" w:cs="Times New Roman"/>
          <w:sz w:val="24"/>
          <w:szCs w:val="24"/>
        </w:rPr>
        <w:t xml:space="preserve"> </w:t>
      </w:r>
      <w:r w:rsidR="00A45359" w:rsidRPr="00A45359">
        <w:rPr>
          <w:rFonts w:ascii="Times New Roman" w:hAnsi="Times New Roman" w:cs="Times New Roman"/>
          <w:sz w:val="24"/>
          <w:szCs w:val="24"/>
        </w:rPr>
        <w:t>improvemen</w:t>
      </w:r>
      <w:r w:rsidR="00A45359">
        <w:rPr>
          <w:rFonts w:ascii="Times New Roman" w:hAnsi="Times New Roman" w:cs="Times New Roman"/>
          <w:sz w:val="24"/>
          <w:szCs w:val="24"/>
        </w:rPr>
        <w:t>t</w:t>
      </w:r>
      <w:r w:rsidR="000B034A">
        <w:rPr>
          <w:rFonts w:ascii="Times New Roman" w:hAnsi="Times New Roman" w:cs="Times New Roman"/>
          <w:sz w:val="24"/>
          <w:szCs w:val="24"/>
        </w:rPr>
        <w:t xml:space="preserve"> an instrument based on the </w:t>
      </w:r>
      <w:r w:rsidR="00A45359">
        <w:rPr>
          <w:rFonts w:ascii="Times New Roman" w:hAnsi="Times New Roman" w:cs="Times New Roman"/>
          <w:sz w:val="24"/>
          <w:szCs w:val="24"/>
        </w:rPr>
        <w:t>STEBI</w:t>
      </w:r>
      <w:r w:rsidR="00040A86" w:rsidRPr="00FF1617">
        <w:rPr>
          <w:rFonts w:ascii="Times New Roman" w:hAnsi="Times New Roman" w:cs="Times New Roman"/>
          <w:sz w:val="24"/>
          <w:szCs w:val="24"/>
        </w:rPr>
        <w:t xml:space="preserve"> was administered. </w:t>
      </w:r>
    </w:p>
    <w:p w:rsidR="00040A86" w:rsidRPr="00FF1617" w:rsidRDefault="00494907" w:rsidP="005C3600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F1617">
        <w:rPr>
          <w:rFonts w:ascii="Times New Roman" w:hAnsi="Times New Roman" w:cs="Times New Roman"/>
          <w:sz w:val="24"/>
          <w:szCs w:val="24"/>
        </w:rPr>
        <w:t xml:space="preserve">The instrument consisted of 25 questions designed to elucidate </w:t>
      </w:r>
      <w:r w:rsidR="004B5E2A">
        <w:rPr>
          <w:rFonts w:ascii="Times New Roman" w:hAnsi="Times New Roman" w:cs="Times New Roman"/>
          <w:sz w:val="24"/>
          <w:szCs w:val="24"/>
        </w:rPr>
        <w:t>two elements of self-efficacy</w:t>
      </w:r>
      <w:r w:rsidRPr="00FF1617">
        <w:rPr>
          <w:rFonts w:ascii="Times New Roman" w:hAnsi="Times New Roman" w:cs="Times New Roman"/>
          <w:sz w:val="24"/>
          <w:szCs w:val="24"/>
        </w:rPr>
        <w:t xml:space="preserve"> described </w:t>
      </w:r>
      <w:r w:rsidR="007E25BC">
        <w:rPr>
          <w:rFonts w:ascii="Times New Roman" w:hAnsi="Times New Roman" w:cs="Times New Roman"/>
          <w:sz w:val="24"/>
          <w:szCs w:val="24"/>
        </w:rPr>
        <w:t>as outcome</w:t>
      </w:r>
      <w:r w:rsidR="00BB12AE">
        <w:rPr>
          <w:rFonts w:ascii="Times New Roman" w:hAnsi="Times New Roman" w:cs="Times New Roman"/>
          <w:sz w:val="24"/>
          <w:szCs w:val="24"/>
        </w:rPr>
        <w:t xml:space="preserve"> and</w:t>
      </w:r>
      <w:r w:rsidR="004B5E2A">
        <w:rPr>
          <w:rFonts w:ascii="Times New Roman" w:hAnsi="Times New Roman" w:cs="Times New Roman"/>
          <w:sz w:val="24"/>
          <w:szCs w:val="24"/>
        </w:rPr>
        <w:t xml:space="preserve"> self-efficacy expectations</w:t>
      </w:r>
      <w:r w:rsidR="00BB12AE">
        <w:rPr>
          <w:rFonts w:ascii="Times New Roman" w:hAnsi="Times New Roman" w:cs="Times New Roman"/>
          <w:sz w:val="24"/>
          <w:szCs w:val="24"/>
        </w:rPr>
        <w:t xml:space="preserve"> </w:t>
      </w:r>
      <w:r w:rsidR="00A44D8F" w:rsidRPr="00A44D8F">
        <w:rPr>
          <w:rFonts w:ascii="Times New Roman" w:hAnsi="Times New Roman" w:cs="Times New Roman"/>
          <w:sz w:val="24"/>
          <w:szCs w:val="24"/>
        </w:rPr>
        <w:t>(</w:t>
      </w:r>
      <w:r w:rsidR="004B5E2A">
        <w:rPr>
          <w:rFonts w:ascii="Times New Roman" w:hAnsi="Times New Roman" w:cs="Times New Roman"/>
          <w:sz w:val="24"/>
          <w:szCs w:val="24"/>
        </w:rPr>
        <w:t xml:space="preserve">Bandura, </w:t>
      </w:r>
      <w:r w:rsidR="000B034A">
        <w:rPr>
          <w:rFonts w:ascii="Times New Roman" w:hAnsi="Times New Roman" w:cs="Times New Roman"/>
          <w:sz w:val="24"/>
          <w:szCs w:val="24"/>
        </w:rPr>
        <w:t>2012</w:t>
      </w:r>
      <w:r w:rsidRPr="00FF1617">
        <w:rPr>
          <w:rFonts w:ascii="Times New Roman" w:hAnsi="Times New Roman" w:cs="Times New Roman"/>
          <w:sz w:val="24"/>
          <w:szCs w:val="24"/>
        </w:rPr>
        <w:t>).</w:t>
      </w:r>
      <w:r w:rsidR="00B80A27">
        <w:rPr>
          <w:rFonts w:ascii="Times New Roman" w:hAnsi="Times New Roman" w:cs="Times New Roman"/>
          <w:sz w:val="24"/>
          <w:szCs w:val="24"/>
        </w:rPr>
        <w:t xml:space="preserve"> Thirteen of the questions were designed to measure teachers Personal Science Teaching</w:t>
      </w:r>
      <w:r w:rsidR="007E25BC">
        <w:rPr>
          <w:rFonts w:ascii="Times New Roman" w:hAnsi="Times New Roman" w:cs="Times New Roman"/>
          <w:sz w:val="24"/>
          <w:szCs w:val="24"/>
        </w:rPr>
        <w:t xml:space="preserve"> Efficacy (PSTE) using statements about themselves which they ranked.  The remaining 12 questions assessed the Science Teaching Outcome Expectancy scale (STOE) which recorded the </w:t>
      </w:r>
      <w:r w:rsidR="005B70C4">
        <w:rPr>
          <w:rFonts w:ascii="Times New Roman" w:hAnsi="Times New Roman" w:cs="Times New Roman"/>
          <w:sz w:val="24"/>
          <w:szCs w:val="24"/>
        </w:rPr>
        <w:t>participants’</w:t>
      </w:r>
      <w:r w:rsidR="00FA775B">
        <w:rPr>
          <w:rFonts w:ascii="Times New Roman" w:hAnsi="Times New Roman" w:cs="Times New Roman"/>
          <w:sz w:val="24"/>
          <w:szCs w:val="24"/>
        </w:rPr>
        <w:t xml:space="preserve"> expectations</w:t>
      </w:r>
      <w:r w:rsidR="007E25BC">
        <w:rPr>
          <w:rFonts w:ascii="Times New Roman" w:hAnsi="Times New Roman" w:cs="Times New Roman"/>
          <w:sz w:val="24"/>
          <w:szCs w:val="24"/>
        </w:rPr>
        <w:t xml:space="preserve"> of future teaching abilities.</w:t>
      </w:r>
    </w:p>
    <w:p w:rsidR="00916916" w:rsidRPr="005C3600" w:rsidRDefault="00916916" w:rsidP="005C36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Results</w:t>
      </w:r>
    </w:p>
    <w:p w:rsidR="005C3600" w:rsidRDefault="005C3600" w:rsidP="005C3600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first research objective was to describe demographic characteristics of workshop</w:t>
      </w:r>
      <w:r w:rsidR="00FA775B">
        <w:rPr>
          <w:rFonts w:ascii="Times New Roman" w:hAnsi="Times New Roman" w:cs="Times New Roman"/>
          <w:sz w:val="24"/>
          <w:szCs w:val="24"/>
        </w:rPr>
        <w:t xml:space="preserve"> attendees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40553F">
        <w:rPr>
          <w:rFonts w:ascii="Times New Roman" w:hAnsi="Times New Roman" w:cs="Times New Roman"/>
          <w:sz w:val="24"/>
          <w:szCs w:val="24"/>
        </w:rPr>
        <w:t>The majority of participants</w:t>
      </w:r>
      <w:r>
        <w:rPr>
          <w:rFonts w:ascii="Times New Roman" w:hAnsi="Times New Roman" w:cs="Times New Roman"/>
          <w:sz w:val="24"/>
          <w:szCs w:val="24"/>
        </w:rPr>
        <w:t xml:space="preserve"> had a current teaching license (n=14, 87.5%), all of whom </w:t>
      </w:r>
      <w:r w:rsidR="00A745BD">
        <w:rPr>
          <w:rFonts w:ascii="Times New Roman" w:hAnsi="Times New Roman" w:cs="Times New Roman"/>
          <w:sz w:val="24"/>
          <w:szCs w:val="24"/>
        </w:rPr>
        <w:t xml:space="preserve">had </w:t>
      </w:r>
      <w:r>
        <w:rPr>
          <w:rFonts w:ascii="Times New Roman" w:hAnsi="Times New Roman" w:cs="Times New Roman"/>
          <w:sz w:val="24"/>
          <w:szCs w:val="24"/>
        </w:rPr>
        <w:t>earned the license through traditional certification routes (n=14, 100%).  Participants’ teaching experience ranged from one to 30 years.  Table 1 contains a summary of remaining demographic characteristics that may be relevant to interpreting the results.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18"/>
        <w:gridCol w:w="1440"/>
        <w:gridCol w:w="1818"/>
      </w:tblGrid>
      <w:tr w:rsidR="005C3600" w:rsidTr="00B7544A">
        <w:tc>
          <w:tcPr>
            <w:tcW w:w="9576" w:type="dxa"/>
            <w:gridSpan w:val="3"/>
            <w:tcBorders>
              <w:bottom w:val="single" w:sz="4" w:space="0" w:color="auto"/>
            </w:tcBorders>
          </w:tcPr>
          <w:p w:rsidR="005C3600" w:rsidRPr="00E7646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460"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  <w:p w:rsidR="005C3600" w:rsidRPr="00E76460" w:rsidRDefault="005C3600" w:rsidP="005C36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6460">
              <w:rPr>
                <w:rFonts w:ascii="Times New Roman" w:hAnsi="Times New Roman" w:cs="Times New Roman"/>
                <w:i/>
                <w:sz w:val="24"/>
                <w:szCs w:val="24"/>
              </w:rPr>
              <w:t>Summary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of Participants</w:t>
            </w:r>
            <w:r w:rsidRPr="00E76460">
              <w:rPr>
                <w:rFonts w:ascii="Times New Roman" w:hAnsi="Times New Roman" w:cs="Times New Roman"/>
                <w:i/>
                <w:sz w:val="24"/>
                <w:szCs w:val="24"/>
              </w:rPr>
              <w:t>’ Demographic Characteristics</w:t>
            </w:r>
          </w:p>
        </w:tc>
      </w:tr>
      <w:tr w:rsidR="005C3600" w:rsidTr="00B7544A">
        <w:tc>
          <w:tcPr>
            <w:tcW w:w="6318" w:type="dxa"/>
            <w:tcBorders>
              <w:top w:val="single" w:sz="4" w:space="0" w:color="auto"/>
              <w:bottom w:val="single" w:sz="4" w:space="0" w:color="auto"/>
            </w:tcBorders>
          </w:tcPr>
          <w:p w:rsidR="005C3600" w:rsidRPr="00E7646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6460">
              <w:rPr>
                <w:rFonts w:ascii="Times New Roman" w:hAnsi="Times New Roman" w:cs="Times New Roman"/>
                <w:i/>
                <w:sz w:val="24"/>
                <w:szCs w:val="24"/>
              </w:rPr>
              <w:t>f</w:t>
            </w:r>
          </w:p>
        </w:tc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7646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C3600" w:rsidTr="00B7544A">
        <w:tc>
          <w:tcPr>
            <w:tcW w:w="6318" w:type="dxa"/>
            <w:tcBorders>
              <w:top w:val="single" w:sz="4" w:space="0" w:color="auto"/>
            </w:tcBorders>
          </w:tcPr>
          <w:p w:rsidR="005C3600" w:rsidRPr="00E7646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 Area Taught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auto"/>
            </w:tcBorders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E7646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31.3</w:t>
            </w:r>
          </w:p>
        </w:tc>
      </w:tr>
      <w:tr w:rsidR="005C3600" w:rsidTr="00B7544A">
        <w:tc>
          <w:tcPr>
            <w:tcW w:w="6318" w:type="dxa"/>
          </w:tcPr>
          <w:p w:rsidR="005C360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Both Agriculture &amp; Science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18.8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Energy Industry Experience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75.0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Highest Degree Earned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BA/BS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MA/MS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56.3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PhD/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EdD</w:t>
            </w:r>
            <w:proofErr w:type="spellEnd"/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Teaching Level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Junior High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</w:t>
            </w:r>
          </w:p>
        </w:tc>
      </w:tr>
      <w:tr w:rsidR="005C3600" w:rsidTr="00B7544A">
        <w:tc>
          <w:tcPr>
            <w:tcW w:w="6318" w:type="dxa"/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 School</w:t>
            </w:r>
          </w:p>
        </w:tc>
        <w:tc>
          <w:tcPr>
            <w:tcW w:w="1440" w:type="dxa"/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18" w:type="dxa"/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87.5</w:t>
            </w:r>
          </w:p>
        </w:tc>
      </w:tr>
      <w:tr w:rsidR="005C3600" w:rsidTr="00B7544A">
        <w:tc>
          <w:tcPr>
            <w:tcW w:w="6318" w:type="dxa"/>
            <w:tcBorders>
              <w:bottom w:val="single" w:sz="4" w:space="0" w:color="auto"/>
            </w:tcBorders>
          </w:tcPr>
          <w:p w:rsidR="005C3600" w:rsidRPr="00E76460" w:rsidRDefault="005C3600" w:rsidP="005C3600">
            <w:pPr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Community College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C3600" w:rsidRPr="00E76460" w:rsidRDefault="005C3600" w:rsidP="005C3600">
            <w:pPr>
              <w:ind w:right="4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8" w:type="dxa"/>
            <w:tcBorders>
              <w:bottom w:val="single" w:sz="4" w:space="0" w:color="auto"/>
            </w:tcBorders>
          </w:tcPr>
          <w:p w:rsidR="005C3600" w:rsidRPr="00E76460" w:rsidRDefault="005C3600" w:rsidP="005C3600">
            <w:pPr>
              <w:ind w:right="7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</w:p>
        </w:tc>
      </w:tr>
    </w:tbl>
    <w:p w:rsidR="005C3600" w:rsidRDefault="005C3600" w:rsidP="005C3600">
      <w:pPr>
        <w:spacing w:line="240" w:lineRule="auto"/>
        <w:rPr>
          <w:rFonts w:ascii="Times New Roman" w:hAnsi="Times New Roman" w:cs="Times New Roman"/>
          <w:sz w:val="20"/>
        </w:rPr>
      </w:pPr>
      <w:r w:rsidRPr="00674132">
        <w:rPr>
          <w:rFonts w:ascii="Times New Roman" w:hAnsi="Times New Roman" w:cs="Times New Roman"/>
          <w:i/>
          <w:sz w:val="20"/>
        </w:rPr>
        <w:t>Note</w:t>
      </w:r>
      <w:r w:rsidRPr="00674132">
        <w:rPr>
          <w:rFonts w:ascii="Times New Roman" w:hAnsi="Times New Roman" w:cs="Times New Roman"/>
          <w:sz w:val="20"/>
        </w:rPr>
        <w:t>. Not all response categories equal 18 due to item non-response and non-mutually exclusive categories.</w:t>
      </w:r>
    </w:p>
    <w:p w:rsidR="005C3600" w:rsidRPr="00A030B2" w:rsidRDefault="005C3600" w:rsidP="005C3600">
      <w:pPr>
        <w:spacing w:line="24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Research o</w:t>
      </w:r>
      <w:r w:rsidR="003F2A6D">
        <w:rPr>
          <w:rFonts w:ascii="Times New Roman" w:hAnsi="Times New Roman" w:cs="Times New Roman"/>
          <w:sz w:val="24"/>
        </w:rPr>
        <w:t>bjective two sought to describe the mean levels of teacher effi</w:t>
      </w:r>
      <w:r w:rsidR="00A745BD">
        <w:rPr>
          <w:rFonts w:ascii="Times New Roman" w:hAnsi="Times New Roman" w:cs="Times New Roman"/>
          <w:sz w:val="24"/>
        </w:rPr>
        <w:t>cacy within the STEBI construct (Table 2).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1620"/>
        <w:gridCol w:w="1989"/>
        <w:gridCol w:w="1804"/>
        <w:gridCol w:w="1805"/>
      </w:tblGrid>
      <w:tr w:rsidR="005C3600" w:rsidTr="00B7544A">
        <w:tc>
          <w:tcPr>
            <w:tcW w:w="9576" w:type="dxa"/>
            <w:gridSpan w:val="5"/>
            <w:tcBorders>
              <w:bottom w:val="single" w:sz="4" w:space="0" w:color="auto"/>
            </w:tcBorders>
          </w:tcPr>
          <w:p w:rsidR="005C3600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2</w:t>
            </w:r>
          </w:p>
          <w:p w:rsidR="005C3600" w:rsidRPr="00174AD4" w:rsidRDefault="005C3600" w:rsidP="005C36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Mean PSTE and STOE values for workshop participants</w:t>
            </w:r>
          </w:p>
        </w:tc>
      </w:tr>
      <w:tr w:rsidR="005C3600" w:rsidTr="00B7544A">
        <w:tc>
          <w:tcPr>
            <w:tcW w:w="2358" w:type="dxa"/>
            <w:vMerge w:val="restart"/>
            <w:tcBorders>
              <w:top w:val="single" w:sz="4" w:space="0" w:color="auto"/>
            </w:tcBorders>
            <w:vAlign w:val="bottom"/>
          </w:tcPr>
          <w:p w:rsidR="005C3600" w:rsidRPr="0003075D" w:rsidRDefault="005C3600" w:rsidP="005C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STEBI Construct</w:t>
            </w:r>
          </w:p>
        </w:tc>
        <w:tc>
          <w:tcPr>
            <w:tcW w:w="3609" w:type="dxa"/>
            <w:gridSpan w:val="2"/>
          </w:tcPr>
          <w:p w:rsidR="005C3600" w:rsidRPr="00814437" w:rsidRDefault="005C3600" w:rsidP="005C3600">
            <w:pPr>
              <w:pBdr>
                <w:bottom w:val="single" w:sz="4" w:space="0" w:color="auto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 (n=18)</w:t>
            </w:r>
          </w:p>
        </w:tc>
        <w:tc>
          <w:tcPr>
            <w:tcW w:w="3609" w:type="dxa"/>
            <w:gridSpan w:val="2"/>
            <w:tcBorders>
              <w:top w:val="single" w:sz="4" w:space="0" w:color="auto"/>
            </w:tcBorders>
          </w:tcPr>
          <w:p w:rsidR="005C3600" w:rsidRPr="0003075D" w:rsidRDefault="005C3600" w:rsidP="005C3600">
            <w:pPr>
              <w:pBdr>
                <w:bottom w:val="single" w:sz="4" w:space="0" w:color="auto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Post (n=18)</w:t>
            </w:r>
          </w:p>
        </w:tc>
      </w:tr>
      <w:tr w:rsidR="005C3600" w:rsidTr="00B7544A">
        <w:tc>
          <w:tcPr>
            <w:tcW w:w="2358" w:type="dxa"/>
            <w:vMerge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989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805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</w:tr>
      <w:tr w:rsidR="005C3600" w:rsidTr="00B7544A">
        <w:tc>
          <w:tcPr>
            <w:tcW w:w="2358" w:type="dxa"/>
            <w:tcBorders>
              <w:top w:val="single" w:sz="4" w:space="0" w:color="auto"/>
            </w:tcBorders>
            <w:vAlign w:val="bottom"/>
          </w:tcPr>
          <w:p w:rsidR="005C3600" w:rsidRPr="00FA3909" w:rsidRDefault="005C3600" w:rsidP="005C3600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PSTE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3.02</w:t>
            </w:r>
          </w:p>
        </w:tc>
        <w:tc>
          <w:tcPr>
            <w:tcW w:w="1989" w:type="dxa"/>
            <w:tcBorders>
              <w:top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1805" w:type="dxa"/>
            <w:tcBorders>
              <w:top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1.42</w:t>
            </w:r>
          </w:p>
        </w:tc>
      </w:tr>
      <w:tr w:rsidR="005C3600" w:rsidTr="00B7544A">
        <w:tc>
          <w:tcPr>
            <w:tcW w:w="2358" w:type="dxa"/>
            <w:tcBorders>
              <w:bottom w:val="single" w:sz="4" w:space="0" w:color="auto"/>
            </w:tcBorders>
            <w:vAlign w:val="bottom"/>
          </w:tcPr>
          <w:p w:rsidR="005C3600" w:rsidRPr="00FA3909" w:rsidRDefault="005C3600" w:rsidP="005C3600">
            <w:pPr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STOE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3.40</w:t>
            </w:r>
          </w:p>
        </w:tc>
        <w:tc>
          <w:tcPr>
            <w:tcW w:w="1989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0.99</w:t>
            </w: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3.54</w:t>
            </w:r>
          </w:p>
        </w:tc>
        <w:tc>
          <w:tcPr>
            <w:tcW w:w="1805" w:type="dxa"/>
            <w:tcBorders>
              <w:bottom w:val="single" w:sz="4" w:space="0" w:color="auto"/>
            </w:tcBorders>
          </w:tcPr>
          <w:p w:rsidR="005C3600" w:rsidRPr="0003075D" w:rsidRDefault="005C3600" w:rsidP="005C3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</w:tr>
    </w:tbl>
    <w:p w:rsidR="005C3600" w:rsidRPr="00674132" w:rsidRDefault="005C3600" w:rsidP="005C3600">
      <w:pPr>
        <w:spacing w:line="240" w:lineRule="auto"/>
        <w:rPr>
          <w:rFonts w:ascii="Times New Roman" w:hAnsi="Times New Roman" w:cs="Times New Roman"/>
          <w:sz w:val="20"/>
        </w:rPr>
      </w:pPr>
    </w:p>
    <w:p w:rsidR="00916916" w:rsidRPr="003F2A6D" w:rsidRDefault="00916916" w:rsidP="003F2A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Conclusions</w:t>
      </w:r>
      <w:r w:rsidR="00163A58">
        <w:rPr>
          <w:rFonts w:ascii="Times New Roman" w:hAnsi="Times New Roman" w:cs="Times New Roman"/>
          <w:b/>
          <w:sz w:val="24"/>
          <w:szCs w:val="24"/>
        </w:rPr>
        <w:t xml:space="preserve"> and Implications</w:t>
      </w:r>
    </w:p>
    <w:p w:rsidR="0068522A" w:rsidRPr="0068522A" w:rsidRDefault="0068522A" w:rsidP="005C36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68F1">
        <w:rPr>
          <w:rFonts w:ascii="Times New Roman" w:hAnsi="Times New Roman" w:cs="Times New Roman"/>
          <w:sz w:val="24"/>
          <w:szCs w:val="24"/>
        </w:rPr>
        <w:t xml:space="preserve"> </w:t>
      </w:r>
      <w:r w:rsidR="00163A58">
        <w:rPr>
          <w:rFonts w:ascii="Times New Roman" w:hAnsi="Times New Roman" w:cs="Times New Roman"/>
          <w:sz w:val="24"/>
          <w:szCs w:val="24"/>
        </w:rPr>
        <w:t>Results from this study generated several questions</w:t>
      </w:r>
      <w:r w:rsidR="005834B2">
        <w:rPr>
          <w:rFonts w:ascii="Times New Roman" w:hAnsi="Times New Roman" w:cs="Times New Roman"/>
          <w:sz w:val="24"/>
          <w:szCs w:val="24"/>
        </w:rPr>
        <w:t xml:space="preserve">. </w:t>
      </w:r>
      <w:r w:rsidR="00163A58">
        <w:rPr>
          <w:rFonts w:ascii="Times New Roman" w:hAnsi="Times New Roman" w:cs="Times New Roman"/>
          <w:sz w:val="24"/>
          <w:szCs w:val="24"/>
        </w:rPr>
        <w:t>Why were the pre and</w:t>
      </w:r>
      <w:r w:rsidR="005834B2">
        <w:rPr>
          <w:rFonts w:ascii="Times New Roman" w:hAnsi="Times New Roman" w:cs="Times New Roman"/>
          <w:sz w:val="24"/>
          <w:szCs w:val="24"/>
        </w:rPr>
        <w:t xml:space="preserve"> post results so similar? </w:t>
      </w:r>
      <w:r w:rsidR="009F2AB2">
        <w:rPr>
          <w:rFonts w:ascii="Times New Roman" w:hAnsi="Times New Roman" w:cs="Times New Roman"/>
          <w:sz w:val="24"/>
          <w:szCs w:val="24"/>
        </w:rPr>
        <w:t xml:space="preserve">Perhaps the instructors who chose to enroll in the workshop already had a high level of foundational knowledge. </w:t>
      </w:r>
      <w:r w:rsidR="00163A58">
        <w:rPr>
          <w:rFonts w:ascii="Times New Roman" w:hAnsi="Times New Roman" w:cs="Times New Roman"/>
          <w:sz w:val="24"/>
          <w:szCs w:val="24"/>
        </w:rPr>
        <w:t xml:space="preserve">What differences might be found analyzing data from the </w:t>
      </w:r>
      <w:r w:rsidR="005834B2">
        <w:rPr>
          <w:rFonts w:ascii="Times New Roman" w:hAnsi="Times New Roman" w:cs="Times New Roman"/>
          <w:sz w:val="24"/>
          <w:szCs w:val="24"/>
        </w:rPr>
        <w:t xml:space="preserve">individual questions? </w:t>
      </w:r>
      <w:r w:rsidR="009461F3">
        <w:rPr>
          <w:rFonts w:ascii="Times New Roman" w:hAnsi="Times New Roman" w:cs="Times New Roman"/>
          <w:sz w:val="24"/>
          <w:szCs w:val="24"/>
        </w:rPr>
        <w:t xml:space="preserve">Were there certain parts of the workshop that were more effective than others? </w:t>
      </w:r>
      <w:r w:rsidR="003F2A6D">
        <w:rPr>
          <w:rFonts w:ascii="Times New Roman" w:hAnsi="Times New Roman" w:cs="Times New Roman"/>
          <w:sz w:val="24"/>
          <w:szCs w:val="24"/>
        </w:rPr>
        <w:t>Although marginal differences in the results were recorded, a follow-up post, post survey will be put into the field in March, 2013.</w:t>
      </w:r>
    </w:p>
    <w:p w:rsidR="003F2A6D" w:rsidRDefault="003F2A6D" w:rsidP="005C36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2A6D" w:rsidRDefault="003F2A6D" w:rsidP="005C36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5B0" w:rsidRPr="006B35B0" w:rsidRDefault="006B35B0" w:rsidP="006B35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5B0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B35B0">
        <w:rPr>
          <w:rFonts w:ascii="Times New Roman" w:hAnsi="Times New Roman" w:cs="Times New Roman"/>
          <w:sz w:val="24"/>
          <w:szCs w:val="24"/>
        </w:rPr>
        <w:t xml:space="preserve">Bandura, A. (2012). On the functional properties of perceived self-efficacy revisited. Journal of Management, 38(1), 9-44. </w:t>
      </w: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6B35B0">
        <w:rPr>
          <w:rFonts w:ascii="Times New Roman" w:hAnsi="Times New Roman" w:cs="Times New Roman"/>
          <w:sz w:val="24"/>
          <w:szCs w:val="24"/>
        </w:rPr>
        <w:t>: 10.1177/0149206311410606</w:t>
      </w:r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Colosi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 xml:space="preserve">, L. &amp; </w:t>
      </w:r>
      <w:proofErr w:type="spellStart"/>
      <w:r w:rsidRPr="006B35B0">
        <w:rPr>
          <w:rFonts w:ascii="Times New Roman" w:hAnsi="Times New Roman" w:cs="Times New Roman"/>
          <w:sz w:val="24"/>
          <w:szCs w:val="24"/>
        </w:rPr>
        <w:t>Dunifon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>, R. (2006).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 What’s the difference? Post then pre” &amp; “pre then post”. </w:t>
      </w:r>
      <w:proofErr w:type="gramStart"/>
      <w:r w:rsidRPr="006B35B0">
        <w:rPr>
          <w:rFonts w:ascii="Times New Roman" w:hAnsi="Times New Roman" w:cs="Times New Roman"/>
          <w:sz w:val="24"/>
          <w:szCs w:val="24"/>
        </w:rPr>
        <w:t>Cornell Cooperative Extension.</w:t>
      </w:r>
      <w:proofErr w:type="gramEnd"/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6B35B0">
        <w:rPr>
          <w:rFonts w:ascii="Times New Roman" w:hAnsi="Times New Roman" w:cs="Times New Roman"/>
          <w:sz w:val="24"/>
          <w:szCs w:val="24"/>
        </w:rPr>
        <w:t>H.R. Res. 6, 110th Cong. Energy Independence and Security Act of 2007.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 Available online at http://www.govtrack.us/congress/bills/110/hr6</w:t>
      </w:r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B35B0">
        <w:rPr>
          <w:rFonts w:ascii="Times New Roman" w:hAnsi="Times New Roman" w:cs="Times New Roman"/>
          <w:sz w:val="24"/>
          <w:szCs w:val="24"/>
        </w:rPr>
        <w:t xml:space="preserve">Jennings, P. (2009). </w:t>
      </w:r>
      <w:proofErr w:type="gramStart"/>
      <w:r w:rsidRPr="006B35B0">
        <w:rPr>
          <w:rFonts w:ascii="Times New Roman" w:hAnsi="Times New Roman" w:cs="Times New Roman"/>
          <w:sz w:val="24"/>
          <w:szCs w:val="24"/>
        </w:rPr>
        <w:t>New directions in renewable energy education.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 Renewable Energy</w:t>
      </w:r>
      <w:proofErr w:type="gramStart"/>
      <w:r w:rsidRPr="006B35B0">
        <w:rPr>
          <w:rFonts w:ascii="Times New Roman" w:hAnsi="Times New Roman" w:cs="Times New Roman"/>
          <w:sz w:val="24"/>
          <w:szCs w:val="24"/>
        </w:rPr>
        <w:t>,34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, 435-439. </w:t>
      </w: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6B35B0">
        <w:rPr>
          <w:rFonts w:ascii="Times New Roman" w:hAnsi="Times New Roman" w:cs="Times New Roman"/>
          <w:sz w:val="24"/>
          <w:szCs w:val="24"/>
        </w:rPr>
        <w:t>: 10.1016/j.renene.2008.05.005</w:t>
      </w:r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Tschannen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>-Moran, M. and A.W. Hoy.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 2001. Teacher efficacy: Capturing an elusive construct. Teaching and Teacher Education 17, 783-805. </w:t>
      </w: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6B35B0">
        <w:rPr>
          <w:rFonts w:ascii="Times New Roman" w:hAnsi="Times New Roman" w:cs="Times New Roman"/>
          <w:sz w:val="24"/>
          <w:szCs w:val="24"/>
        </w:rPr>
        <w:t>: 10.1016/S0742-051X(01)00036-1</w:t>
      </w:r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B35B0">
        <w:rPr>
          <w:rFonts w:ascii="Times New Roman" w:hAnsi="Times New Roman" w:cs="Times New Roman"/>
          <w:sz w:val="24"/>
          <w:szCs w:val="24"/>
        </w:rPr>
        <w:t xml:space="preserve">Ulmer, J. D., Velez, J. J., Witt, P. A., Thompson, G. W., Lambert, M. D., &amp; Burris, S. (2012). The case curriculum and science teaching efficacy: a one year follow-up study. </w:t>
      </w:r>
      <w:proofErr w:type="gramStart"/>
      <w:r w:rsidRPr="006B35B0">
        <w:rPr>
          <w:rFonts w:ascii="Times New Roman" w:hAnsi="Times New Roman" w:cs="Times New Roman"/>
          <w:sz w:val="24"/>
          <w:szCs w:val="24"/>
        </w:rPr>
        <w:t>Proceedings of the American Association for Agricultural Education Research Conference, 39, 1.</w:t>
      </w:r>
      <w:proofErr w:type="gramEnd"/>
    </w:p>
    <w:p w:rsidR="006B35B0" w:rsidRPr="006B35B0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Woolfolk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>, A. 2007.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 Educational psychology: Instructor’s copy. Boston, MA: </w:t>
      </w:r>
      <w:proofErr w:type="spellStart"/>
      <w:r w:rsidRPr="006B35B0">
        <w:rPr>
          <w:rFonts w:ascii="Times New Roman" w:hAnsi="Times New Roman" w:cs="Times New Roman"/>
          <w:sz w:val="24"/>
          <w:szCs w:val="24"/>
        </w:rPr>
        <w:t>Allyn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 xml:space="preserve"> and Bacon.</w:t>
      </w:r>
    </w:p>
    <w:p w:rsidR="00647BE7" w:rsidRPr="00FF1617" w:rsidRDefault="006B35B0" w:rsidP="00DE53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B35B0">
        <w:rPr>
          <w:rFonts w:ascii="Times New Roman" w:hAnsi="Times New Roman" w:cs="Times New Roman"/>
          <w:sz w:val="24"/>
          <w:szCs w:val="24"/>
        </w:rPr>
        <w:t>Woolfolk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>-Hoy, A.E. and Hoy, W. K. (2009).</w:t>
      </w:r>
      <w:proofErr w:type="gramEnd"/>
      <w:r w:rsidRPr="006B35B0">
        <w:rPr>
          <w:rFonts w:ascii="Times New Roman" w:hAnsi="Times New Roman" w:cs="Times New Roman"/>
          <w:sz w:val="24"/>
          <w:szCs w:val="24"/>
        </w:rPr>
        <w:t xml:space="preserve"> Instructional leadership: A research-based guide to learning in schools. Boston, MA: </w:t>
      </w:r>
      <w:proofErr w:type="spellStart"/>
      <w:r w:rsidRPr="006B35B0">
        <w:rPr>
          <w:rFonts w:ascii="Times New Roman" w:hAnsi="Times New Roman" w:cs="Times New Roman"/>
          <w:sz w:val="24"/>
          <w:szCs w:val="24"/>
        </w:rPr>
        <w:t>Allyn</w:t>
      </w:r>
      <w:proofErr w:type="spellEnd"/>
      <w:r w:rsidRPr="006B35B0">
        <w:rPr>
          <w:rFonts w:ascii="Times New Roman" w:hAnsi="Times New Roman" w:cs="Times New Roman"/>
          <w:sz w:val="24"/>
          <w:szCs w:val="24"/>
        </w:rPr>
        <w:t xml:space="preserve"> and Bacon.</w:t>
      </w:r>
    </w:p>
    <w:sectPr w:rsidR="00647BE7" w:rsidRPr="00FF16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285" w:rsidRDefault="00E44285" w:rsidP="00E44285">
      <w:pPr>
        <w:spacing w:after="0" w:line="240" w:lineRule="auto"/>
      </w:pPr>
      <w:r>
        <w:separator/>
      </w:r>
    </w:p>
  </w:endnote>
  <w:endnote w:type="continuationSeparator" w:id="0">
    <w:p w:rsidR="00E44285" w:rsidRDefault="00E44285" w:rsidP="00E44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85" w:rsidRDefault="00E442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85" w:rsidRDefault="00E4428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85" w:rsidRDefault="00E442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285" w:rsidRDefault="00E44285" w:rsidP="00E44285">
      <w:pPr>
        <w:spacing w:after="0" w:line="240" w:lineRule="auto"/>
      </w:pPr>
      <w:r>
        <w:separator/>
      </w:r>
    </w:p>
  </w:footnote>
  <w:footnote w:type="continuationSeparator" w:id="0">
    <w:p w:rsidR="00E44285" w:rsidRDefault="00E44285" w:rsidP="00E44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85" w:rsidRDefault="00E442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85" w:rsidRDefault="00E442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285" w:rsidRDefault="00E442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EE0"/>
    <w:rsid w:val="00040A86"/>
    <w:rsid w:val="000B034A"/>
    <w:rsid w:val="000F47A1"/>
    <w:rsid w:val="00160089"/>
    <w:rsid w:val="00163A58"/>
    <w:rsid w:val="00213F08"/>
    <w:rsid w:val="00223974"/>
    <w:rsid w:val="002A4D91"/>
    <w:rsid w:val="00314B4D"/>
    <w:rsid w:val="00394530"/>
    <w:rsid w:val="003F2A6D"/>
    <w:rsid w:val="00425D48"/>
    <w:rsid w:val="00494907"/>
    <w:rsid w:val="004B5E2A"/>
    <w:rsid w:val="005834B2"/>
    <w:rsid w:val="005A40D7"/>
    <w:rsid w:val="005B0292"/>
    <w:rsid w:val="005B70C4"/>
    <w:rsid w:val="005C3600"/>
    <w:rsid w:val="00647BE7"/>
    <w:rsid w:val="0068522A"/>
    <w:rsid w:val="006B35B0"/>
    <w:rsid w:val="007B6D58"/>
    <w:rsid w:val="007E25BC"/>
    <w:rsid w:val="008033E1"/>
    <w:rsid w:val="00833F94"/>
    <w:rsid w:val="008635C5"/>
    <w:rsid w:val="00875083"/>
    <w:rsid w:val="008F7EC3"/>
    <w:rsid w:val="00904532"/>
    <w:rsid w:val="00914DAF"/>
    <w:rsid w:val="00916916"/>
    <w:rsid w:val="009461F3"/>
    <w:rsid w:val="009D6F0C"/>
    <w:rsid w:val="009F0C6F"/>
    <w:rsid w:val="009F2AB2"/>
    <w:rsid w:val="00A2240C"/>
    <w:rsid w:val="00A2671F"/>
    <w:rsid w:val="00A44D8F"/>
    <w:rsid w:val="00A45359"/>
    <w:rsid w:val="00A52275"/>
    <w:rsid w:val="00A745BD"/>
    <w:rsid w:val="00A87EE0"/>
    <w:rsid w:val="00B17263"/>
    <w:rsid w:val="00B80A27"/>
    <w:rsid w:val="00BB12AE"/>
    <w:rsid w:val="00D01F4E"/>
    <w:rsid w:val="00D90CA8"/>
    <w:rsid w:val="00DC37C9"/>
    <w:rsid w:val="00DE5357"/>
    <w:rsid w:val="00E44285"/>
    <w:rsid w:val="00E949A2"/>
    <w:rsid w:val="00ED76C4"/>
    <w:rsid w:val="00FA68F1"/>
    <w:rsid w:val="00FA775B"/>
    <w:rsid w:val="00FF1617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5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2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22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C360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44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285"/>
  </w:style>
  <w:style w:type="paragraph" w:styleId="Footer">
    <w:name w:val="footer"/>
    <w:basedOn w:val="Normal"/>
    <w:link w:val="FooterChar"/>
    <w:uiPriority w:val="99"/>
    <w:unhideWhenUsed/>
    <w:rsid w:val="00E44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2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5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2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22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C360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44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285"/>
  </w:style>
  <w:style w:type="paragraph" w:styleId="Footer">
    <w:name w:val="footer"/>
    <w:basedOn w:val="Normal"/>
    <w:link w:val="FooterChar"/>
    <w:uiPriority w:val="99"/>
    <w:unhideWhenUsed/>
    <w:rsid w:val="00E44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43B10-3F6A-416B-BE00-E4CA7E75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2013-03-01T03:19:00Z</dcterms:created>
  <dcterms:modified xsi:type="dcterms:W3CDTF">2013-03-01T03:19:00Z</dcterms:modified>
</cp:coreProperties>
</file>