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DE" w:rsidRPr="00BB7CC6" w:rsidRDefault="00AB4CDE" w:rsidP="00AB4CDE">
      <w:pPr>
        <w:jc w:val="right"/>
        <w:rPr>
          <w:rFonts w:ascii="Times New Roman" w:hAnsi="Times New Roman" w:cs="Times New Roman"/>
          <w:b/>
        </w:rPr>
      </w:pPr>
      <w:r w:rsidRPr="00BB7CC6">
        <w:rPr>
          <w:rFonts w:ascii="Times New Roman" w:hAnsi="Times New Roman" w:cs="Times New Roman"/>
          <w:b/>
        </w:rPr>
        <w:t>Poster Type: I</w:t>
      </w:r>
      <w:r w:rsidR="00BB7CC6" w:rsidRPr="00BB7CC6">
        <w:rPr>
          <w:rFonts w:ascii="Times New Roman" w:hAnsi="Times New Roman" w:cs="Times New Roman"/>
          <w:b/>
        </w:rPr>
        <w:t>nnovative I</w:t>
      </w:r>
      <w:r w:rsidRPr="00BB7CC6">
        <w:rPr>
          <w:rFonts w:ascii="Times New Roman" w:hAnsi="Times New Roman" w:cs="Times New Roman"/>
          <w:b/>
        </w:rPr>
        <w:t>dea</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Feeding the World: An Engaging, Comprehensive Sustainable Agriculture Curriculum</w:t>
      </w:r>
    </w:p>
    <w:p w:rsidR="00BB7CC6" w:rsidRPr="00BB7CC6" w:rsidRDefault="00BB7CC6" w:rsidP="00AB4CDE">
      <w:pPr>
        <w:jc w:val="center"/>
        <w:rPr>
          <w:rFonts w:ascii="Times New Roman" w:hAnsi="Times New Roman" w:cs="Times New Roman"/>
          <w:b/>
        </w:rPr>
      </w:pPr>
    </w:p>
    <w:p w:rsidR="00BB7CC6" w:rsidRPr="00BB7CC6" w:rsidRDefault="00BB7CC6" w:rsidP="00AB4CDE">
      <w:pPr>
        <w:jc w:val="center"/>
        <w:rPr>
          <w:rFonts w:ascii="Times New Roman" w:hAnsi="Times New Roman" w:cs="Times New Roman"/>
          <w:b/>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Audrey Denney</w:t>
      </w: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Dr. Mollie Aschenbrener</w:t>
      </w: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California State University, Chico</w:t>
      </w: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College of Agriculture</w:t>
      </w: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400 West First Street</w:t>
      </w: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Chico, CA  95929-0310</w:t>
      </w:r>
    </w:p>
    <w:p w:rsidR="00AB4CDE" w:rsidRPr="00BB7CC6" w:rsidRDefault="00AB4CDE" w:rsidP="00AB4CDE">
      <w:pPr>
        <w:jc w:val="center"/>
        <w:rPr>
          <w:rFonts w:ascii="Times New Roman" w:hAnsi="Times New Roman" w:cs="Times New Roman"/>
        </w:rPr>
      </w:pPr>
      <w:r w:rsidRPr="00BB7CC6">
        <w:rPr>
          <w:rFonts w:ascii="Times New Roman" w:hAnsi="Times New Roman" w:cs="Times New Roman"/>
        </w:rPr>
        <w:t>(805-550-4239)</w:t>
      </w:r>
    </w:p>
    <w:p w:rsidR="00AB4CDE" w:rsidRPr="00BB7CC6" w:rsidRDefault="00FF0534" w:rsidP="00AB4CDE">
      <w:pPr>
        <w:jc w:val="center"/>
        <w:rPr>
          <w:rFonts w:ascii="Times New Roman" w:hAnsi="Times New Roman" w:cs="Times New Roman"/>
        </w:rPr>
      </w:pPr>
      <w:hyperlink r:id="rId6" w:history="1">
        <w:r w:rsidR="00AB4CDE" w:rsidRPr="00BB7CC6">
          <w:rPr>
            <w:rStyle w:val="Hyperlink"/>
            <w:rFonts w:ascii="Times New Roman" w:hAnsi="Times New Roman" w:cs="Times New Roman"/>
          </w:rPr>
          <w:t>adenney@csuchico.edu</w:t>
        </w:r>
      </w:hyperlink>
      <w:r w:rsidR="00AB4CDE" w:rsidRPr="00BB7CC6">
        <w:rPr>
          <w:rFonts w:ascii="Times New Roman" w:hAnsi="Times New Roman" w:cs="Times New Roman"/>
        </w:rPr>
        <w:t xml:space="preserve"> </w:t>
      </w:r>
    </w:p>
    <w:p w:rsidR="00AB4CDE" w:rsidRPr="00BB7CC6" w:rsidRDefault="00FF0534" w:rsidP="00AB4CDE">
      <w:pPr>
        <w:jc w:val="center"/>
        <w:rPr>
          <w:rFonts w:ascii="Times New Roman" w:hAnsi="Times New Roman" w:cs="Times New Roman"/>
        </w:rPr>
      </w:pPr>
      <w:hyperlink r:id="rId7" w:history="1">
        <w:r w:rsidR="00AB4CDE" w:rsidRPr="00BB7CC6">
          <w:rPr>
            <w:rStyle w:val="Hyperlink"/>
            <w:rFonts w:ascii="Times New Roman" w:hAnsi="Times New Roman" w:cs="Times New Roman"/>
          </w:rPr>
          <w:t>maschenbrener@csuchico.edu</w:t>
        </w:r>
      </w:hyperlink>
      <w:r w:rsidR="00AB4CDE" w:rsidRPr="00BB7CC6">
        <w:rPr>
          <w:rFonts w:ascii="Times New Roman" w:hAnsi="Times New Roman" w:cs="Times New Roman"/>
        </w:rPr>
        <w:t xml:space="preserve">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bookmarkStart w:id="0" w:name="_GoBack"/>
      <w:bookmarkEnd w:id="0"/>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Feeding the World: An Engaging, Comprehensive Sustainable Agriculture Curriculum</w:t>
      </w:r>
    </w:p>
    <w:p w:rsidR="00AB4CDE" w:rsidRPr="00BB7CC6" w:rsidRDefault="00AB4CDE" w:rsidP="00AB4CDE">
      <w:pPr>
        <w:jc w:val="center"/>
        <w:rPr>
          <w:rFonts w:ascii="Times New Roman" w:hAnsi="Times New Roman" w:cs="Times New Roman"/>
          <w:b/>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Introduction/Need for Innovation</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As the global population creeps toward a projected 9 billion people in 2050, concern mounts over the global food system’s ability to meet food demand while conserving resources (</w:t>
      </w:r>
      <w:r w:rsidR="009A4661" w:rsidRPr="00BB7CC6">
        <w:rPr>
          <w:rFonts w:ascii="Times New Roman" w:hAnsi="Times New Roman" w:cs="Times New Roman"/>
        </w:rPr>
        <w:t>Food and Agriculture Organization [FAO]</w:t>
      </w:r>
      <w:r w:rsidRPr="00BB7CC6">
        <w:rPr>
          <w:rFonts w:ascii="Times New Roman" w:hAnsi="Times New Roman" w:cs="Times New Roman"/>
        </w:rPr>
        <w:t>, 2009).  The projected population growth will require a 70% increase in global food production by 2050 (</w:t>
      </w:r>
      <w:r w:rsidR="009A4661" w:rsidRPr="00BB7CC6">
        <w:rPr>
          <w:rFonts w:ascii="Times New Roman" w:hAnsi="Times New Roman" w:cs="Times New Roman"/>
        </w:rPr>
        <w:t>FAO</w:t>
      </w:r>
      <w:r w:rsidRPr="00BB7CC6">
        <w:rPr>
          <w:rFonts w:ascii="Times New Roman" w:hAnsi="Times New Roman" w:cs="Times New Roman"/>
        </w:rPr>
        <w:t xml:space="preserve">, 2009).  Increasing constraints on global natural resources compound this already daunting challenge.  The </w:t>
      </w:r>
      <w:r w:rsidR="009A4661" w:rsidRPr="00BB7CC6">
        <w:rPr>
          <w:rFonts w:ascii="Times New Roman" w:hAnsi="Times New Roman" w:cs="Times New Roman"/>
        </w:rPr>
        <w:t>FAO</w:t>
      </w:r>
      <w:r w:rsidRPr="00BB7CC6">
        <w:rPr>
          <w:rFonts w:ascii="Times New Roman" w:hAnsi="Times New Roman" w:cs="Times New Roman"/>
        </w:rPr>
        <w:t xml:space="preserve"> estimates 25% of global arable land is already severely degraded (FAO, 2012). An additional concern, agriculture currently accounts for 70% of water use and yet is projected to have just 40% allocated for food and fiber production by 2050 (FAO, 2012).  The agriculture industry will be asked to produce significantly more food with fewer resources than ever before.  Sustainable agriculture may play an important role in meeting this challenge.  Sustainable agriculture is the practice of balancing economic viability, wise and careful stewardship of natural resources, and social impacts to achieve long-term, stable production of food and fiber (Gould, 1999).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Today’s high school agriculture students are tomorrow’s industry leaders.  They will be charged with the formidable, yet inspiring task of meeting the global food demand.  Educating the next generation of agriculturalists about the importance of economic, ecological, and social sustainability is of critical importance (Agbaje, Martin, &amp; Williams, 2001).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In a study of perceptions of sustainable agriculture of high school agriculture students and their teachers, Williams and Wise (1997) found that students knew little about sustainable agriculture.  Further, teachers suggested they too had limited understanding of sustainable agriculture.  Curriculum materials, instructional aids, and innovative approaches to teaching needed to be created to address this lack of knowledge (Williams &amp; Wise, 1997).  In a similar study, Agbaje, Martin, and Williams (2001) found teachers had neutral perceptions about agriculture sustainability and limited incorporation of the subject in their courses.  The authors urged that “opportunities for decision- making that concurrently consider economic, environmental, and social factors should be developed to facilitate learning related to sustainable agriculture systems” (p. 42).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An engaging and comprehensive curriculum is needed to help bridge the gap in high school agriculture students’ knowledge of sustainable agriculture.  Curriculum must contain necessary content and materials to ensure content knowledge is accessible for teachers who may not possess prior knowledge (Williams &amp; Wise, 1997). Creative teaching strategies are needed to allow students the opportunity to apply higher order thinking skills such as analysis and evaluation to comprehend this complex topic. </w:t>
      </w: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How it Works</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Student learning outcomes were developed to address the need for sustainable agriculture curriculum.  The overall objective was for all students to understand the gravity of the challenge </w:t>
      </w:r>
      <w:r w:rsidRPr="00BB7CC6">
        <w:rPr>
          <w:rFonts w:ascii="Times New Roman" w:hAnsi="Times New Roman" w:cs="Times New Roman"/>
        </w:rPr>
        <w:lastRenderedPageBreak/>
        <w:t>of feeding the growing population while preserving the world’s resources.  A teaching unit plan introducing high school upperclassmen to the topic of sustainable agriculture was developed.  The unit allows students to examine the broad challenges facing modern agriculture including: water scarcity, land degradation, population growth, fossil fuel dependence, and hunger.</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Students learn to define sustainable agriculture and its three components (economic, environmental and social sustainability).  The curriculum allows students to view sustainability in the context of conventional and organic production systems.  Additional content focuses on the three components of agricultural sustainability and allow students to discover specific strategies to address each area.  Students learn to view the complete agriculture system, rather than individual components. The unit concludes utilizing cooperative learning groups to address specific farm case studies, which evaluate farm systems and provide recommendations to farmers.</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The comprehensive curriculum includes videos, PowerPoint presentations with presenter notes, handouts, and optional homework assignments and reading material.  The curriculum was developed using credible sources such as the United States Department of Agriculture (USDA) and the United Nations Food and Agriculture Organization (FAO).  The lesson plans can be applied in a variety of junior and senior level agriculture classes.  </w:t>
      </w: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Results to Date/Implications</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The curriculum </w:t>
      </w:r>
      <w:r w:rsidR="009A4661" w:rsidRPr="00BB7CC6">
        <w:rPr>
          <w:rFonts w:ascii="Times New Roman" w:hAnsi="Times New Roman" w:cs="Times New Roman"/>
        </w:rPr>
        <w:t>was</w:t>
      </w:r>
      <w:r w:rsidRPr="00BB7CC6">
        <w:rPr>
          <w:rFonts w:ascii="Times New Roman" w:hAnsi="Times New Roman" w:cs="Times New Roman"/>
        </w:rPr>
        <w:t xml:space="preserve"> piloted with 100 high school agriculture students in California classrooms.  Piloting this curriculum will provide researchers opportunities to refine the curriculum before releasing the curriculum to secondary agriculture instructors.  Curriculum is expected to be delivered to secondary agriculture teachers in the 2013-14 academic year.  </w:t>
      </w: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Future Plans/Advice to Others</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The development of this curriculum will allow both students and teachers to increase their knowledge of sustainable agriculture and addresses a need identified in agricultural education research.  Additionally, this curriculum will allow further research to evaluate the effectiveness of the curriculum from both teacher and student perspectives.  Future plans include piloting the curriculum in different parts of the country and assessing the differences in perceptions regionally.  </w:t>
      </w: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Costs/Resources Needed</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r w:rsidRPr="00BB7CC6">
        <w:rPr>
          <w:rFonts w:ascii="Times New Roman" w:hAnsi="Times New Roman" w:cs="Times New Roman"/>
        </w:rPr>
        <w:t xml:space="preserve">The curriculum was developed as part of a special projects course and thus did not incur development expenses.  The curriculum and resources will be provided electronically to teachers through a variety of existing programs and venues, including state agriculture teacher conferences and university websites, allowing the curriculum to be provided without cost to interested teachers.  The time required for teachers to prepare to deliver the curriculum is minimized given the comprehensive unit plan.   The curriculum does require access to a computer/projector system. </w:t>
      </w: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rPr>
          <w:rFonts w:ascii="Times New Roman" w:hAnsi="Times New Roman" w:cs="Times New Roman"/>
        </w:rPr>
      </w:pPr>
    </w:p>
    <w:p w:rsidR="00AB4CDE" w:rsidRPr="00BB7CC6" w:rsidRDefault="00AB4CDE" w:rsidP="00AB4CDE">
      <w:pPr>
        <w:jc w:val="center"/>
        <w:rPr>
          <w:rFonts w:ascii="Times New Roman" w:hAnsi="Times New Roman" w:cs="Times New Roman"/>
          <w:b/>
        </w:rPr>
      </w:pPr>
      <w:r w:rsidRPr="00BB7CC6">
        <w:rPr>
          <w:rFonts w:ascii="Times New Roman" w:hAnsi="Times New Roman" w:cs="Times New Roman"/>
          <w:b/>
        </w:rPr>
        <w:t>References</w:t>
      </w:r>
    </w:p>
    <w:p w:rsidR="00AB4CDE" w:rsidRPr="00BB7CC6" w:rsidRDefault="00AB4CDE" w:rsidP="00AB4CDE">
      <w:pPr>
        <w:rPr>
          <w:rFonts w:ascii="Times New Roman" w:hAnsi="Times New Roman" w:cs="Times New Roman"/>
        </w:rPr>
      </w:pPr>
    </w:p>
    <w:p w:rsidR="00AB4CDE" w:rsidRPr="00BB7CC6" w:rsidRDefault="00AB4CDE" w:rsidP="00AB4CDE">
      <w:pPr>
        <w:ind w:left="720" w:hanging="720"/>
        <w:rPr>
          <w:rFonts w:ascii="Times New Roman" w:hAnsi="Times New Roman" w:cs="Times New Roman"/>
        </w:rPr>
      </w:pPr>
      <w:r w:rsidRPr="00BB7CC6">
        <w:rPr>
          <w:rFonts w:ascii="Times New Roman" w:hAnsi="Times New Roman" w:cs="Times New Roman"/>
        </w:rPr>
        <w:t xml:space="preserve">Agbaje, K. A., Martin, R. A., &amp; Williams, D. L. (2001). Impact of sustainable agriculture and secondary school agricultural education teachers and programs in the north central region. </w:t>
      </w:r>
      <w:r w:rsidRPr="00BB7CC6">
        <w:rPr>
          <w:rFonts w:ascii="Times New Roman" w:hAnsi="Times New Roman" w:cs="Times New Roman"/>
          <w:i/>
        </w:rPr>
        <w:t>Journal of Agricultural Education, 42</w:t>
      </w:r>
      <w:r w:rsidRPr="00BB7CC6">
        <w:rPr>
          <w:rFonts w:ascii="Times New Roman" w:hAnsi="Times New Roman" w:cs="Times New Roman"/>
        </w:rPr>
        <w:t>(2), 38-45.</w:t>
      </w:r>
    </w:p>
    <w:p w:rsidR="00AB4CDE" w:rsidRPr="00BB7CC6" w:rsidRDefault="00AB4CDE" w:rsidP="00AB4CDE">
      <w:pPr>
        <w:ind w:left="720" w:hanging="720"/>
        <w:rPr>
          <w:rFonts w:ascii="Times New Roman" w:hAnsi="Times New Roman" w:cs="Times New Roman"/>
        </w:rPr>
      </w:pPr>
    </w:p>
    <w:p w:rsidR="00AB4CDE" w:rsidRPr="00BB7CC6" w:rsidRDefault="00AB4CDE" w:rsidP="00AB4CDE">
      <w:pPr>
        <w:ind w:left="720" w:hanging="720"/>
        <w:rPr>
          <w:rFonts w:ascii="Times New Roman" w:hAnsi="Times New Roman" w:cs="Times New Roman"/>
        </w:rPr>
      </w:pPr>
      <w:r w:rsidRPr="00BB7CC6">
        <w:rPr>
          <w:rFonts w:ascii="Times New Roman" w:hAnsi="Times New Roman" w:cs="Times New Roman"/>
        </w:rPr>
        <w:t xml:space="preserve">Food and Agriculture Organization. (2009). </w:t>
      </w:r>
      <w:r w:rsidRPr="00BB7CC6">
        <w:rPr>
          <w:rFonts w:ascii="Times New Roman" w:hAnsi="Times New Roman" w:cs="Times New Roman"/>
          <w:i/>
        </w:rPr>
        <w:t>How to feed the world: 2050</w:t>
      </w:r>
      <w:r w:rsidRPr="00BB7CC6">
        <w:rPr>
          <w:rFonts w:ascii="Times New Roman" w:hAnsi="Times New Roman" w:cs="Times New Roman"/>
        </w:rPr>
        <w:t>. Rome, Italy.</w:t>
      </w:r>
    </w:p>
    <w:p w:rsidR="00AB4CDE" w:rsidRPr="00BB7CC6" w:rsidRDefault="00AB4CDE" w:rsidP="00AB4CDE">
      <w:pPr>
        <w:ind w:left="720" w:hanging="720"/>
        <w:rPr>
          <w:rFonts w:ascii="Times New Roman" w:hAnsi="Times New Roman" w:cs="Times New Roman"/>
        </w:rPr>
      </w:pPr>
    </w:p>
    <w:p w:rsidR="00AB4CDE" w:rsidRPr="00BB7CC6" w:rsidRDefault="00AB4CDE" w:rsidP="00AB4CDE">
      <w:pPr>
        <w:ind w:left="720" w:hanging="720"/>
        <w:rPr>
          <w:rFonts w:ascii="Times New Roman" w:hAnsi="Times New Roman" w:cs="Times New Roman"/>
        </w:rPr>
      </w:pPr>
      <w:r w:rsidRPr="00BB7CC6">
        <w:rPr>
          <w:rFonts w:ascii="Times New Roman" w:hAnsi="Times New Roman" w:cs="Times New Roman"/>
        </w:rPr>
        <w:t xml:space="preserve">Food and Agriculture Organization. (2012). </w:t>
      </w:r>
      <w:r w:rsidRPr="00BB7CC6">
        <w:rPr>
          <w:rFonts w:ascii="Times New Roman" w:hAnsi="Times New Roman" w:cs="Times New Roman"/>
          <w:i/>
        </w:rPr>
        <w:t>The state of food and agriculture</w:t>
      </w:r>
      <w:r w:rsidRPr="00BB7CC6">
        <w:rPr>
          <w:rFonts w:ascii="Times New Roman" w:hAnsi="Times New Roman" w:cs="Times New Roman"/>
        </w:rPr>
        <w:t>. Rome, Italy.</w:t>
      </w:r>
    </w:p>
    <w:p w:rsidR="00AB4CDE" w:rsidRPr="00BB7CC6" w:rsidRDefault="00AB4CDE" w:rsidP="00AB4CDE">
      <w:pPr>
        <w:ind w:left="720" w:hanging="720"/>
        <w:rPr>
          <w:rFonts w:ascii="Times New Roman" w:hAnsi="Times New Roman" w:cs="Times New Roman"/>
        </w:rPr>
      </w:pPr>
    </w:p>
    <w:p w:rsidR="00AB4CDE" w:rsidRPr="00BB7CC6" w:rsidRDefault="00AB4CDE" w:rsidP="00AB4CDE">
      <w:pPr>
        <w:ind w:left="720" w:hanging="720"/>
        <w:rPr>
          <w:rFonts w:ascii="Times New Roman" w:hAnsi="Times New Roman" w:cs="Times New Roman"/>
        </w:rPr>
      </w:pPr>
      <w:r w:rsidRPr="00BB7CC6">
        <w:rPr>
          <w:rFonts w:ascii="Times New Roman" w:hAnsi="Times New Roman" w:cs="Times New Roman"/>
        </w:rPr>
        <w:t xml:space="preserve">Gould, M. V. (1999) Sustainable agriculture: definitions and terms. </w:t>
      </w:r>
      <w:r w:rsidRPr="00BB7CC6">
        <w:rPr>
          <w:rFonts w:ascii="Times New Roman" w:hAnsi="Times New Roman" w:cs="Times New Roman"/>
          <w:i/>
        </w:rPr>
        <w:t>USDA Special Reference Brief</w:t>
      </w:r>
      <w:r w:rsidRPr="00BB7CC6">
        <w:rPr>
          <w:rFonts w:ascii="Times New Roman" w:hAnsi="Times New Roman" w:cs="Times New Roman"/>
        </w:rPr>
        <w:t>, 99-02.</w:t>
      </w:r>
    </w:p>
    <w:p w:rsidR="00AB4CDE" w:rsidRPr="00BB7CC6" w:rsidRDefault="00AB4CDE" w:rsidP="00AB4CDE">
      <w:pPr>
        <w:ind w:left="720" w:hanging="720"/>
        <w:rPr>
          <w:rFonts w:ascii="Times New Roman" w:hAnsi="Times New Roman" w:cs="Times New Roman"/>
        </w:rPr>
      </w:pPr>
    </w:p>
    <w:p w:rsidR="00AB4CDE" w:rsidRPr="00BB7CC6" w:rsidRDefault="00AB4CDE" w:rsidP="00AB4CDE">
      <w:pPr>
        <w:ind w:left="720" w:hanging="720"/>
        <w:rPr>
          <w:rFonts w:ascii="Times New Roman" w:hAnsi="Times New Roman" w:cs="Times New Roman"/>
        </w:rPr>
      </w:pPr>
      <w:r w:rsidRPr="00BB7CC6">
        <w:rPr>
          <w:rFonts w:ascii="Times New Roman" w:hAnsi="Times New Roman" w:cs="Times New Roman"/>
        </w:rPr>
        <w:t xml:space="preserve">Williams, D. L., &amp; Wise, K. L. (1997). Perceptions of Iowa secondary school agricultural education teachers and students regarding sustainable agriculture. </w:t>
      </w:r>
      <w:r w:rsidRPr="00BB7CC6">
        <w:rPr>
          <w:rFonts w:ascii="Times New Roman" w:hAnsi="Times New Roman" w:cs="Times New Roman"/>
          <w:i/>
        </w:rPr>
        <w:t>Journal of Agricultural Education, 38</w:t>
      </w:r>
      <w:r w:rsidRPr="00BB7CC6">
        <w:rPr>
          <w:rFonts w:ascii="Times New Roman" w:hAnsi="Times New Roman" w:cs="Times New Roman"/>
        </w:rPr>
        <w:t>(2), 15-20.</w:t>
      </w:r>
    </w:p>
    <w:p w:rsidR="00AB4CDE" w:rsidRPr="00BB7CC6" w:rsidRDefault="00AB4CDE" w:rsidP="00AB4CDE">
      <w:pPr>
        <w:rPr>
          <w:rFonts w:ascii="Times New Roman" w:hAnsi="Times New Roman" w:cs="Times New Roman"/>
        </w:rPr>
      </w:pPr>
    </w:p>
    <w:p w:rsidR="00D641EE" w:rsidRPr="00BB7CC6" w:rsidRDefault="00D641EE">
      <w:pPr>
        <w:rPr>
          <w:rFonts w:ascii="Times New Roman" w:hAnsi="Times New Roman" w:cs="Times New Roman"/>
        </w:rPr>
      </w:pPr>
    </w:p>
    <w:sectPr w:rsidR="00D641EE" w:rsidRPr="00BB7CC6" w:rsidSect="00AB4CDE">
      <w:footerReference w:type="even"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345" w:rsidRDefault="00375345" w:rsidP="00AB4CDE">
      <w:r>
        <w:separator/>
      </w:r>
    </w:p>
  </w:endnote>
  <w:endnote w:type="continuationSeparator" w:id="0">
    <w:p w:rsidR="00375345" w:rsidRDefault="00375345" w:rsidP="00AB4CD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DE" w:rsidRDefault="00FF0534" w:rsidP="00FB6F46">
    <w:pPr>
      <w:pStyle w:val="Footer"/>
      <w:framePr w:wrap="around" w:vAnchor="text" w:hAnchor="margin" w:xAlign="center" w:y="1"/>
      <w:rPr>
        <w:rStyle w:val="PageNumber"/>
      </w:rPr>
    </w:pPr>
    <w:r>
      <w:rPr>
        <w:rStyle w:val="PageNumber"/>
      </w:rPr>
      <w:fldChar w:fldCharType="begin"/>
    </w:r>
    <w:r w:rsidR="00AB4CDE">
      <w:rPr>
        <w:rStyle w:val="PageNumber"/>
      </w:rPr>
      <w:instrText xml:space="preserve">PAGE  </w:instrText>
    </w:r>
    <w:r>
      <w:rPr>
        <w:rStyle w:val="PageNumber"/>
      </w:rPr>
      <w:fldChar w:fldCharType="end"/>
    </w:r>
  </w:p>
  <w:p w:rsidR="00AB4CDE" w:rsidRDefault="00AB4C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DE" w:rsidRDefault="00FF0534" w:rsidP="00FB6F46">
    <w:pPr>
      <w:pStyle w:val="Footer"/>
      <w:framePr w:wrap="around" w:vAnchor="text" w:hAnchor="margin" w:xAlign="center" w:y="1"/>
      <w:rPr>
        <w:rStyle w:val="PageNumber"/>
      </w:rPr>
    </w:pPr>
    <w:r>
      <w:rPr>
        <w:rStyle w:val="PageNumber"/>
      </w:rPr>
      <w:fldChar w:fldCharType="begin"/>
    </w:r>
    <w:r w:rsidR="00AB4CDE">
      <w:rPr>
        <w:rStyle w:val="PageNumber"/>
      </w:rPr>
      <w:instrText xml:space="preserve">PAGE  </w:instrText>
    </w:r>
    <w:r>
      <w:rPr>
        <w:rStyle w:val="PageNumber"/>
      </w:rPr>
      <w:fldChar w:fldCharType="separate"/>
    </w:r>
    <w:r w:rsidR="008158E1">
      <w:rPr>
        <w:rStyle w:val="PageNumber"/>
        <w:noProof/>
      </w:rPr>
      <w:t>3</w:t>
    </w:r>
    <w:r>
      <w:rPr>
        <w:rStyle w:val="PageNumber"/>
      </w:rPr>
      <w:fldChar w:fldCharType="end"/>
    </w:r>
  </w:p>
  <w:p w:rsidR="00AB4CDE" w:rsidRDefault="00AB4C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345" w:rsidRDefault="00375345" w:rsidP="00AB4CDE">
      <w:r>
        <w:separator/>
      </w:r>
    </w:p>
  </w:footnote>
  <w:footnote w:type="continuationSeparator" w:id="0">
    <w:p w:rsidR="00375345" w:rsidRDefault="00375345" w:rsidP="00AB4CD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useFELayout/>
  </w:compat>
  <w:rsids>
    <w:rsidRoot w:val="00AB4CDE"/>
    <w:rsid w:val="001574EE"/>
    <w:rsid w:val="00360363"/>
    <w:rsid w:val="00375345"/>
    <w:rsid w:val="008158E1"/>
    <w:rsid w:val="009A4661"/>
    <w:rsid w:val="00AB4CDE"/>
    <w:rsid w:val="00BB7CC6"/>
    <w:rsid w:val="00C413AA"/>
    <w:rsid w:val="00D641EE"/>
    <w:rsid w:val="00DD7829"/>
    <w:rsid w:val="00FF05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8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CDE"/>
    <w:rPr>
      <w:color w:val="0000FF" w:themeColor="hyperlink"/>
      <w:u w:val="single"/>
    </w:rPr>
  </w:style>
  <w:style w:type="paragraph" w:styleId="Footer">
    <w:name w:val="footer"/>
    <w:basedOn w:val="Normal"/>
    <w:link w:val="FooterChar"/>
    <w:uiPriority w:val="99"/>
    <w:unhideWhenUsed/>
    <w:rsid w:val="00AB4CDE"/>
    <w:pPr>
      <w:tabs>
        <w:tab w:val="center" w:pos="4320"/>
        <w:tab w:val="right" w:pos="8640"/>
      </w:tabs>
    </w:pPr>
  </w:style>
  <w:style w:type="character" w:customStyle="1" w:styleId="FooterChar">
    <w:name w:val="Footer Char"/>
    <w:basedOn w:val="DefaultParagraphFont"/>
    <w:link w:val="Footer"/>
    <w:uiPriority w:val="99"/>
    <w:rsid w:val="00AB4CDE"/>
  </w:style>
  <w:style w:type="character" w:styleId="PageNumber">
    <w:name w:val="page number"/>
    <w:basedOn w:val="DefaultParagraphFont"/>
    <w:uiPriority w:val="99"/>
    <w:semiHidden/>
    <w:unhideWhenUsed/>
    <w:rsid w:val="00AB4CDE"/>
  </w:style>
  <w:style w:type="paragraph" w:styleId="Header">
    <w:name w:val="header"/>
    <w:basedOn w:val="Normal"/>
    <w:link w:val="HeaderChar"/>
    <w:uiPriority w:val="99"/>
    <w:unhideWhenUsed/>
    <w:rsid w:val="00AB4CDE"/>
    <w:pPr>
      <w:tabs>
        <w:tab w:val="center" w:pos="4320"/>
        <w:tab w:val="right" w:pos="8640"/>
      </w:tabs>
    </w:pPr>
  </w:style>
  <w:style w:type="character" w:customStyle="1" w:styleId="HeaderChar">
    <w:name w:val="Header Char"/>
    <w:basedOn w:val="DefaultParagraphFont"/>
    <w:link w:val="Header"/>
    <w:uiPriority w:val="99"/>
    <w:rsid w:val="00AB4C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CDE"/>
    <w:rPr>
      <w:color w:val="0000FF" w:themeColor="hyperlink"/>
      <w:u w:val="single"/>
    </w:rPr>
  </w:style>
  <w:style w:type="paragraph" w:styleId="Footer">
    <w:name w:val="footer"/>
    <w:basedOn w:val="Normal"/>
    <w:link w:val="FooterChar"/>
    <w:uiPriority w:val="99"/>
    <w:unhideWhenUsed/>
    <w:rsid w:val="00AB4CDE"/>
    <w:pPr>
      <w:tabs>
        <w:tab w:val="center" w:pos="4320"/>
        <w:tab w:val="right" w:pos="8640"/>
      </w:tabs>
    </w:pPr>
  </w:style>
  <w:style w:type="character" w:customStyle="1" w:styleId="FooterChar">
    <w:name w:val="Footer Char"/>
    <w:basedOn w:val="DefaultParagraphFont"/>
    <w:link w:val="Footer"/>
    <w:uiPriority w:val="99"/>
    <w:rsid w:val="00AB4CDE"/>
  </w:style>
  <w:style w:type="character" w:styleId="PageNumber">
    <w:name w:val="page number"/>
    <w:basedOn w:val="DefaultParagraphFont"/>
    <w:uiPriority w:val="99"/>
    <w:semiHidden/>
    <w:unhideWhenUsed/>
    <w:rsid w:val="00AB4CDE"/>
  </w:style>
  <w:style w:type="paragraph" w:styleId="Header">
    <w:name w:val="header"/>
    <w:basedOn w:val="Normal"/>
    <w:link w:val="HeaderChar"/>
    <w:uiPriority w:val="99"/>
    <w:unhideWhenUsed/>
    <w:rsid w:val="00AB4CDE"/>
    <w:pPr>
      <w:tabs>
        <w:tab w:val="center" w:pos="4320"/>
        <w:tab w:val="right" w:pos="8640"/>
      </w:tabs>
    </w:pPr>
  </w:style>
  <w:style w:type="character" w:customStyle="1" w:styleId="HeaderChar">
    <w:name w:val="Header Char"/>
    <w:basedOn w:val="DefaultParagraphFont"/>
    <w:link w:val="Header"/>
    <w:uiPriority w:val="99"/>
    <w:rsid w:val="00AB4CD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maschenbrener@csuchico.ed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enney@csuchico.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Yo Momma's Juice Shanty</Company>
  <LinksUpToDate>false</LinksUpToDate>
  <CharactersWithSpaces>7288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 Denney</dc:creator>
  <cp:lastModifiedBy>Mollie Aschenbrener</cp:lastModifiedBy>
  <cp:revision>2</cp:revision>
  <dcterms:created xsi:type="dcterms:W3CDTF">2013-07-01T05:00:00Z</dcterms:created>
  <dcterms:modified xsi:type="dcterms:W3CDTF">2013-07-01T05:00:00Z</dcterms:modified>
</cp:coreProperties>
</file>