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512" w:rsidRDefault="00B929A7" w:rsidP="00B929A7">
      <w:pPr>
        <w:pStyle w:val="Title"/>
        <w:jc w:val="right"/>
      </w:pPr>
      <w:r>
        <w:t>Poster Type (Research)</w:t>
      </w:r>
    </w:p>
    <w:p w:rsidR="00763512" w:rsidRDefault="00763512" w:rsidP="00763512">
      <w:pPr>
        <w:pStyle w:val="Title"/>
      </w:pPr>
    </w:p>
    <w:p w:rsidR="00763512" w:rsidRDefault="00763512" w:rsidP="00763512">
      <w:pPr>
        <w:pStyle w:val="Title"/>
      </w:pPr>
    </w:p>
    <w:p w:rsidR="00763512" w:rsidRDefault="00763512" w:rsidP="00763512">
      <w:pPr>
        <w:pStyle w:val="Title"/>
      </w:pPr>
    </w:p>
    <w:p w:rsidR="00763512" w:rsidRDefault="00763512" w:rsidP="00763512">
      <w:pPr>
        <w:pStyle w:val="Title"/>
      </w:pPr>
    </w:p>
    <w:p w:rsidR="00623E71" w:rsidRPr="00BD76C5" w:rsidRDefault="00623E71" w:rsidP="00623E71">
      <w:pPr>
        <w:pStyle w:val="Title"/>
      </w:pPr>
      <w:r>
        <w:t>Greenhouses in Agricultural Education: Description, Use, and Energy Management</w:t>
      </w:r>
    </w:p>
    <w:p w:rsidR="005E7A11" w:rsidRDefault="005E7A11" w:rsidP="00763512">
      <w:pPr>
        <w:pStyle w:val="Title"/>
        <w:rPr>
          <w:b w:val="0"/>
        </w:rPr>
      </w:pPr>
    </w:p>
    <w:p w:rsidR="00763512" w:rsidRDefault="002D78C4" w:rsidP="00763512">
      <w:pPr>
        <w:pStyle w:val="Title"/>
        <w:rPr>
          <w:b w:val="0"/>
        </w:rPr>
      </w:pPr>
      <w:r>
        <w:rPr>
          <w:b w:val="0"/>
        </w:rPr>
        <w:t>Catherine W. Shoulders, Assistant Professor</w:t>
      </w:r>
    </w:p>
    <w:p w:rsidR="002D78C4" w:rsidRPr="00763512" w:rsidRDefault="002D78C4" w:rsidP="00763512">
      <w:pPr>
        <w:pStyle w:val="Title"/>
        <w:rPr>
          <w:b w:val="0"/>
        </w:rPr>
      </w:pPr>
      <w:r>
        <w:rPr>
          <w:b w:val="0"/>
        </w:rPr>
        <w:t>Donald M. Johnson, Professor</w:t>
      </w:r>
    </w:p>
    <w:p w:rsidR="00763512" w:rsidRDefault="002D78C4" w:rsidP="00763512">
      <w:pPr>
        <w:pStyle w:val="Title"/>
        <w:rPr>
          <w:b w:val="0"/>
        </w:rPr>
      </w:pPr>
      <w:r>
        <w:rPr>
          <w:b w:val="0"/>
        </w:rPr>
        <w:t>Department of Agricultural Education, Communications and Technology</w:t>
      </w:r>
    </w:p>
    <w:p w:rsidR="002D78C4" w:rsidRDefault="002D78C4" w:rsidP="00763512">
      <w:pPr>
        <w:pStyle w:val="Title"/>
        <w:rPr>
          <w:b w:val="0"/>
        </w:rPr>
      </w:pPr>
      <w:r>
        <w:rPr>
          <w:b w:val="0"/>
        </w:rPr>
        <w:t>University of Arkansas</w:t>
      </w:r>
    </w:p>
    <w:p w:rsidR="00763512" w:rsidRDefault="00763512" w:rsidP="00763512">
      <w:pPr>
        <w:pStyle w:val="Title"/>
        <w:rPr>
          <w:b w:val="0"/>
        </w:rPr>
      </w:pPr>
    </w:p>
    <w:p w:rsidR="00763512" w:rsidRDefault="00763512" w:rsidP="00763512">
      <w:pPr>
        <w:pStyle w:val="Title"/>
        <w:rPr>
          <w:b w:val="0"/>
        </w:rPr>
      </w:pPr>
    </w:p>
    <w:p w:rsidR="00763512" w:rsidRDefault="00763512" w:rsidP="00763512">
      <w:pPr>
        <w:pStyle w:val="Title"/>
        <w:rPr>
          <w:b w:val="0"/>
        </w:rPr>
      </w:pPr>
    </w:p>
    <w:p w:rsidR="005E7A11" w:rsidRDefault="005E7A11" w:rsidP="00763512">
      <w:pPr>
        <w:pStyle w:val="Title"/>
        <w:rPr>
          <w:b w:val="0"/>
        </w:rPr>
      </w:pPr>
    </w:p>
    <w:p w:rsidR="005E7A11" w:rsidRDefault="005E7A11" w:rsidP="00763512">
      <w:pPr>
        <w:pStyle w:val="Title"/>
        <w:rPr>
          <w:b w:val="0"/>
        </w:rPr>
      </w:pPr>
    </w:p>
    <w:p w:rsidR="00763512" w:rsidRDefault="002D78C4" w:rsidP="00763512">
      <w:pPr>
        <w:pStyle w:val="Title"/>
        <w:rPr>
          <w:b w:val="0"/>
        </w:rPr>
      </w:pPr>
      <w:r>
        <w:rPr>
          <w:b w:val="0"/>
        </w:rPr>
        <w:t>205 Agriculture Building</w:t>
      </w:r>
    </w:p>
    <w:p w:rsidR="002D78C4" w:rsidRDefault="002D78C4" w:rsidP="00763512">
      <w:pPr>
        <w:pStyle w:val="Title"/>
        <w:rPr>
          <w:b w:val="0"/>
        </w:rPr>
      </w:pPr>
      <w:r>
        <w:rPr>
          <w:b w:val="0"/>
        </w:rPr>
        <w:t>Fayetteville, AR 72701</w:t>
      </w:r>
    </w:p>
    <w:p w:rsidR="002D78C4" w:rsidRDefault="002D78C4" w:rsidP="00763512">
      <w:pPr>
        <w:pStyle w:val="Title"/>
        <w:rPr>
          <w:b w:val="0"/>
        </w:rPr>
      </w:pPr>
      <w:r>
        <w:rPr>
          <w:b w:val="0"/>
        </w:rPr>
        <w:t>(479-575-2025)</w:t>
      </w:r>
    </w:p>
    <w:p w:rsidR="002D78C4" w:rsidRDefault="002D78C4" w:rsidP="00763512">
      <w:pPr>
        <w:pStyle w:val="Title"/>
        <w:rPr>
          <w:b w:val="0"/>
        </w:rPr>
      </w:pPr>
      <w:r w:rsidRPr="002D78C4">
        <w:rPr>
          <w:b w:val="0"/>
        </w:rPr>
        <w:t>cshoulde@uark.edu</w:t>
      </w:r>
    </w:p>
    <w:p w:rsidR="002D78C4" w:rsidRDefault="002D78C4" w:rsidP="00763512">
      <w:pPr>
        <w:pStyle w:val="Title"/>
        <w:rPr>
          <w:b w:val="0"/>
        </w:rPr>
      </w:pPr>
      <w:r>
        <w:rPr>
          <w:b w:val="0"/>
        </w:rPr>
        <w:t>dmjohnso@uark.edu</w:t>
      </w:r>
    </w:p>
    <w:p w:rsidR="005E7A11" w:rsidRDefault="005E7A11" w:rsidP="00763512">
      <w:pPr>
        <w:pStyle w:val="Title"/>
        <w:sectPr w:rsidR="005E7A11" w:rsidSect="005E7A11">
          <w:footerReference w:type="default" r:id="rId8"/>
          <w:footerReference w:type="first" r:id="rId9"/>
          <w:pgSz w:w="12240" w:h="15840" w:code="1"/>
          <w:pgMar w:top="1440" w:right="1440" w:bottom="1440" w:left="1440" w:header="720" w:footer="720" w:gutter="0"/>
          <w:pgNumType w:start="1"/>
          <w:cols w:space="720"/>
          <w:titlePg/>
          <w:docGrid w:linePitch="360"/>
        </w:sectPr>
      </w:pPr>
    </w:p>
    <w:p w:rsidR="00510BE4" w:rsidRPr="00BD76C5" w:rsidRDefault="00813E59" w:rsidP="00763512">
      <w:pPr>
        <w:pStyle w:val="Title"/>
      </w:pPr>
      <w:r>
        <w:lastRenderedPageBreak/>
        <w:br w:type="page"/>
      </w:r>
      <w:r w:rsidR="002D78C4">
        <w:lastRenderedPageBreak/>
        <w:t xml:space="preserve">Greenhouses in Agricultural Education: </w:t>
      </w:r>
      <w:r w:rsidR="0060423A">
        <w:t>Description, Use</w:t>
      </w:r>
      <w:r w:rsidR="004350EC">
        <w:t>,</w:t>
      </w:r>
      <w:r w:rsidR="0060423A">
        <w:t xml:space="preserve"> and </w:t>
      </w:r>
      <w:r w:rsidR="004350EC">
        <w:t>Energy Management</w:t>
      </w:r>
    </w:p>
    <w:p w:rsidR="002F2976" w:rsidRDefault="002F2976" w:rsidP="004B57CB">
      <w:pPr>
        <w:jc w:val="center"/>
      </w:pPr>
    </w:p>
    <w:p w:rsidR="008215BE" w:rsidRPr="008215BE" w:rsidRDefault="008215BE" w:rsidP="008215BE">
      <w:r w:rsidRPr="008215BE">
        <w:t>In 2002 there were approximately 56,070 greenhouse/nursery operations in the U.S., wi</w:t>
      </w:r>
      <w:r w:rsidR="009365AD">
        <w:t>th total sales of $16.3 billion and</w:t>
      </w:r>
      <w:r w:rsidRPr="008215BE">
        <w:t xml:space="preserve"> a workforce of 150,543 (</w:t>
      </w:r>
      <w:r w:rsidRPr="00AF002F">
        <w:t>Hal</w:t>
      </w:r>
      <w:r w:rsidR="00C23AD3" w:rsidRPr="00AF002F">
        <w:t>l, Hodges, &amp; Haydu, 2006</w:t>
      </w:r>
      <w:r w:rsidR="00C23AD3">
        <w:t>).</w:t>
      </w:r>
      <w:r w:rsidRPr="008215BE">
        <w:t xml:space="preserve"> The importance of the greenhouse industry is reflected in the fact that 72.2% of U.S. agriculture teachers have access to a greenhouse for instructional u</w:t>
      </w:r>
      <w:r w:rsidR="00F46766">
        <w:t>se (Shoulders &amp; Myers, 2012</w:t>
      </w:r>
      <w:r w:rsidR="00C23AD3">
        <w:t xml:space="preserve">). </w:t>
      </w:r>
      <w:r w:rsidRPr="008215BE">
        <w:t xml:space="preserve">Agriculture programs can prepare students to enter the multi-billion dollar </w:t>
      </w:r>
      <w:r w:rsidR="0061768D">
        <w:t xml:space="preserve">greenhouse </w:t>
      </w:r>
      <w:r w:rsidRPr="008215BE">
        <w:t xml:space="preserve">industry, which is currently seeing a trend in the adoption of </w:t>
      </w:r>
      <w:r w:rsidR="0061768D">
        <w:t>energy-saving practices</w:t>
      </w:r>
      <w:r w:rsidRPr="008215BE">
        <w:t xml:space="preserve"> (Dennis et al, 2010; Onofrey, 2009). </w:t>
      </w:r>
      <w:r w:rsidR="0065334F">
        <w:t>T</w:t>
      </w:r>
      <w:r w:rsidRPr="008215BE">
        <w:t xml:space="preserve">he greenhouses in which students are learning must expose them to aspects related to responsible energy usage in order for those students to be included in the “sufficient supply of well-prepared agricultural scientists” that the agricultural education profession seeks to produce (Doerfert, 2011). </w:t>
      </w:r>
      <w:r w:rsidR="00B03566" w:rsidRPr="008215BE">
        <w:t>Yet, despite the prevalence of greenhouses in agricultural education, no research was found describing greenhouses used in agricultural education programs.</w:t>
      </w:r>
      <w:r w:rsidR="00B03566">
        <w:t xml:space="preserve"> </w:t>
      </w:r>
      <w:r w:rsidRPr="008215BE">
        <w:t xml:space="preserve">The purpose of this study was to describe </w:t>
      </w:r>
      <w:r w:rsidR="00B03566">
        <w:t xml:space="preserve">greenhouses, greenhouse use, </w:t>
      </w:r>
      <w:r w:rsidRPr="008215BE">
        <w:t xml:space="preserve">and </w:t>
      </w:r>
      <w:r w:rsidR="00B03566">
        <w:t xml:space="preserve">greenhouse </w:t>
      </w:r>
      <w:r w:rsidRPr="008215BE">
        <w:t xml:space="preserve">energy </w:t>
      </w:r>
      <w:r w:rsidR="00B03566">
        <w:t>management</w:t>
      </w:r>
      <w:r w:rsidRPr="008215BE">
        <w:t xml:space="preserve"> practices used </w:t>
      </w:r>
      <w:r w:rsidR="00B03566">
        <w:t xml:space="preserve">in </w:t>
      </w:r>
      <w:r w:rsidRPr="008215BE">
        <w:t>U.S. agricultural education programs.</w:t>
      </w:r>
    </w:p>
    <w:p w:rsidR="002519E8" w:rsidRDefault="002519E8" w:rsidP="002F2976">
      <w:r>
        <w:t xml:space="preserve"> </w:t>
      </w:r>
    </w:p>
    <w:p w:rsidR="00AA72EE" w:rsidRPr="00AA72EE" w:rsidRDefault="00AA72EE" w:rsidP="00AA72EE">
      <w:pPr>
        <w:jc w:val="center"/>
        <w:rPr>
          <w:b/>
        </w:rPr>
      </w:pPr>
      <w:r w:rsidRPr="00AA72EE">
        <w:rPr>
          <w:b/>
        </w:rPr>
        <w:t>Methodology</w:t>
      </w:r>
    </w:p>
    <w:p w:rsidR="004B57CB" w:rsidRDefault="00B017E2" w:rsidP="00AA72EE">
      <w:pPr>
        <w:jc w:val="both"/>
      </w:pPr>
      <w:r>
        <w:t>This study follow</w:t>
      </w:r>
      <w:r w:rsidR="00C23AD3">
        <w:t xml:space="preserve">ed a descriptive survey design. </w:t>
      </w:r>
      <w:r>
        <w:t>The population was agricultural education programs within the U</w:t>
      </w:r>
      <w:r w:rsidR="00C23AD3">
        <w:t>.</w:t>
      </w:r>
      <w:r>
        <w:t>S. A stratified random sample</w:t>
      </w:r>
      <w:r w:rsidR="009365AD">
        <w:t xml:space="preserve"> </w:t>
      </w:r>
      <w:r w:rsidR="00C254D8">
        <w:t>was utilized. Four</w:t>
      </w:r>
      <w:r>
        <w:t xml:space="preserve"> states were randomly selected from every </w:t>
      </w:r>
      <w:r w:rsidR="00C254D8">
        <w:t xml:space="preserve">NAAE region, yielding a total of 24 states. Each selected state’s agricultural education department was contacted to obtain </w:t>
      </w:r>
      <w:r w:rsidR="00C23AD3">
        <w:t xml:space="preserve">email </w:t>
      </w:r>
      <w:r w:rsidR="00C254D8">
        <w:t>information for high school agriculture teachers. An email invitation was sent to all members of the received databases. The researcher-made instrument was reviewed by a panel of experts in greenhouse management and energy efficiency for face and content validity. Two cognitive interviews were performed and revisions were made accordingly. A pilot test utilizing a group of current agriculture teachers not participating in the study (</w:t>
      </w:r>
      <w:r w:rsidR="00C254D8">
        <w:rPr>
          <w:i/>
        </w:rPr>
        <w:t>n</w:t>
      </w:r>
      <w:r w:rsidR="00C254D8">
        <w:t xml:space="preserve"> = 15) was conducted and yielded a test-retest reliability score of .91.</w:t>
      </w:r>
    </w:p>
    <w:p w:rsidR="00C254D8" w:rsidRDefault="00C254D8" w:rsidP="00AA72EE">
      <w:pPr>
        <w:jc w:val="both"/>
      </w:pPr>
    </w:p>
    <w:p w:rsidR="00C254D8" w:rsidRDefault="00C254D8" w:rsidP="00AA72EE">
      <w:pPr>
        <w:jc w:val="both"/>
      </w:pPr>
      <w:r>
        <w:t>Out of the 24 states contacted, 19 states provided email addresses for their current teachers. One additional state sent out the survey request to their closed listserv. One state provided its teacher database, but did not incl</w:t>
      </w:r>
      <w:r w:rsidR="00A1264A">
        <w:t>ude email addresses, and so was not included in the sample. Three states did not supply their teacher contact information in any form. All three states were from the same NAAE region, limiting the generalizability of the study. A total of 5393 teachers were invited to participate in the survey.</w:t>
      </w:r>
    </w:p>
    <w:p w:rsidR="00A1264A" w:rsidRDefault="00A1264A" w:rsidP="00AA72EE">
      <w:pPr>
        <w:jc w:val="both"/>
      </w:pPr>
    </w:p>
    <w:p w:rsidR="00A1264A" w:rsidRDefault="00A1264A" w:rsidP="00AA72EE">
      <w:pPr>
        <w:jc w:val="both"/>
      </w:pPr>
      <w:r>
        <w:t xml:space="preserve">Three email invitations were sent to the sample. These emails were purposively timed by the researchers to access teachers who work through the summer as well as those who are away from their email through the summer. Of the 5393 teachers contacted, 4770 email addresses successfully received the survey invitation. </w:t>
      </w:r>
      <w:r w:rsidR="00E0208F">
        <w:t>The final response rate was 30.1% (</w:t>
      </w:r>
      <w:r w:rsidR="00E0208F" w:rsidRPr="00E0208F">
        <w:rPr>
          <w:i/>
        </w:rPr>
        <w:t>n</w:t>
      </w:r>
      <w:r w:rsidR="00E0208F">
        <w:t xml:space="preserve"> = </w:t>
      </w:r>
      <w:r w:rsidR="00E0208F" w:rsidRPr="00E0208F">
        <w:t>1436</w:t>
      </w:r>
      <w:r w:rsidR="00E0208F">
        <w:t>). The anonymous nature of the survey, along with the closed listserv invitation, did not enable the researchers to follow up with nonrespondents, limiting the generalizability of this study.</w:t>
      </w:r>
    </w:p>
    <w:p w:rsidR="00E0208F" w:rsidRPr="00B017E2" w:rsidRDefault="00E0208F" w:rsidP="00AA72EE">
      <w:pPr>
        <w:jc w:val="both"/>
      </w:pPr>
    </w:p>
    <w:p w:rsidR="00C254D8" w:rsidRDefault="00C254D8" w:rsidP="00C254D8">
      <w:pPr>
        <w:jc w:val="center"/>
        <w:rPr>
          <w:b/>
        </w:rPr>
      </w:pPr>
      <w:r>
        <w:rPr>
          <w:b/>
        </w:rPr>
        <w:t>Results</w:t>
      </w:r>
    </w:p>
    <w:p w:rsidR="002D78C4" w:rsidRDefault="002D78C4" w:rsidP="002D78C4">
      <w:r w:rsidRPr="00680049">
        <w:t xml:space="preserve">The typical </w:t>
      </w:r>
      <w:r w:rsidR="00DE2E84">
        <w:t>greenhouse</w:t>
      </w:r>
      <w:r>
        <w:t xml:space="preserve"> </w:t>
      </w:r>
      <w:r w:rsidR="00DE2E84">
        <w:t>was</w:t>
      </w:r>
      <w:r>
        <w:t xml:space="preserve"> a freestanding (78.3%), single-span (79.6%) </w:t>
      </w:r>
      <w:r w:rsidR="00DE2E84">
        <w:t xml:space="preserve">structure </w:t>
      </w:r>
      <w:r>
        <w:t>of the A-frame (45.1%), Quonset (27</w:t>
      </w:r>
      <w:r w:rsidR="00FC0E6C">
        <w:t>.9%), or Gothic (21.9%) design.</w:t>
      </w:r>
      <w:r>
        <w:t xml:space="preserve"> </w:t>
      </w:r>
      <w:r w:rsidR="00DE2E84">
        <w:t>G</w:t>
      </w:r>
      <w:r w:rsidR="00FC0E6C">
        <w:t>reenhouses ranged from one</w:t>
      </w:r>
      <w:r>
        <w:t xml:space="preserve"> to 50 years old, with a median </w:t>
      </w:r>
      <w:r w:rsidR="00DE2E84">
        <w:t xml:space="preserve">age </w:t>
      </w:r>
      <w:r>
        <w:t>of 11.0 year</w:t>
      </w:r>
      <w:r w:rsidR="00FC0E6C">
        <w:t>s (interquartile range = 12.0).</w:t>
      </w:r>
      <w:r>
        <w:t xml:space="preserve"> </w:t>
      </w:r>
      <w:r w:rsidR="00DE2E84">
        <w:t>The</w:t>
      </w:r>
      <w:r>
        <w:t xml:space="preserve"> </w:t>
      </w:r>
      <w:r w:rsidR="00DE2E84">
        <w:t xml:space="preserve">typical greenhouse had a mean area of </w:t>
      </w:r>
      <w:r>
        <w:t xml:space="preserve">1377.7 </w:t>
      </w:r>
      <w:r w:rsidR="00FC0E6C">
        <w:t>ft</w:t>
      </w:r>
      <w:r w:rsidR="00FC0E6C">
        <w:rPr>
          <w:vertAlign w:val="superscript"/>
        </w:rPr>
        <w:t>2</w:t>
      </w:r>
      <w:r w:rsidR="00DE2E84">
        <w:t xml:space="preserve"> </w:t>
      </w:r>
      <w:r>
        <w:t>(</w:t>
      </w:r>
      <w:r>
        <w:rPr>
          <w:i/>
        </w:rPr>
        <w:t>SD</w:t>
      </w:r>
      <w:r>
        <w:t xml:space="preserve"> = 1278.9)</w:t>
      </w:r>
      <w:r w:rsidR="00FC0E6C">
        <w:t>.</w:t>
      </w:r>
      <w:r>
        <w:t xml:space="preserve"> </w:t>
      </w:r>
      <w:r w:rsidR="00FC0E6C">
        <w:t>G</w:t>
      </w:r>
      <w:r>
        <w:t>reenhouse</w:t>
      </w:r>
      <w:r w:rsidR="000E1F2A">
        <w:t xml:space="preserve">s were covered with polycarbonate </w:t>
      </w:r>
      <w:r w:rsidR="000E1F2A">
        <w:lastRenderedPageBreak/>
        <w:t xml:space="preserve">(44.5%), polyethylene (43.0%), and acrylic (12.5%) materials, with 62.4% being </w:t>
      </w:r>
      <w:r w:rsidR="00470F37">
        <w:t xml:space="preserve">of </w:t>
      </w:r>
      <w:r w:rsidR="000E1F2A">
        <w:t xml:space="preserve">either double-layer </w:t>
      </w:r>
      <w:r w:rsidR="00470F37">
        <w:t>(</w:t>
      </w:r>
      <w:r w:rsidR="000E1F2A">
        <w:t>polyethylene</w:t>
      </w:r>
      <w:r w:rsidR="00470F37">
        <w:t>)</w:t>
      </w:r>
      <w:r w:rsidR="000E1F2A">
        <w:t xml:space="preserve"> or </w:t>
      </w:r>
      <w:r w:rsidR="00470F37">
        <w:t>double-wall (polycarbonate or acrylic) construction</w:t>
      </w:r>
      <w:r w:rsidR="000E1F2A">
        <w:t>.</w:t>
      </w:r>
      <w:r w:rsidR="006D32C7">
        <w:t xml:space="preserve">  </w:t>
      </w:r>
    </w:p>
    <w:p w:rsidR="00E0208F" w:rsidRDefault="00E0208F" w:rsidP="002D78C4"/>
    <w:p w:rsidR="00813E59" w:rsidRDefault="00E90948" w:rsidP="0014639A">
      <w:r>
        <w:t>Green</w:t>
      </w:r>
      <w:r w:rsidR="001337D3">
        <w:t xml:space="preserve">houses were most frequently used during the spring semester, with </w:t>
      </w:r>
      <w:r w:rsidR="0014639A">
        <w:t xml:space="preserve">the level of </w:t>
      </w:r>
      <w:r w:rsidR="001337D3">
        <w:t xml:space="preserve">use </w:t>
      </w:r>
      <w:r w:rsidR="0014639A">
        <w:t xml:space="preserve">peaking in March </w:t>
      </w:r>
      <w:r w:rsidR="009365AD" w:rsidRPr="00162ABE">
        <w:t>(</w:t>
      </w:r>
      <w:r w:rsidR="00162ABE">
        <w:t>87.6%</w:t>
      </w:r>
      <w:r w:rsidR="009365AD">
        <w:t xml:space="preserve"> at full use) </w:t>
      </w:r>
      <w:r w:rsidR="0014639A">
        <w:t>and April</w:t>
      </w:r>
      <w:r w:rsidR="00813E59">
        <w:t xml:space="preserve"> (</w:t>
      </w:r>
      <w:r w:rsidR="00162ABE">
        <w:t>89.8</w:t>
      </w:r>
      <w:r w:rsidR="009365AD">
        <w:t>% at full use</w:t>
      </w:r>
      <w:r w:rsidR="00813E59">
        <w:t>)</w:t>
      </w:r>
      <w:r w:rsidR="0014639A">
        <w:t xml:space="preserve">. There was a </w:t>
      </w:r>
      <w:r w:rsidR="00162ABE">
        <w:t>lower</w:t>
      </w:r>
      <w:r w:rsidR="0014639A">
        <w:t xml:space="preserve"> level of use during fall semester</w:t>
      </w:r>
      <w:r w:rsidR="009365AD">
        <w:t xml:space="preserve"> </w:t>
      </w:r>
      <w:r w:rsidR="009365AD" w:rsidRPr="00162ABE">
        <w:t>(</w:t>
      </w:r>
      <w:r w:rsidR="00162ABE" w:rsidRPr="00162ABE">
        <w:t>49.0%</w:t>
      </w:r>
      <w:r w:rsidR="009365AD">
        <w:t xml:space="preserve"> at </w:t>
      </w:r>
      <w:r w:rsidR="00162ABE">
        <w:t>full</w:t>
      </w:r>
      <w:r w:rsidR="009365AD">
        <w:t xml:space="preserve"> use from September-December)</w:t>
      </w:r>
      <w:r w:rsidR="008215BE">
        <w:t>.</w:t>
      </w:r>
      <w:r w:rsidR="00302BBC">
        <w:t xml:space="preserve"> As expected, the highest levels of partial or non-use occurred in summer</w:t>
      </w:r>
      <w:r w:rsidR="009365AD">
        <w:t xml:space="preserve"> </w:t>
      </w:r>
      <w:r w:rsidR="009365AD" w:rsidRPr="00162ABE">
        <w:t>(</w:t>
      </w:r>
      <w:r w:rsidR="00162ABE">
        <w:t>76.0</w:t>
      </w:r>
      <w:r w:rsidR="009365AD">
        <w:t>% at partial or non-use from June-August)</w:t>
      </w:r>
      <w:r w:rsidR="00302BBC">
        <w:t>.</w:t>
      </w:r>
    </w:p>
    <w:p w:rsidR="00E90948" w:rsidRDefault="00E90948" w:rsidP="00E90948">
      <w:pPr>
        <w:pStyle w:val="Caption"/>
        <w:jc w:val="center"/>
        <w:rPr>
          <w:b w:val="0"/>
        </w:rPr>
      </w:pPr>
    </w:p>
    <w:p w:rsidR="00FC0E6C" w:rsidRDefault="00443103" w:rsidP="00E0208F">
      <w:r>
        <w:t>Other than electronic thermostats, a</w:t>
      </w:r>
      <w:r w:rsidR="00DB7489">
        <w:t xml:space="preserve"> majority of </w:t>
      </w:r>
      <w:r>
        <w:t xml:space="preserve">agricultural education </w:t>
      </w:r>
      <w:r w:rsidR="00DB7489">
        <w:t xml:space="preserve">greenhouses were not equipped with </w:t>
      </w:r>
      <w:r w:rsidR="009365AD">
        <w:t>energy-saving features (Figure 1).</w:t>
      </w:r>
      <w:r w:rsidR="00CC44B2">
        <w:t xml:space="preserve"> </w:t>
      </w:r>
      <w:r w:rsidR="009365AD">
        <w:t>O</w:t>
      </w:r>
      <w:r w:rsidR="00CC44B2">
        <w:t xml:space="preserve">nly 7.2% of respondents reported that </w:t>
      </w:r>
      <w:r w:rsidR="0060423A">
        <w:t>utilities</w:t>
      </w:r>
      <w:r w:rsidR="00CC44B2">
        <w:t xml:space="preserve"> were paid from the agricultural education budget.</w:t>
      </w:r>
      <w:r w:rsidR="009365AD">
        <w:t xml:space="preserve"> Similarly,</w:t>
      </w:r>
      <w:r w:rsidR="00FC0E6C">
        <w:t xml:space="preserve"> a majority of respondents reported they “never” performed four of the recommended maintenance pr</w:t>
      </w:r>
      <w:r w:rsidR="009365AD">
        <w:t>actices (Figure 2</w:t>
      </w:r>
      <w:r w:rsidR="00FC0E6C">
        <w:t xml:space="preserve">). </w:t>
      </w:r>
      <w:r w:rsidR="00FC0E6C">
        <w:tab/>
      </w:r>
    </w:p>
    <w:p w:rsidR="00FC0E6C" w:rsidRDefault="0088413C" w:rsidP="00E0208F">
      <w:r>
        <w:rPr>
          <w:noProof/>
        </w:rPr>
        <w:drawing>
          <wp:anchor distT="0" distB="0" distL="114300" distR="114300" simplePos="0" relativeHeight="251660288" behindDoc="0" locked="0" layoutInCell="1" allowOverlap="1">
            <wp:simplePos x="0" y="0"/>
            <wp:positionH relativeFrom="column">
              <wp:posOffset>2925445</wp:posOffset>
            </wp:positionH>
            <wp:positionV relativeFrom="paragraph">
              <wp:posOffset>80645</wp:posOffset>
            </wp:positionV>
            <wp:extent cx="3360420" cy="2423160"/>
            <wp:effectExtent l="1270" t="0" r="635" b="1270"/>
            <wp:wrapNone/>
            <wp:docPr id="5" name="Object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simplePos x="0" y="0"/>
            <wp:positionH relativeFrom="column">
              <wp:posOffset>-146685</wp:posOffset>
            </wp:positionH>
            <wp:positionV relativeFrom="paragraph">
              <wp:posOffset>50800</wp:posOffset>
            </wp:positionV>
            <wp:extent cx="3072130" cy="2215515"/>
            <wp:effectExtent l="5715" t="3175" r="0" b="635"/>
            <wp:wrapNone/>
            <wp:docPr id="4" name="Objec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FC0E6C" w:rsidRDefault="00FC0E6C" w:rsidP="00E0208F"/>
    <w:p w:rsidR="00FC0E6C" w:rsidRDefault="00FC0E6C" w:rsidP="00E0208F"/>
    <w:p w:rsidR="00FC0E6C" w:rsidRDefault="00FC0E6C" w:rsidP="00E0208F"/>
    <w:p w:rsidR="00FC0E6C" w:rsidRDefault="00FC0E6C" w:rsidP="00E0208F"/>
    <w:p w:rsidR="00FC0E6C" w:rsidRDefault="00FC0E6C" w:rsidP="00E0208F"/>
    <w:p w:rsidR="00FC0E6C" w:rsidRDefault="00FC0E6C" w:rsidP="00E0208F"/>
    <w:p w:rsidR="00FC0E6C" w:rsidRDefault="00FC0E6C" w:rsidP="00FC0E6C">
      <w:pPr>
        <w:jc w:val="right"/>
      </w:pPr>
    </w:p>
    <w:p w:rsidR="00FC0E6C" w:rsidRDefault="00FC0E6C" w:rsidP="00FC0E6C">
      <w:pPr>
        <w:jc w:val="right"/>
      </w:pPr>
    </w:p>
    <w:p w:rsidR="00FC0E6C" w:rsidRDefault="00FC0E6C" w:rsidP="00FC0E6C">
      <w:pPr>
        <w:jc w:val="right"/>
      </w:pPr>
    </w:p>
    <w:p w:rsidR="00FC0E6C" w:rsidRDefault="00FC0E6C" w:rsidP="00FC0E6C">
      <w:pPr>
        <w:jc w:val="right"/>
      </w:pPr>
    </w:p>
    <w:p w:rsidR="00FC0E6C" w:rsidRDefault="00FC0E6C" w:rsidP="00FC0E6C">
      <w:pPr>
        <w:jc w:val="right"/>
      </w:pPr>
    </w:p>
    <w:p w:rsidR="00FC0E6C" w:rsidRDefault="00FC0E6C" w:rsidP="00FC0E6C">
      <w:pPr>
        <w:jc w:val="right"/>
      </w:pPr>
    </w:p>
    <w:p w:rsidR="003F7B27" w:rsidRDefault="0088413C" w:rsidP="00FC0E6C">
      <w:pPr>
        <w:jc w:val="right"/>
      </w:pPr>
      <w:r>
        <w:rPr>
          <w:noProof/>
        </w:rPr>
        <mc:AlternateContent>
          <mc:Choice Requires="wps">
            <w:drawing>
              <wp:anchor distT="0" distB="0" distL="114300" distR="114300" simplePos="0" relativeHeight="251662336" behindDoc="0" locked="0" layoutInCell="1" allowOverlap="1">
                <wp:simplePos x="0" y="0"/>
                <wp:positionH relativeFrom="column">
                  <wp:posOffset>-430530</wp:posOffset>
                </wp:positionH>
                <wp:positionV relativeFrom="paragraph">
                  <wp:posOffset>127000</wp:posOffset>
                </wp:positionV>
                <wp:extent cx="3312160" cy="265430"/>
                <wp:effectExtent l="0" t="0" r="2540" b="127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57EE" w:rsidRPr="001F57EE" w:rsidRDefault="001F57EE" w:rsidP="00FC0E6C">
                            <w:pPr>
                              <w:tabs>
                                <w:tab w:val="left" w:pos="3305"/>
                              </w:tabs>
                              <w:jc w:val="both"/>
                              <w:rPr>
                                <w:sz w:val="20"/>
                                <w:szCs w:val="20"/>
                              </w:rPr>
                            </w:pPr>
                            <w:r w:rsidRPr="001F57EE">
                              <w:rPr>
                                <w:sz w:val="20"/>
                                <w:szCs w:val="20"/>
                              </w:rPr>
                              <w:t xml:space="preserve">Figure </w:t>
                            </w:r>
                            <w:r w:rsidR="009365AD">
                              <w:rPr>
                                <w:sz w:val="20"/>
                                <w:szCs w:val="20"/>
                              </w:rPr>
                              <w:t>1</w:t>
                            </w:r>
                            <w:r w:rsidRPr="001F57EE">
                              <w:rPr>
                                <w:sz w:val="20"/>
                                <w:szCs w:val="20"/>
                              </w:rPr>
                              <w:t xml:space="preserve">. </w:t>
                            </w:r>
                            <w:r w:rsidRPr="001F57EE">
                              <w:rPr>
                                <w:i/>
                                <w:sz w:val="20"/>
                                <w:szCs w:val="20"/>
                              </w:rPr>
                              <w:t>Energy-saving features in greenhouses.</w:t>
                            </w:r>
                          </w:p>
                          <w:p w:rsidR="001F57EE" w:rsidRDefault="001F57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3.9pt;margin-top:10pt;width:260.8pt;height:20.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" stroked="f">
                <v:textbox>
                  <w:txbxContent>
                    <w:p w:rsidR="001F57EE" w:rsidRPr="001F57EE" w:rsidRDefault="001F57EE" w:rsidP="00FC0E6C">
                      <w:pPr>
                        <w:tabs>
                          <w:tab w:val="left" w:pos="3305"/>
                        </w:tabs>
                        <w:jc w:val="both"/>
                        <w:rPr>
                          <w:sz w:val="20"/>
                          <w:szCs w:val="20"/>
                        </w:rPr>
                      </w:pPr>
                      <w:r w:rsidRPr="001F57EE">
                        <w:rPr>
                          <w:sz w:val="20"/>
                          <w:szCs w:val="20"/>
                        </w:rPr>
                        <w:t xml:space="preserve">Figure </w:t>
                      </w:r>
                      <w:r w:rsidR="009365AD">
                        <w:rPr>
                          <w:sz w:val="20"/>
                          <w:szCs w:val="20"/>
                        </w:rPr>
                        <w:t>1</w:t>
                      </w:r>
                      <w:r w:rsidRPr="001F57EE">
                        <w:rPr>
                          <w:sz w:val="20"/>
                          <w:szCs w:val="20"/>
                        </w:rPr>
                        <w:t xml:space="preserve">. </w:t>
                      </w:r>
                      <w:r w:rsidRPr="001F57EE">
                        <w:rPr>
                          <w:i/>
                          <w:sz w:val="20"/>
                          <w:szCs w:val="20"/>
                        </w:rPr>
                        <w:t>Energy-saving features in greenhouses.</w:t>
                      </w:r>
                    </w:p>
                    <w:p w:rsidR="001F57EE" w:rsidRDefault="001F57EE"/>
                  </w:txbxContent>
                </v:textbox>
              </v:shape>
            </w:pict>
          </mc:Fallback>
        </mc:AlternateContent>
      </w:r>
    </w:p>
    <w:p w:rsidR="00FC0E6C" w:rsidRDefault="00FC0E6C" w:rsidP="00FC0E6C">
      <w:pPr>
        <w:pStyle w:val="Caption"/>
        <w:ind w:left="3600" w:firstLine="720"/>
        <w:rPr>
          <w:b w:val="0"/>
          <w:i/>
        </w:rPr>
      </w:pPr>
      <w:r>
        <w:rPr>
          <w:b w:val="0"/>
        </w:rPr>
        <w:t xml:space="preserve">          Figure </w:t>
      </w:r>
      <w:r w:rsidR="009365AD">
        <w:rPr>
          <w:b w:val="0"/>
        </w:rPr>
        <w:t>2</w:t>
      </w:r>
      <w:r w:rsidR="00623E71" w:rsidRPr="00623E71">
        <w:rPr>
          <w:b w:val="0"/>
        </w:rPr>
        <w:t xml:space="preserve">. </w:t>
      </w:r>
      <w:r w:rsidR="00623E71" w:rsidRPr="00623E71">
        <w:rPr>
          <w:b w:val="0"/>
          <w:i/>
        </w:rPr>
        <w:t xml:space="preserve">Frequency of maintenance activities related to </w:t>
      </w:r>
      <w:r>
        <w:rPr>
          <w:b w:val="0"/>
          <w:i/>
        </w:rPr>
        <w:t xml:space="preserve">      </w:t>
      </w:r>
    </w:p>
    <w:p w:rsidR="003F7B27" w:rsidRPr="00623E71" w:rsidRDefault="00FC0E6C" w:rsidP="00FC0E6C">
      <w:pPr>
        <w:pStyle w:val="Caption"/>
        <w:ind w:left="3600" w:firstLine="720"/>
        <w:rPr>
          <w:b w:val="0"/>
        </w:rPr>
      </w:pPr>
      <w:r>
        <w:rPr>
          <w:b w:val="0"/>
        </w:rPr>
        <w:t xml:space="preserve">                          </w:t>
      </w:r>
      <w:r w:rsidR="00623E71" w:rsidRPr="00623E71">
        <w:rPr>
          <w:b w:val="0"/>
          <w:i/>
        </w:rPr>
        <w:t>energy efficiency</w:t>
      </w:r>
    </w:p>
    <w:p w:rsidR="009365AD" w:rsidRDefault="009365AD" w:rsidP="00623E71">
      <w:pPr>
        <w:tabs>
          <w:tab w:val="left" w:pos="521"/>
        </w:tabs>
        <w:jc w:val="center"/>
        <w:rPr>
          <w:b/>
        </w:rPr>
      </w:pPr>
    </w:p>
    <w:p w:rsidR="00623E71" w:rsidRPr="00623E71" w:rsidRDefault="00623E71" w:rsidP="00623E71">
      <w:pPr>
        <w:tabs>
          <w:tab w:val="left" w:pos="521"/>
        </w:tabs>
        <w:jc w:val="center"/>
        <w:rPr>
          <w:b/>
        </w:rPr>
      </w:pPr>
      <w:r>
        <w:rPr>
          <w:b/>
        </w:rPr>
        <w:t>Conclusions, Implications, and Recommendations</w:t>
      </w:r>
    </w:p>
    <w:p w:rsidR="00623E71" w:rsidRDefault="00E35C3C" w:rsidP="00623E71">
      <w:r>
        <w:t xml:space="preserve">Almost half of all respondents reported having access to greenhouses of a similar structure. The prevalence of similar structures throughout the nation implies that energy efficiency improvements appropriate for this structure can be implemented throughout the nation’s agricultural education programs. </w:t>
      </w:r>
      <w:r w:rsidR="0065334F">
        <w:t>Greenhouses were used most frequently during the spring semester, but were used in part during the fall. The popularity of fall crops in the comm</w:t>
      </w:r>
      <w:r w:rsidR="00D532B9">
        <w:t>ercial greenhouse industry implies</w:t>
      </w:r>
      <w:r w:rsidR="0065334F">
        <w:t xml:space="preserve"> that </w:t>
      </w:r>
      <w:r w:rsidR="00D532B9">
        <w:t xml:space="preserve">school </w:t>
      </w:r>
      <w:r w:rsidR="0065334F">
        <w:t xml:space="preserve">greenhouses can be utilized with more regularity in the fall in order to better represent the environment of the industry (Gard’ner, 2013). </w:t>
      </w:r>
      <w:r w:rsidR="00D532B9">
        <w:t>It is recommended that teacher educators make efforts to offer training opportunities and resources that help teachers use their greenhouses more successfully throughout the fall.</w:t>
      </w:r>
    </w:p>
    <w:p w:rsidR="00D532B9" w:rsidRPr="00E0208F" w:rsidRDefault="00D532B9" w:rsidP="00623E71"/>
    <w:p w:rsidR="00623E71" w:rsidRPr="00623E71" w:rsidRDefault="00C23AD3" w:rsidP="00623E71">
      <w:r>
        <w:t xml:space="preserve">The majority of greenhouses were not equipped with recommended </w:t>
      </w:r>
      <w:r w:rsidR="0061768D">
        <w:t xml:space="preserve">energy-saving </w:t>
      </w:r>
      <w:r>
        <w:t xml:space="preserve">features. Further, most teachers never performed almost half of the recommended energy-saving practices. The gap between equipment and practices commonly found in commercial greenhouses and those found in educational greenhouses may imply that students are not engaging in experiences that will adequately prepare them to enter the greenhouse industry. </w:t>
      </w:r>
      <w:r w:rsidR="00D532B9">
        <w:t>Research should be conducted to determine how energy efficiency technologies and practices commonly utilized in the commercial greenhouse industry can be incorporated into school greenhouse programs.</w:t>
      </w:r>
    </w:p>
    <w:p w:rsidR="00623E71" w:rsidRPr="00F46766" w:rsidRDefault="00623E71" w:rsidP="00F46766">
      <w:pPr>
        <w:jc w:val="center"/>
        <w:rPr>
          <w:b/>
        </w:rPr>
      </w:pPr>
      <w:bookmarkStart w:id="0" w:name="_GoBack"/>
      <w:bookmarkEnd w:id="0"/>
      <w:r w:rsidRPr="00623E71">
        <w:rPr>
          <w:b/>
        </w:rPr>
        <w:lastRenderedPageBreak/>
        <w:t>References</w:t>
      </w:r>
    </w:p>
    <w:p w:rsidR="00623E71" w:rsidRPr="00F46766" w:rsidRDefault="00623E71" w:rsidP="00DB7489">
      <w:pPr>
        <w:ind w:firstLine="720"/>
      </w:pPr>
    </w:p>
    <w:p w:rsidR="00F46766" w:rsidRDefault="0061768D" w:rsidP="00C23AD3">
      <w:r w:rsidRPr="00F46766">
        <w:t>Dennis, J. H., Lopez, R. G., Behe, B. K., Hall, C. R., Yue</w:t>
      </w:r>
      <w:r w:rsidR="00F46766">
        <w:t>, C., &amp; Campbell, B. L. (2010).</w:t>
      </w:r>
    </w:p>
    <w:p w:rsidR="00F46766" w:rsidRDefault="0061768D" w:rsidP="00F46766">
      <w:pPr>
        <w:ind w:firstLine="720"/>
      </w:pPr>
      <w:r w:rsidRPr="00F46766">
        <w:t>Sustainable production practices adopted by greenh</w:t>
      </w:r>
      <w:r w:rsidR="00F46766">
        <w:t>ouse and nursery plant growers.</w:t>
      </w:r>
    </w:p>
    <w:p w:rsidR="0061768D" w:rsidRPr="00F46766" w:rsidRDefault="00F46766" w:rsidP="00F46766">
      <w:pPr>
        <w:ind w:firstLine="720"/>
      </w:pPr>
      <w:r w:rsidRPr="00F46766">
        <w:rPr>
          <w:i/>
        </w:rPr>
        <w:t>HortScience</w:t>
      </w:r>
      <w:r w:rsidRPr="00F46766">
        <w:t xml:space="preserve">, </w:t>
      </w:r>
      <w:r w:rsidRPr="00F46766">
        <w:rPr>
          <w:i/>
        </w:rPr>
        <w:t>45</w:t>
      </w:r>
      <w:r w:rsidRPr="00F46766">
        <w:t xml:space="preserve">(8), 1232-1237. </w:t>
      </w:r>
    </w:p>
    <w:p w:rsidR="00F46766" w:rsidRPr="00F46766" w:rsidRDefault="00F46766" w:rsidP="00C23AD3"/>
    <w:p w:rsidR="00F46766" w:rsidRDefault="00F46766" w:rsidP="00C23AD3">
      <w:pPr>
        <w:rPr>
          <w:i/>
        </w:rPr>
      </w:pPr>
      <w:r w:rsidRPr="00F46766">
        <w:t xml:space="preserve">Doerfert, D. L. (Ed.) (2011). </w:t>
      </w:r>
      <w:r w:rsidRPr="00F46766">
        <w:rPr>
          <w:i/>
        </w:rPr>
        <w:t>National research agenda: Americ</w:t>
      </w:r>
      <w:r>
        <w:rPr>
          <w:i/>
        </w:rPr>
        <w:t>an Association for Agricultural</w:t>
      </w:r>
    </w:p>
    <w:p w:rsidR="00F46766" w:rsidRDefault="00F46766" w:rsidP="00F46766">
      <w:pPr>
        <w:ind w:firstLine="720"/>
      </w:pPr>
      <w:r w:rsidRPr="00F46766">
        <w:rPr>
          <w:i/>
        </w:rPr>
        <w:t>Educati</w:t>
      </w:r>
      <w:r w:rsidR="00162ABE">
        <w:rPr>
          <w:i/>
        </w:rPr>
        <w:t>o</w:t>
      </w:r>
      <w:r w:rsidRPr="00F46766">
        <w:rPr>
          <w:i/>
        </w:rPr>
        <w:t xml:space="preserve">n’s research priority areas for 2011-2015. </w:t>
      </w:r>
      <w:r>
        <w:t>Lubbock, TX: Texas Tech</w:t>
      </w:r>
    </w:p>
    <w:p w:rsidR="00F46766" w:rsidRPr="00F46766" w:rsidRDefault="00F46766" w:rsidP="00F46766">
      <w:pPr>
        <w:ind w:firstLine="720"/>
      </w:pPr>
      <w:r w:rsidRPr="00F46766">
        <w:t xml:space="preserve">University, Department of Agricultural Education and Communications. </w:t>
      </w:r>
    </w:p>
    <w:p w:rsidR="00F46766" w:rsidRPr="00F46766" w:rsidRDefault="00F46766" w:rsidP="00C23AD3"/>
    <w:p w:rsidR="00F46766" w:rsidRDefault="0065334F" w:rsidP="00C23AD3">
      <w:r w:rsidRPr="00F46766">
        <w:t>Gard</w:t>
      </w:r>
      <w:r w:rsidR="00F46766" w:rsidRPr="00F46766">
        <w:t>’</w:t>
      </w:r>
      <w:r w:rsidRPr="00F46766">
        <w:t xml:space="preserve">ner, A. (2013). Fall crops: More than mums. </w:t>
      </w:r>
      <w:r w:rsidR="00D532B9" w:rsidRPr="00F46766">
        <w:rPr>
          <w:i/>
        </w:rPr>
        <w:t xml:space="preserve">Greenhouse Grower. </w:t>
      </w:r>
      <w:r w:rsidR="00D532B9" w:rsidRPr="00F46766">
        <w:t>Retrieved from</w:t>
      </w:r>
    </w:p>
    <w:p w:rsidR="0065334F" w:rsidRDefault="00C11F0F" w:rsidP="00F46766">
      <w:pPr>
        <w:ind w:firstLine="720"/>
      </w:pPr>
      <w:hyperlink r:id="rId12" w:history="1">
        <w:r w:rsidR="00D532B9" w:rsidRPr="00F46766">
          <w:rPr>
            <w:rStyle w:val="Hyperlink"/>
          </w:rPr>
          <w:t>http://www.greenhousegrower.com/varieties/fall-crops-more-than-mums/</w:t>
        </w:r>
      </w:hyperlink>
      <w:r w:rsidR="00D532B9" w:rsidRPr="00F46766">
        <w:t xml:space="preserve"> </w:t>
      </w:r>
    </w:p>
    <w:p w:rsidR="00AF002F" w:rsidRDefault="00AF002F" w:rsidP="00F46766">
      <w:pPr>
        <w:ind w:firstLine="720"/>
      </w:pPr>
    </w:p>
    <w:p w:rsidR="00AF002F" w:rsidRPr="00AF002F" w:rsidRDefault="00AF002F" w:rsidP="00AF002F">
      <w:pPr>
        <w:ind w:left="720" w:hanging="720"/>
      </w:pPr>
      <w:r>
        <w:t xml:space="preserve">Hall, C. R., Hodges, A.W., &amp; Haydu, J. J. (2006). The economic impact of the green industry in the United States. </w:t>
      </w:r>
      <w:r>
        <w:rPr>
          <w:i/>
        </w:rPr>
        <w:t>HortTechnology, 16</w:t>
      </w:r>
      <w:r>
        <w:t>(2), 345-353.</w:t>
      </w:r>
    </w:p>
    <w:p w:rsidR="0061768D" w:rsidRPr="00F46766" w:rsidRDefault="0061768D" w:rsidP="00C23AD3"/>
    <w:p w:rsidR="00F46766" w:rsidRDefault="0061768D" w:rsidP="00C23AD3">
      <w:r w:rsidRPr="00F46766">
        <w:t xml:space="preserve">Onofrey, D. (2009). State of the industry: Top trends for 2010. </w:t>
      </w:r>
      <w:r w:rsidRPr="00F46766">
        <w:rPr>
          <w:i/>
        </w:rPr>
        <w:t xml:space="preserve">Greenhouse Grower. </w:t>
      </w:r>
      <w:r w:rsidR="00F46766">
        <w:t>Retrieved</w:t>
      </w:r>
    </w:p>
    <w:p w:rsidR="00F46766" w:rsidRPr="00F46766" w:rsidRDefault="0061768D" w:rsidP="00F46766">
      <w:pPr>
        <w:ind w:firstLine="720"/>
      </w:pPr>
      <w:r w:rsidRPr="00F46766">
        <w:t xml:space="preserve">from </w:t>
      </w:r>
      <w:r w:rsidR="00F46766">
        <w:fldChar w:fldCharType="begin"/>
      </w:r>
      <w:r w:rsidR="00F46766">
        <w:instrText xml:space="preserve"> HYPERLINK "</w:instrText>
      </w:r>
      <w:r w:rsidR="00F46766" w:rsidRPr="00F46766">
        <w:instrText>http://www.greenhousegrower.com/business-management/state-of-the</w:instrText>
      </w:r>
    </w:p>
    <w:p w:rsidR="00F46766" w:rsidRPr="00E809A7" w:rsidRDefault="00F46766" w:rsidP="00F46766">
      <w:pPr>
        <w:ind w:firstLine="720"/>
        <w:rPr>
          <w:rStyle w:val="Hyperlink"/>
        </w:rPr>
      </w:pPr>
      <w:r w:rsidRPr="00F46766">
        <w:instrText>industry/state-of-the-industry-top-trends-for-2010/</w:instrText>
      </w:r>
      <w:r>
        <w:instrText xml:space="preserve">" </w:instrText>
      </w:r>
      <w:r>
        <w:fldChar w:fldCharType="separate"/>
      </w:r>
      <w:r w:rsidRPr="00E809A7">
        <w:rPr>
          <w:rStyle w:val="Hyperlink"/>
        </w:rPr>
        <w:t>http://www.greenhousegrower.com/business-management/state-of-the</w:t>
      </w:r>
    </w:p>
    <w:p w:rsidR="0061768D" w:rsidRPr="00F46766" w:rsidRDefault="00F46766" w:rsidP="00F46766">
      <w:pPr>
        <w:ind w:firstLine="720"/>
      </w:pPr>
      <w:r w:rsidRPr="00E809A7">
        <w:rPr>
          <w:rStyle w:val="Hyperlink"/>
        </w:rPr>
        <w:t>industry/state-of-the-industry-top-trends-for-2010/</w:t>
      </w:r>
      <w:r>
        <w:fldChar w:fldCharType="end"/>
      </w:r>
      <w:r w:rsidR="0061768D" w:rsidRPr="00F46766">
        <w:t xml:space="preserve"> </w:t>
      </w:r>
    </w:p>
    <w:p w:rsidR="00F46766" w:rsidRPr="00F46766" w:rsidRDefault="00F46766" w:rsidP="00C23AD3"/>
    <w:p w:rsidR="00F46766" w:rsidRDefault="00F46766" w:rsidP="00C23AD3">
      <w:r w:rsidRPr="00F46766">
        <w:t>Shoulders, C. W., &amp; Myers, B. E. (2012). Teachers’ use of agricul</w:t>
      </w:r>
      <w:r>
        <w:t>tural laboratories in secondary</w:t>
      </w:r>
    </w:p>
    <w:p w:rsidR="00F46766" w:rsidRDefault="00F46766" w:rsidP="00F46766">
      <w:pPr>
        <w:ind w:firstLine="720"/>
      </w:pPr>
      <w:r w:rsidRPr="00F46766">
        <w:t xml:space="preserve">agricultural education. </w:t>
      </w:r>
      <w:r w:rsidRPr="00F46766">
        <w:rPr>
          <w:i/>
        </w:rPr>
        <w:t>Journal of Agricultural Education, 53</w:t>
      </w:r>
      <w:r w:rsidRPr="00F46766">
        <w:t>(2), p. 124-138. doi</w:t>
      </w:r>
      <w:r>
        <w:t>:</w:t>
      </w:r>
    </w:p>
    <w:p w:rsidR="00F46766" w:rsidRPr="00F46766" w:rsidRDefault="00F46766" w:rsidP="00F46766">
      <w:pPr>
        <w:ind w:firstLine="720"/>
      </w:pPr>
      <w:r w:rsidRPr="00F46766">
        <w:t>10.5032/jae.2012.02124</w:t>
      </w:r>
    </w:p>
    <w:p w:rsidR="00F46766" w:rsidRPr="00F46766" w:rsidRDefault="00F46766" w:rsidP="00C23AD3"/>
    <w:sectPr w:rsidR="00F46766" w:rsidRPr="00F46766" w:rsidSect="00813E59">
      <w:footerReference w:type="first" r:id="rId13"/>
      <w:type w:val="continuous"/>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F0F" w:rsidRDefault="00C11F0F">
      <w:r>
        <w:separator/>
      </w:r>
    </w:p>
  </w:endnote>
  <w:endnote w:type="continuationSeparator" w:id="0">
    <w:p w:rsidR="00C11F0F" w:rsidRDefault="00C11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489" w:rsidRDefault="00DB7489"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E05C39">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489" w:rsidRDefault="00DB7489" w:rsidP="005E7A11">
    <w:pPr>
      <w:pStyle w:val="Footer"/>
      <w:tabs>
        <w:tab w:val="clear" w:pos="4320"/>
        <w:tab w:val="center" w:pos="468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489" w:rsidRDefault="00DB7489"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813E59">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F0F" w:rsidRDefault="00C11F0F">
      <w:r>
        <w:separator/>
      </w:r>
    </w:p>
  </w:footnote>
  <w:footnote w:type="continuationSeparator" w:id="0">
    <w:p w:rsidR="00C11F0F" w:rsidRDefault="00C11F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B98"/>
    <w:rsid w:val="00065283"/>
    <w:rsid w:val="000E1F2A"/>
    <w:rsid w:val="001337D3"/>
    <w:rsid w:val="0014639A"/>
    <w:rsid w:val="00162ABE"/>
    <w:rsid w:val="001F57EE"/>
    <w:rsid w:val="0020489B"/>
    <w:rsid w:val="00207392"/>
    <w:rsid w:val="00236073"/>
    <w:rsid w:val="0025135E"/>
    <w:rsid w:val="002519E8"/>
    <w:rsid w:val="002937C6"/>
    <w:rsid w:val="002B731F"/>
    <w:rsid w:val="002D78C4"/>
    <w:rsid w:val="002E6197"/>
    <w:rsid w:val="002F2976"/>
    <w:rsid w:val="00302BBC"/>
    <w:rsid w:val="00357BB1"/>
    <w:rsid w:val="00392848"/>
    <w:rsid w:val="003C5D19"/>
    <w:rsid w:val="003E3D6B"/>
    <w:rsid w:val="003F7B27"/>
    <w:rsid w:val="00432D77"/>
    <w:rsid w:val="004350EC"/>
    <w:rsid w:val="00443103"/>
    <w:rsid w:val="004437C0"/>
    <w:rsid w:val="00470F37"/>
    <w:rsid w:val="00483CF3"/>
    <w:rsid w:val="004B57CB"/>
    <w:rsid w:val="004D0462"/>
    <w:rsid w:val="004D190C"/>
    <w:rsid w:val="00510BE4"/>
    <w:rsid w:val="0055601C"/>
    <w:rsid w:val="0058524F"/>
    <w:rsid w:val="005E7A11"/>
    <w:rsid w:val="0060423A"/>
    <w:rsid w:val="0061768D"/>
    <w:rsid w:val="00623E71"/>
    <w:rsid w:val="0065334F"/>
    <w:rsid w:val="0067485B"/>
    <w:rsid w:val="006C7661"/>
    <w:rsid w:val="006D32C7"/>
    <w:rsid w:val="00714790"/>
    <w:rsid w:val="00763512"/>
    <w:rsid w:val="007909F4"/>
    <w:rsid w:val="007C0D01"/>
    <w:rsid w:val="007C7F74"/>
    <w:rsid w:val="007E0A08"/>
    <w:rsid w:val="00813E59"/>
    <w:rsid w:val="008215BE"/>
    <w:rsid w:val="0088413C"/>
    <w:rsid w:val="009365AD"/>
    <w:rsid w:val="00950B26"/>
    <w:rsid w:val="00982AAE"/>
    <w:rsid w:val="00A1264A"/>
    <w:rsid w:val="00AA72EE"/>
    <w:rsid w:val="00AE0591"/>
    <w:rsid w:val="00AF002F"/>
    <w:rsid w:val="00B012AA"/>
    <w:rsid w:val="00B017E2"/>
    <w:rsid w:val="00B03566"/>
    <w:rsid w:val="00B75B98"/>
    <w:rsid w:val="00B929A7"/>
    <w:rsid w:val="00BB1C0B"/>
    <w:rsid w:val="00BC375F"/>
    <w:rsid w:val="00BD76C5"/>
    <w:rsid w:val="00BE491D"/>
    <w:rsid w:val="00C11F0F"/>
    <w:rsid w:val="00C23AD3"/>
    <w:rsid w:val="00C254D8"/>
    <w:rsid w:val="00CA373A"/>
    <w:rsid w:val="00CB4926"/>
    <w:rsid w:val="00CC44B2"/>
    <w:rsid w:val="00D32FBD"/>
    <w:rsid w:val="00D532B9"/>
    <w:rsid w:val="00D722EE"/>
    <w:rsid w:val="00DB7489"/>
    <w:rsid w:val="00DE2E84"/>
    <w:rsid w:val="00E0208F"/>
    <w:rsid w:val="00E05C39"/>
    <w:rsid w:val="00E35C3C"/>
    <w:rsid w:val="00E83808"/>
    <w:rsid w:val="00E8670F"/>
    <w:rsid w:val="00E90948"/>
    <w:rsid w:val="00E90A24"/>
    <w:rsid w:val="00F075EE"/>
    <w:rsid w:val="00F46766"/>
    <w:rsid w:val="00FC0E6C"/>
    <w:rsid w:val="00FD5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paragraph" w:styleId="Caption">
    <w:name w:val="caption"/>
    <w:basedOn w:val="Normal"/>
    <w:next w:val="Normal"/>
    <w:uiPriority w:val="35"/>
    <w:unhideWhenUsed/>
    <w:qFormat/>
    <w:rsid w:val="00AA72EE"/>
    <w:rPr>
      <w:b/>
      <w:bCs/>
      <w:sz w:val="20"/>
      <w:szCs w:val="20"/>
    </w:rPr>
  </w:style>
  <w:style w:type="table" w:styleId="TableGrid">
    <w:name w:val="Table Grid"/>
    <w:basedOn w:val="TableNormal"/>
    <w:uiPriority w:val="59"/>
    <w:rsid w:val="008215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unhideWhenUsed/>
    <w:rsid w:val="00AF002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reenhousegrower.com/varieties/fall-crops-more-than-mum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45560747663551399"/>
          <c:y val="3.9473684210526321E-2"/>
          <c:w val="0.48364485981308408"/>
          <c:h val="0.73026315789473706"/>
        </c:manualLayout>
      </c:layout>
      <c:barChart>
        <c:barDir val="bar"/>
        <c:grouping val="stacked"/>
        <c:varyColors val="0"/>
        <c:ser>
          <c:idx val="0"/>
          <c:order val="0"/>
          <c:spPr>
            <a:solidFill>
              <a:srgbClr val="9999FF"/>
            </a:solidFill>
            <a:ln w="12664">
              <a:solidFill>
                <a:srgbClr val="000000"/>
              </a:solidFill>
              <a:prstDash val="solid"/>
            </a:ln>
          </c:spPr>
          <c:invertIfNegative val="0"/>
          <c:val>
            <c:numRef>
              <c:f>Sheet1!$B$2:$J$2</c:f>
              <c:numCache>
                <c:formatCode>0%</c:formatCode>
                <c:ptCount val="9"/>
                <c:pt idx="0">
                  <c:v>0.69599999999999995</c:v>
                </c:pt>
                <c:pt idx="1">
                  <c:v>0.64600000000000002</c:v>
                </c:pt>
                <c:pt idx="2">
                  <c:v>0.54700000000000004</c:v>
                </c:pt>
                <c:pt idx="3">
                  <c:v>0.52500000000000002</c:v>
                </c:pt>
                <c:pt idx="4" formatCode="General">
                  <c:v>0.39900000000000002</c:v>
                </c:pt>
                <c:pt idx="5">
                  <c:v>0.38</c:v>
                </c:pt>
                <c:pt idx="6">
                  <c:v>0.35499999999999998</c:v>
                </c:pt>
                <c:pt idx="7">
                  <c:v>0.20399999999999999</c:v>
                </c:pt>
                <c:pt idx="8">
                  <c:v>0.15</c:v>
                </c:pt>
              </c:numCache>
            </c:numRef>
          </c:val>
          <c:extLst>
            <c:ext xmlns:c15="http://schemas.microsoft.com/office/drawing/2012/chart" uri="{02D57815-91ED-43cb-92C2-25804820EDAC}">
              <c15:filteredSeriesTitle>
                <c15:tx>
                  <c:strRef>
                    <c:extLst>
                      <c:ext uri="{02D57815-91ED-43cb-92C2-25804820EDAC}">
                        <c15:formulaRef>
                          <c15:sqref>Sheet1!$A$2</c15:sqref>
                        </c15:formulaRef>
                      </c:ext>
                    </c:extLst>
                    <c:strCache>
                      <c:ptCount val="1"/>
                      <c:pt idx="0">
                        <c:v>Never</c:v>
                      </c:pt>
                    </c:strCache>
                  </c:strRef>
                </c15:tx>
              </c15:filteredSeriesTitle>
            </c:ext>
            <c:ext xmlns:c15="http://schemas.microsoft.com/office/drawing/2012/chart" uri="{02D57815-91ED-43cb-92C2-25804820EDAC}">
              <c15:filteredCategoryTitle>
                <c15:cat>
                  <c:strRef>
                    <c:extLst>
                      <c:ext uri="{02D57815-91ED-43cb-92C2-25804820EDAC}">
                        <c15:formulaRef>
                          <c15:sqref>Sheet1!$B$1:$J$1</c15:sqref>
                        </c15:formulaRef>
                      </c:ext>
                    </c:extLst>
                    <c:strCache>
                      <c:ptCount val="9"/>
                      <c:pt idx="0">
                        <c:v>Clean radiation surfaces</c:v>
                      </c:pt>
                      <c:pt idx="1">
                        <c:v>Check back-up heating</c:v>
                      </c:pt>
                      <c:pt idx="2">
                        <c:v>Clean furnace</c:v>
                      </c:pt>
                      <c:pt idx="3">
                        <c:v>Check furnace boiler/burner</c:v>
                      </c:pt>
                      <c:pt idx="4">
                        <c:v>Adjust furnace settings</c:v>
                      </c:pt>
                      <c:pt idx="5">
                        <c:v>Inspect wiring</c:v>
                      </c:pt>
                      <c:pt idx="6">
                        <c:v>Check accuracy of thermostats</c:v>
                      </c:pt>
                      <c:pt idx="7">
                        <c:v>Check watering system for leaks</c:v>
                      </c:pt>
                      <c:pt idx="8">
                        <c:v>Inspect greenhouse covering</c:v>
                      </c:pt>
                    </c:strCache>
                  </c:strRef>
                </c15:cat>
              </c15:filteredCategoryTitle>
            </c:ext>
          </c:extLst>
        </c:ser>
        <c:ser>
          <c:idx val="1"/>
          <c:order val="1"/>
          <c:spPr>
            <a:solidFill>
              <a:srgbClr val="993366"/>
            </a:solidFill>
            <a:ln w="12664">
              <a:solidFill>
                <a:srgbClr val="000000"/>
              </a:solidFill>
              <a:prstDash val="solid"/>
            </a:ln>
          </c:spPr>
          <c:invertIfNegative val="0"/>
          <c:val>
            <c:numRef>
              <c:f>Sheet1!$B$3:$J$3</c:f>
              <c:numCache>
                <c:formatCode>0%</c:formatCode>
                <c:ptCount val="9"/>
                <c:pt idx="0">
                  <c:v>0.218</c:v>
                </c:pt>
                <c:pt idx="1">
                  <c:v>0.188</c:v>
                </c:pt>
                <c:pt idx="2">
                  <c:v>0.34799999999999998</c:v>
                </c:pt>
                <c:pt idx="3">
                  <c:v>0.27100000000000002</c:v>
                </c:pt>
                <c:pt idx="4" formatCode="General">
                  <c:v>0.24199999999999999</c:v>
                </c:pt>
                <c:pt idx="5">
                  <c:v>0.35799999999999998</c:v>
                </c:pt>
                <c:pt idx="6">
                  <c:v>0.29599999999999999</c:v>
                </c:pt>
                <c:pt idx="7">
                  <c:v>0.14699999999999999</c:v>
                </c:pt>
                <c:pt idx="8">
                  <c:v>0.23</c:v>
                </c:pt>
              </c:numCache>
            </c:numRef>
          </c:val>
          <c:extLst>
            <c:ext xmlns:c15="http://schemas.microsoft.com/office/drawing/2012/chart" uri="{02D57815-91ED-43cb-92C2-25804820EDAC}">
              <c15:filteredSeriesTitle>
                <c15:tx>
                  <c:strRef>
                    <c:extLst>
                      <c:ext uri="{02D57815-91ED-43cb-92C2-25804820EDAC}">
                        <c15:formulaRef>
                          <c15:sqref>Sheet1!$A$3</c15:sqref>
                        </c15:formulaRef>
                      </c:ext>
                    </c:extLst>
                    <c:strCache>
                      <c:ptCount val="1"/>
                      <c:pt idx="0">
                        <c:v>Each Semester</c:v>
                      </c:pt>
                    </c:strCache>
                  </c:strRef>
                </c15:tx>
              </c15:filteredSeriesTitle>
            </c:ext>
            <c:ext xmlns:c15="http://schemas.microsoft.com/office/drawing/2012/chart" uri="{02D57815-91ED-43cb-92C2-25804820EDAC}">
              <c15:filteredCategoryTitle>
                <c15:cat>
                  <c:strRef>
                    <c:extLst>
                      <c:ext uri="{02D57815-91ED-43cb-92C2-25804820EDAC}">
                        <c15:formulaRef>
                          <c15:sqref>Sheet1!$B$1:$J$1</c15:sqref>
                        </c15:formulaRef>
                      </c:ext>
                    </c:extLst>
                    <c:strCache>
                      <c:ptCount val="9"/>
                      <c:pt idx="0">
                        <c:v>Clean radiation surfaces</c:v>
                      </c:pt>
                      <c:pt idx="1">
                        <c:v>Check back-up heating</c:v>
                      </c:pt>
                      <c:pt idx="2">
                        <c:v>Clean furnace</c:v>
                      </c:pt>
                      <c:pt idx="3">
                        <c:v>Check furnace boiler/burner</c:v>
                      </c:pt>
                      <c:pt idx="4">
                        <c:v>Adjust furnace settings</c:v>
                      </c:pt>
                      <c:pt idx="5">
                        <c:v>Inspect wiring</c:v>
                      </c:pt>
                      <c:pt idx="6">
                        <c:v>Check accuracy of thermostats</c:v>
                      </c:pt>
                      <c:pt idx="7">
                        <c:v>Check watering system for leaks</c:v>
                      </c:pt>
                      <c:pt idx="8">
                        <c:v>Inspect greenhouse covering</c:v>
                      </c:pt>
                    </c:strCache>
                  </c:strRef>
                </c15:cat>
              </c15:filteredCategoryTitle>
            </c:ext>
          </c:extLst>
        </c:ser>
        <c:ser>
          <c:idx val="2"/>
          <c:order val="2"/>
          <c:spPr>
            <a:solidFill>
              <a:srgbClr val="FFFFCC"/>
            </a:solidFill>
            <a:ln w="12664">
              <a:solidFill>
                <a:srgbClr val="000000"/>
              </a:solidFill>
              <a:prstDash val="solid"/>
            </a:ln>
          </c:spPr>
          <c:invertIfNegative val="0"/>
          <c:val>
            <c:numRef>
              <c:f>Sheet1!$B$4:$J$4</c:f>
              <c:numCache>
                <c:formatCode>0%</c:formatCode>
                <c:ptCount val="9"/>
                <c:pt idx="0">
                  <c:v>8.5999999999999993E-2</c:v>
                </c:pt>
                <c:pt idx="1">
                  <c:v>0.16500000000000001</c:v>
                </c:pt>
                <c:pt idx="2">
                  <c:v>0.105</c:v>
                </c:pt>
                <c:pt idx="3">
                  <c:v>0.20399999999999999</c:v>
                </c:pt>
                <c:pt idx="4" formatCode="General">
                  <c:v>0.35899999999999999</c:v>
                </c:pt>
                <c:pt idx="5">
                  <c:v>0.26200000000000001</c:v>
                </c:pt>
                <c:pt idx="6">
                  <c:v>0.35</c:v>
                </c:pt>
                <c:pt idx="7">
                  <c:v>0.64800000000000002</c:v>
                </c:pt>
                <c:pt idx="8">
                  <c:v>0.62</c:v>
                </c:pt>
              </c:numCache>
            </c:numRef>
          </c:val>
          <c:extLst>
            <c:ext xmlns:c15="http://schemas.microsoft.com/office/drawing/2012/chart" uri="{02D57815-91ED-43cb-92C2-25804820EDAC}">
              <c15:filteredSeriesTitle>
                <c15:tx>
                  <c:strRef>
                    <c:extLst>
                      <c:ext uri="{02D57815-91ED-43cb-92C2-25804820EDAC}">
                        <c15:formulaRef>
                          <c15:sqref>Sheet1!$A$4</c15:sqref>
                        </c15:formulaRef>
                      </c:ext>
                    </c:extLst>
                    <c:strCache>
                      <c:ptCount val="1"/>
                      <c:pt idx="0">
                        <c:v>Annually</c:v>
                      </c:pt>
                    </c:strCache>
                  </c:strRef>
                </c15:tx>
              </c15:filteredSeriesTitle>
            </c:ext>
            <c:ext xmlns:c15="http://schemas.microsoft.com/office/drawing/2012/chart" uri="{02D57815-91ED-43cb-92C2-25804820EDAC}">
              <c15:filteredCategoryTitle>
                <c15:cat>
                  <c:strRef>
                    <c:extLst>
                      <c:ext uri="{02D57815-91ED-43cb-92C2-25804820EDAC}">
                        <c15:formulaRef>
                          <c15:sqref>Sheet1!$B$1:$J$1</c15:sqref>
                        </c15:formulaRef>
                      </c:ext>
                    </c:extLst>
                    <c:strCache>
                      <c:ptCount val="9"/>
                      <c:pt idx="0">
                        <c:v>Clean radiation surfaces</c:v>
                      </c:pt>
                      <c:pt idx="1">
                        <c:v>Check back-up heating</c:v>
                      </c:pt>
                      <c:pt idx="2">
                        <c:v>Clean furnace</c:v>
                      </c:pt>
                      <c:pt idx="3">
                        <c:v>Check furnace boiler/burner</c:v>
                      </c:pt>
                      <c:pt idx="4">
                        <c:v>Adjust furnace settings</c:v>
                      </c:pt>
                      <c:pt idx="5">
                        <c:v>Inspect wiring</c:v>
                      </c:pt>
                      <c:pt idx="6">
                        <c:v>Check accuracy of thermostats</c:v>
                      </c:pt>
                      <c:pt idx="7">
                        <c:v>Check watering system for leaks</c:v>
                      </c:pt>
                      <c:pt idx="8">
                        <c:v>Inspect greenhouse covering</c:v>
                      </c:pt>
                    </c:strCache>
                  </c:strRef>
                </c15:cat>
              </c15:filteredCategoryTitle>
            </c:ext>
          </c:extLst>
        </c:ser>
        <c:dLbls>
          <c:showLegendKey val="0"/>
          <c:showVal val="0"/>
          <c:showCatName val="0"/>
          <c:showSerName val="0"/>
          <c:showPercent val="0"/>
          <c:showBubbleSize val="0"/>
        </c:dLbls>
        <c:gapWidth val="150"/>
        <c:overlap val="100"/>
        <c:axId val="388000816"/>
        <c:axId val="388000424"/>
      </c:barChart>
      <c:catAx>
        <c:axId val="388000816"/>
        <c:scaling>
          <c:orientation val="minMax"/>
        </c:scaling>
        <c:delete val="0"/>
        <c:axPos val="l"/>
        <c:numFmt formatCode="General" sourceLinked="1"/>
        <c:majorTickMark val="out"/>
        <c:minorTickMark val="none"/>
        <c:tickLblPos val="nextTo"/>
        <c:spPr>
          <a:ln w="3166">
            <a:solidFill>
              <a:srgbClr val="000000"/>
            </a:solidFill>
            <a:prstDash val="solid"/>
          </a:ln>
        </c:spPr>
        <c:txPr>
          <a:bodyPr rot="0" vert="horz"/>
          <a:lstStyle/>
          <a:p>
            <a:pPr>
              <a:defRPr sz="800" b="0" i="0" u="none" strike="noStrike" baseline="0">
                <a:solidFill>
                  <a:srgbClr val="000000"/>
                </a:solidFill>
                <a:latin typeface="Times New Roman"/>
                <a:ea typeface="Times New Roman"/>
                <a:cs typeface="Times New Roman"/>
              </a:defRPr>
            </a:pPr>
            <a:endParaRPr lang="en-US"/>
          </a:p>
        </c:txPr>
        <c:crossAx val="388000424"/>
        <c:crosses val="autoZero"/>
        <c:auto val="1"/>
        <c:lblAlgn val="ctr"/>
        <c:lblOffset val="100"/>
        <c:tickLblSkip val="1"/>
        <c:tickMarkSkip val="1"/>
        <c:noMultiLvlLbl val="0"/>
      </c:catAx>
      <c:valAx>
        <c:axId val="388000424"/>
        <c:scaling>
          <c:orientation val="minMax"/>
          <c:max val="1"/>
        </c:scaling>
        <c:delete val="0"/>
        <c:axPos val="b"/>
        <c:numFmt formatCode="0%" sourceLinked="1"/>
        <c:majorTickMark val="out"/>
        <c:minorTickMark val="none"/>
        <c:tickLblPos val="nextTo"/>
        <c:spPr>
          <a:ln w="3166">
            <a:solidFill>
              <a:srgbClr val="000000"/>
            </a:solidFill>
            <a:prstDash val="solid"/>
          </a:ln>
        </c:spPr>
        <c:txPr>
          <a:bodyPr rot="0" vert="horz"/>
          <a:lstStyle/>
          <a:p>
            <a:pPr>
              <a:defRPr sz="800" b="0" i="0" u="none" strike="noStrike" baseline="0">
                <a:solidFill>
                  <a:srgbClr val="000000"/>
                </a:solidFill>
                <a:latin typeface="Times New Roman"/>
                <a:ea typeface="Times New Roman"/>
                <a:cs typeface="Times New Roman"/>
              </a:defRPr>
            </a:pPr>
            <a:endParaRPr lang="en-US"/>
          </a:p>
        </c:txPr>
        <c:crossAx val="388000816"/>
        <c:crosses val="autoZero"/>
        <c:crossBetween val="between"/>
        <c:majorUnit val="0.25"/>
      </c:valAx>
      <c:spPr>
        <a:noFill/>
        <a:ln w="25385">
          <a:noFill/>
        </a:ln>
      </c:spPr>
    </c:plotArea>
    <c:legend>
      <c:legendPos val="b"/>
      <c:layout>
        <c:manualLayout>
          <c:xMode val="edge"/>
          <c:yMode val="edge"/>
          <c:x val="0.24766342982637377"/>
          <c:y val="0.91118411428079693"/>
          <c:w val="0.50233649365257904"/>
          <c:h val="7.8947549589088228E-2"/>
        </c:manualLayout>
      </c:layout>
      <c:overlay val="0"/>
      <c:spPr>
        <a:noFill/>
        <a:ln w="3166">
          <a:solidFill>
            <a:srgbClr val="000000"/>
          </a:solidFill>
          <a:prstDash val="solid"/>
        </a:ln>
      </c:spPr>
      <c:txPr>
        <a:bodyPr/>
        <a:lstStyle/>
        <a:p>
          <a:pPr>
            <a:defRPr sz="733" b="0" i="0" u="none" strike="noStrike" baseline="0">
              <a:solidFill>
                <a:srgbClr val="000000"/>
              </a:solidFill>
              <a:latin typeface="Times New Roman"/>
              <a:ea typeface="Times New Roman"/>
              <a:cs typeface="Times New Roman"/>
            </a:defRPr>
          </a:pPr>
          <a:endParaRPr lang="en-US"/>
        </a:p>
      </c:txPr>
    </c:legend>
    <c:plotVisOnly val="1"/>
    <c:dispBlanksAs val="gap"/>
    <c:showDLblsOverMax val="0"/>
  </c:chart>
  <c:spPr>
    <a:noFill/>
    <a:ln>
      <a:noFill/>
    </a:ln>
  </c:spPr>
  <c:txPr>
    <a:bodyPr/>
    <a:lstStyle/>
    <a:p>
      <a:pPr>
        <a:defRPr sz="974" b="1" i="0" u="none" strike="noStrike" baseline="0">
          <a:solidFill>
            <a:srgbClr val="000000"/>
          </a:solidFill>
          <a:latin typeface="Calibri"/>
          <a:ea typeface="Calibri"/>
          <a:cs typeface="Calibri"/>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35218508997429299"/>
          <c:y val="4.3321299638989175E-2"/>
          <c:w val="0.58097686375321334"/>
          <c:h val="0.70397111913357402"/>
        </c:manualLayout>
      </c:layout>
      <c:barChart>
        <c:barDir val="bar"/>
        <c:grouping val="stacked"/>
        <c:varyColors val="0"/>
        <c:ser>
          <c:idx val="0"/>
          <c:order val="0"/>
          <c:spPr>
            <a:solidFill>
              <a:srgbClr val="9999FF"/>
            </a:solidFill>
            <a:ln w="12667">
              <a:solidFill>
                <a:srgbClr val="000000"/>
              </a:solidFill>
              <a:prstDash val="solid"/>
            </a:ln>
          </c:spPr>
          <c:invertIfNegative val="0"/>
          <c:val>
            <c:numRef>
              <c:f>Sheet1!$B$2:$H$2</c:f>
              <c:numCache>
                <c:formatCode>0.00%</c:formatCode>
                <c:ptCount val="7"/>
                <c:pt idx="0" formatCode="0%">
                  <c:v>0.85</c:v>
                </c:pt>
                <c:pt idx="1">
                  <c:v>0.93799999999999994</c:v>
                </c:pt>
                <c:pt idx="2">
                  <c:v>0.91400000000000003</c:v>
                </c:pt>
                <c:pt idx="3">
                  <c:v>0.84199999999999997</c:v>
                </c:pt>
                <c:pt idx="4">
                  <c:v>0.871</c:v>
                </c:pt>
                <c:pt idx="5">
                  <c:v>0.71099999999999997</c:v>
                </c:pt>
                <c:pt idx="6">
                  <c:v>0.29899999999999999</c:v>
                </c:pt>
              </c:numCache>
            </c:numRef>
          </c:val>
          <c:extLst>
            <c:ext xmlns:c15="http://schemas.microsoft.com/office/drawing/2012/chart" uri="{02D57815-91ED-43cb-92C2-25804820EDAC}">
              <c15:filteredSeriesTitle>
                <c15:tx>
                  <c:strRef>
                    <c:extLst>
                      <c:ext uri="{02D57815-91ED-43cb-92C2-25804820EDAC}">
                        <c15:formulaRef>
                          <c15:sqref>Sheet1!$A$2</c15:sqref>
                        </c15:formulaRef>
                      </c:ext>
                    </c:extLst>
                    <c:strCache>
                      <c:ptCount val="1"/>
                      <c:pt idx="0">
                        <c:v>Not Equipped</c:v>
                      </c:pt>
                    </c:strCache>
                  </c:strRef>
                </c15:tx>
              </c15:filteredSeriesTitle>
            </c:ext>
            <c:ext xmlns:c15="http://schemas.microsoft.com/office/drawing/2012/chart" uri="{02D57815-91ED-43cb-92C2-25804820EDAC}">
              <c15:filteredCategoryTitle>
                <c15:cat>
                  <c:strRef>
                    <c:extLst>
                      <c:ext uri="{02D57815-91ED-43cb-92C2-25804820EDAC}">
                        <c15:formulaRef>
                          <c15:sqref>Sheet1!$B$1:$H$1</c15:sqref>
                        </c15:formulaRef>
                      </c:ext>
                    </c:extLst>
                    <c:strCache>
                      <c:ptCount val="7"/>
                      <c:pt idx="0">
                        <c:v>Brushes on doors</c:v>
                      </c:pt>
                      <c:pt idx="1">
                        <c:v>Infrared film</c:v>
                      </c:pt>
                      <c:pt idx="2">
                        <c:v>Night curtains</c:v>
                      </c:pt>
                      <c:pt idx="3">
                        <c:v>Insulated foundation</c:v>
                      </c:pt>
                      <c:pt idx="4">
                        <c:v>Insulated knee wall</c:v>
                      </c:pt>
                      <c:pt idx="5">
                        <c:v>Self-closing door</c:v>
                      </c:pt>
                      <c:pt idx="6">
                        <c:v>Electronic thermostat</c:v>
                      </c:pt>
                    </c:strCache>
                  </c:strRef>
                </c15:cat>
              </c15:filteredCategoryTitle>
            </c:ext>
          </c:extLst>
        </c:ser>
        <c:ser>
          <c:idx val="1"/>
          <c:order val="1"/>
          <c:spPr>
            <a:solidFill>
              <a:srgbClr val="993366"/>
            </a:solidFill>
            <a:ln w="12667">
              <a:solidFill>
                <a:srgbClr val="000000"/>
              </a:solidFill>
              <a:prstDash val="solid"/>
            </a:ln>
          </c:spPr>
          <c:invertIfNegative val="0"/>
          <c:val>
            <c:numRef>
              <c:f>Sheet1!$B$3:$H$3</c:f>
              <c:numCache>
                <c:formatCode>0.00%</c:formatCode>
                <c:ptCount val="7"/>
                <c:pt idx="0" formatCode="0%">
                  <c:v>0.15</c:v>
                </c:pt>
                <c:pt idx="1">
                  <c:v>6.2E-2</c:v>
                </c:pt>
                <c:pt idx="2">
                  <c:v>8.5999999999999993E-2</c:v>
                </c:pt>
                <c:pt idx="3">
                  <c:v>0.158</c:v>
                </c:pt>
                <c:pt idx="4">
                  <c:v>0.129</c:v>
                </c:pt>
                <c:pt idx="5">
                  <c:v>0.28899999999999998</c:v>
                </c:pt>
                <c:pt idx="6">
                  <c:v>0.70099999999999996</c:v>
                </c:pt>
              </c:numCache>
            </c:numRef>
          </c:val>
          <c:extLst>
            <c:ext xmlns:c15="http://schemas.microsoft.com/office/drawing/2012/chart" uri="{02D57815-91ED-43cb-92C2-25804820EDAC}">
              <c15:filteredSeriesTitle>
                <c15:tx>
                  <c:strRef>
                    <c:extLst>
                      <c:ext uri="{02D57815-91ED-43cb-92C2-25804820EDAC}">
                        <c15:formulaRef>
                          <c15:sqref>Sheet1!$A$3</c15:sqref>
                        </c15:formulaRef>
                      </c:ext>
                    </c:extLst>
                    <c:strCache>
                      <c:ptCount val="1"/>
                      <c:pt idx="0">
                        <c:v>Equipped</c:v>
                      </c:pt>
                    </c:strCache>
                  </c:strRef>
                </c15:tx>
              </c15:filteredSeriesTitle>
            </c:ext>
            <c:ext xmlns:c15="http://schemas.microsoft.com/office/drawing/2012/chart" uri="{02D57815-91ED-43cb-92C2-25804820EDAC}">
              <c15:filteredCategoryTitle>
                <c15:cat>
                  <c:strRef>
                    <c:extLst>
                      <c:ext uri="{02D57815-91ED-43cb-92C2-25804820EDAC}">
                        <c15:formulaRef>
                          <c15:sqref>Sheet1!$B$1:$H$1</c15:sqref>
                        </c15:formulaRef>
                      </c:ext>
                    </c:extLst>
                    <c:strCache>
                      <c:ptCount val="7"/>
                      <c:pt idx="0">
                        <c:v>Brushes on doors</c:v>
                      </c:pt>
                      <c:pt idx="1">
                        <c:v>Infrared film</c:v>
                      </c:pt>
                      <c:pt idx="2">
                        <c:v>Night curtains</c:v>
                      </c:pt>
                      <c:pt idx="3">
                        <c:v>Insulated foundation</c:v>
                      </c:pt>
                      <c:pt idx="4">
                        <c:v>Insulated knee wall</c:v>
                      </c:pt>
                      <c:pt idx="5">
                        <c:v>Self-closing door</c:v>
                      </c:pt>
                      <c:pt idx="6">
                        <c:v>Electronic thermostat</c:v>
                      </c:pt>
                    </c:strCache>
                  </c:strRef>
                </c15:cat>
              </c15:filteredCategoryTitle>
            </c:ext>
          </c:extLst>
        </c:ser>
        <c:dLbls>
          <c:showLegendKey val="0"/>
          <c:showVal val="0"/>
          <c:showCatName val="0"/>
          <c:showSerName val="0"/>
          <c:showPercent val="0"/>
          <c:showBubbleSize val="0"/>
        </c:dLbls>
        <c:gapWidth val="150"/>
        <c:overlap val="100"/>
        <c:axId val="329214616"/>
        <c:axId val="329215008"/>
      </c:barChart>
      <c:catAx>
        <c:axId val="329214616"/>
        <c:scaling>
          <c:orientation val="minMax"/>
        </c:scaling>
        <c:delete val="0"/>
        <c:axPos val="l"/>
        <c:numFmt formatCode="General" sourceLinked="1"/>
        <c:majorTickMark val="out"/>
        <c:minorTickMark val="none"/>
        <c:tickLblPos val="nextTo"/>
        <c:spPr>
          <a:ln w="3166">
            <a:solidFill>
              <a:srgbClr val="000000"/>
            </a:solidFill>
            <a:prstDash val="solid"/>
          </a:ln>
        </c:spPr>
        <c:txPr>
          <a:bodyPr rot="0" vert="horz"/>
          <a:lstStyle/>
          <a:p>
            <a:pPr>
              <a:defRPr sz="799" b="0" i="0" u="none" strike="noStrike" baseline="0">
                <a:solidFill>
                  <a:srgbClr val="000000"/>
                </a:solidFill>
                <a:latin typeface="Times New Roman"/>
                <a:ea typeface="Times New Roman"/>
                <a:cs typeface="Times New Roman"/>
              </a:defRPr>
            </a:pPr>
            <a:endParaRPr lang="en-US"/>
          </a:p>
        </c:txPr>
        <c:crossAx val="329215008"/>
        <c:crosses val="autoZero"/>
        <c:auto val="1"/>
        <c:lblAlgn val="ctr"/>
        <c:lblOffset val="100"/>
        <c:tickLblSkip val="1"/>
        <c:tickMarkSkip val="1"/>
        <c:noMultiLvlLbl val="0"/>
      </c:catAx>
      <c:valAx>
        <c:axId val="329215008"/>
        <c:scaling>
          <c:orientation val="minMax"/>
          <c:max val="1"/>
        </c:scaling>
        <c:delete val="0"/>
        <c:axPos val="b"/>
        <c:numFmt formatCode="0%" sourceLinked="1"/>
        <c:majorTickMark val="out"/>
        <c:minorTickMark val="none"/>
        <c:tickLblPos val="nextTo"/>
        <c:spPr>
          <a:ln w="3166">
            <a:solidFill>
              <a:srgbClr val="000000"/>
            </a:solidFill>
            <a:prstDash val="solid"/>
          </a:ln>
        </c:spPr>
        <c:txPr>
          <a:bodyPr rot="0" vert="horz"/>
          <a:lstStyle/>
          <a:p>
            <a:pPr>
              <a:defRPr sz="799" b="0" i="0" u="none" strike="noStrike" baseline="0">
                <a:solidFill>
                  <a:srgbClr val="000000"/>
                </a:solidFill>
                <a:latin typeface="Times New Roman"/>
                <a:ea typeface="Times New Roman"/>
                <a:cs typeface="Times New Roman"/>
              </a:defRPr>
            </a:pPr>
            <a:endParaRPr lang="en-US"/>
          </a:p>
        </c:txPr>
        <c:crossAx val="329214616"/>
        <c:crosses val="autoZero"/>
        <c:crossBetween val="between"/>
      </c:valAx>
      <c:spPr>
        <a:noFill/>
        <a:ln w="25356">
          <a:noFill/>
        </a:ln>
      </c:spPr>
    </c:plotArea>
    <c:legend>
      <c:legendPos val="b"/>
      <c:layout>
        <c:manualLayout>
          <c:xMode val="edge"/>
          <c:yMode val="edge"/>
          <c:x val="0.4293057616999153"/>
          <c:y val="0.90252698233348638"/>
          <c:w val="0.42159375445481451"/>
          <c:h val="8.6642420818473953E-2"/>
        </c:manualLayout>
      </c:layout>
      <c:overlay val="0"/>
      <c:spPr>
        <a:noFill/>
        <a:ln w="3166">
          <a:solidFill>
            <a:srgbClr val="000000"/>
          </a:solidFill>
          <a:prstDash val="solid"/>
        </a:ln>
      </c:spPr>
      <c:txPr>
        <a:bodyPr/>
        <a:lstStyle/>
        <a:p>
          <a:pPr>
            <a:defRPr sz="733" b="0" i="0" u="none" strike="noStrike" baseline="0">
              <a:solidFill>
                <a:srgbClr val="000000"/>
              </a:solidFill>
              <a:latin typeface="Times New Roman"/>
              <a:ea typeface="Times New Roman"/>
              <a:cs typeface="Times New Roman"/>
            </a:defRPr>
          </a:pPr>
          <a:endParaRPr lang="en-US"/>
        </a:p>
      </c:txPr>
    </c:legend>
    <c:plotVisOnly val="1"/>
    <c:dispBlanksAs val="gap"/>
    <c:showDLblsOverMax val="0"/>
  </c:chart>
  <c:spPr>
    <a:noFill/>
    <a:ln>
      <a:noFill/>
    </a:ln>
  </c:spPr>
  <c:txPr>
    <a:bodyPr/>
    <a:lstStyle/>
    <a:p>
      <a:pPr>
        <a:defRPr sz="898" b="1" i="0" u="none" strike="noStrike" baseline="0">
          <a:solidFill>
            <a:srgbClr val="000000"/>
          </a:solidFill>
          <a:latin typeface="Calibri"/>
          <a:ea typeface="Calibri"/>
          <a:cs typeface="Calibri"/>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3806F-3BFD-4548-80F1-0F273B6DE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1179</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7885</CharactersWithSpaces>
  <SharedDoc>false</SharedDoc>
  <HLinks>
    <vt:vector size="12" baseType="variant">
      <vt:variant>
        <vt:i4>3014700</vt:i4>
      </vt:variant>
      <vt:variant>
        <vt:i4>3</vt:i4>
      </vt:variant>
      <vt:variant>
        <vt:i4>0</vt:i4>
      </vt:variant>
      <vt:variant>
        <vt:i4>5</vt:i4>
      </vt:variant>
      <vt:variant>
        <vt:lpwstr>http://www.greenhousegrower.com/business-management/state-of-theindustry/state-of-the-industry-top-trends-for-2010/</vt:lpwstr>
      </vt:variant>
      <vt:variant>
        <vt:lpwstr/>
      </vt:variant>
      <vt:variant>
        <vt:i4>458753</vt:i4>
      </vt:variant>
      <vt:variant>
        <vt:i4>0</vt:i4>
      </vt:variant>
      <vt:variant>
        <vt:i4>0</vt:i4>
      </vt:variant>
      <vt:variant>
        <vt:i4>5</vt:i4>
      </vt:variant>
      <vt:variant>
        <vt:lpwstr>http://www.greenhousegrower.com/varieties/fall-crops-more-than-mums/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2013-10-09T20:45:00Z</dcterms:created>
  <dcterms:modified xsi:type="dcterms:W3CDTF">2013-10-09T20:45:00Z</dcterms:modified>
</cp:coreProperties>
</file>