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EF" w:rsidRPr="00B502EF" w:rsidRDefault="00B502EF" w:rsidP="00B502EF">
      <w:pPr>
        <w:spacing w:after="60" w:line="240" w:lineRule="auto"/>
        <w:jc w:val="right"/>
        <w:outlineLvl w:val="0"/>
        <w:rPr>
          <w:rFonts w:ascii="Times New Roman" w:eastAsia="Times New Roman" w:hAnsi="Times New Roman" w:cs="Arial"/>
          <w:b/>
          <w:bCs/>
          <w:kern w:val="28"/>
          <w:sz w:val="24"/>
          <w:szCs w:val="32"/>
        </w:rPr>
      </w:pPr>
      <w:bookmarkStart w:id="0" w:name="_GoBack"/>
      <w:bookmarkEnd w:id="0"/>
      <w:r w:rsidRPr="00B502EF">
        <w:rPr>
          <w:rFonts w:ascii="Times New Roman" w:eastAsia="Times New Roman" w:hAnsi="Times New Roman" w:cs="Arial"/>
          <w:b/>
          <w:bCs/>
          <w:kern w:val="28"/>
          <w:sz w:val="24"/>
          <w:szCs w:val="32"/>
        </w:rPr>
        <w:t>Research Poster</w:t>
      </w:r>
    </w:p>
    <w:p w:rsidR="00B502EF" w:rsidRPr="00B502EF" w:rsidRDefault="00B502EF" w:rsidP="00B502EF">
      <w:pPr>
        <w:spacing w:after="60" w:line="240" w:lineRule="auto"/>
        <w:jc w:val="center"/>
        <w:outlineLvl w:val="0"/>
        <w:rPr>
          <w:rFonts w:ascii="Times New Roman" w:eastAsia="Times New Roman" w:hAnsi="Times New Roman" w:cs="Arial"/>
          <w:b/>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
          <w:bCs/>
          <w:kern w:val="28"/>
          <w:sz w:val="24"/>
          <w:szCs w:val="32"/>
        </w:rPr>
      </w:pPr>
      <w:r w:rsidRPr="00B502EF">
        <w:rPr>
          <w:rFonts w:ascii="Times New Roman" w:eastAsia="Times New Roman" w:hAnsi="Times New Roman" w:cs="Arial"/>
          <w:b/>
          <w:bCs/>
          <w:kern w:val="28"/>
          <w:sz w:val="24"/>
          <w:szCs w:val="32"/>
        </w:rPr>
        <w:t>Faculty and Student Perceptions of a Plus/Minus Grading System</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Donna L. Graham</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University of Arkansas</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Donald M. Johnson</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University of Arkansas</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Leslie D. Edgar</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University of Arkansas</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Bruce L. Dixon</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University of Arkansas</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205 Agriculture Building</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University of Arkansas</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Fayetteville, AR 72701</w:t>
      </w:r>
    </w:p>
    <w:p w:rsidR="00B502EF" w:rsidRPr="00B502EF" w:rsidRDefault="00B502EF" w:rsidP="00B502EF">
      <w:pPr>
        <w:spacing w:after="60" w:line="240" w:lineRule="auto"/>
        <w:jc w:val="center"/>
        <w:outlineLvl w:val="0"/>
        <w:rPr>
          <w:rFonts w:ascii="Times New Roman" w:eastAsia="Times New Roman" w:hAnsi="Times New Roman" w:cs="Arial"/>
          <w:bCs/>
          <w:kern w:val="28"/>
          <w:sz w:val="24"/>
          <w:szCs w:val="32"/>
        </w:rPr>
      </w:pPr>
      <w:r w:rsidRPr="00B502EF">
        <w:rPr>
          <w:rFonts w:ascii="Times New Roman" w:eastAsia="Times New Roman" w:hAnsi="Times New Roman" w:cs="Arial"/>
          <w:bCs/>
          <w:kern w:val="28"/>
          <w:sz w:val="24"/>
          <w:szCs w:val="32"/>
        </w:rPr>
        <w:t>(479-575-6346)</w:t>
      </w:r>
    </w:p>
    <w:p w:rsidR="00B502EF" w:rsidRPr="00B502EF" w:rsidRDefault="00B502EF" w:rsidP="00B502EF">
      <w:pPr>
        <w:spacing w:after="60" w:line="240" w:lineRule="auto"/>
        <w:jc w:val="center"/>
        <w:outlineLvl w:val="0"/>
        <w:rPr>
          <w:rFonts w:ascii="Times New Roman" w:eastAsia="Times New Roman" w:hAnsi="Times New Roman" w:cs="Arial"/>
          <w:b/>
          <w:bCs/>
          <w:kern w:val="28"/>
          <w:sz w:val="24"/>
          <w:szCs w:val="32"/>
        </w:rPr>
        <w:sectPr w:rsidR="00B502EF" w:rsidRPr="00B502EF" w:rsidSect="005E7A11">
          <w:footerReference w:type="default" r:id="rId9"/>
          <w:footerReference w:type="first" r:id="rId10"/>
          <w:pgSz w:w="12240" w:h="15840" w:code="1"/>
          <w:pgMar w:top="1440" w:right="1440" w:bottom="1440" w:left="1440" w:header="720" w:footer="720" w:gutter="0"/>
          <w:pgNumType w:start="1"/>
          <w:cols w:space="720"/>
          <w:titlePg/>
          <w:docGrid w:linePitch="360"/>
        </w:sectPr>
      </w:pPr>
      <w:r w:rsidRPr="00B502EF">
        <w:rPr>
          <w:rFonts w:ascii="Times New Roman" w:eastAsia="Times New Roman" w:hAnsi="Times New Roman" w:cs="Arial"/>
          <w:b/>
          <w:bCs/>
          <w:kern w:val="28"/>
          <w:sz w:val="24"/>
          <w:szCs w:val="32"/>
        </w:rPr>
        <w:t>dgraham@uark.edu</w:t>
      </w:r>
    </w:p>
    <w:p w:rsidR="00C72AE7" w:rsidRDefault="00C72AE7" w:rsidP="00C72AE7">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Faculty and Student Perceptions of a Plus/Minus Grading System</w:t>
      </w:r>
    </w:p>
    <w:p w:rsidR="00C72AE7" w:rsidRDefault="00380796" w:rsidP="00C72AE7">
      <w:pPr>
        <w:spacing w:line="240" w:lineRule="auto"/>
        <w:jc w:val="center"/>
        <w:rPr>
          <w:rFonts w:ascii="Times New Roman" w:hAnsi="Times New Roman" w:cs="Times New Roman"/>
          <w:b/>
          <w:sz w:val="24"/>
          <w:szCs w:val="24"/>
        </w:rPr>
      </w:pPr>
      <w:r w:rsidRPr="00C72AE7">
        <w:rPr>
          <w:rFonts w:ascii="Times New Roman" w:hAnsi="Times New Roman" w:cs="Times New Roman"/>
          <w:b/>
          <w:sz w:val="24"/>
          <w:szCs w:val="24"/>
        </w:rPr>
        <w:t>Introduction</w:t>
      </w:r>
    </w:p>
    <w:p w:rsidR="00300143" w:rsidRDefault="007153D8" w:rsidP="00300143">
      <w:pPr>
        <w:spacing w:line="240" w:lineRule="auto"/>
        <w:rPr>
          <w:rFonts w:ascii="Times New Roman" w:hAnsi="Times New Roman" w:cs="Times New Roman"/>
          <w:sz w:val="24"/>
          <w:szCs w:val="24"/>
        </w:rPr>
      </w:pPr>
      <w:r w:rsidRPr="007153D8">
        <w:rPr>
          <w:rFonts w:ascii="Times New Roman" w:hAnsi="Times New Roman" w:cs="Times New Roman"/>
          <w:sz w:val="24"/>
          <w:szCs w:val="24"/>
        </w:rPr>
        <w:t xml:space="preserve">A common view </w:t>
      </w:r>
      <w:r w:rsidR="00C72AE7">
        <w:rPr>
          <w:rFonts w:ascii="Times New Roman" w:hAnsi="Times New Roman" w:cs="Times New Roman"/>
          <w:sz w:val="24"/>
          <w:szCs w:val="24"/>
        </w:rPr>
        <w:t xml:space="preserve">of </w:t>
      </w:r>
      <w:r w:rsidRPr="007153D8">
        <w:rPr>
          <w:rFonts w:ascii="Times New Roman" w:hAnsi="Times New Roman" w:cs="Times New Roman"/>
          <w:sz w:val="24"/>
          <w:szCs w:val="24"/>
        </w:rPr>
        <w:t>the purpose of grading college courses is that grades measure mast</w:t>
      </w:r>
      <w:r w:rsidR="00C32994">
        <w:rPr>
          <w:rFonts w:ascii="Times New Roman" w:hAnsi="Times New Roman" w:cs="Times New Roman"/>
          <w:sz w:val="24"/>
          <w:szCs w:val="24"/>
        </w:rPr>
        <w:t>ery of a subject.  Students</w:t>
      </w:r>
      <w:r w:rsidRPr="007153D8">
        <w:rPr>
          <w:rFonts w:ascii="Times New Roman" w:hAnsi="Times New Roman" w:cs="Times New Roman"/>
          <w:sz w:val="24"/>
          <w:szCs w:val="24"/>
        </w:rPr>
        <w:t xml:space="preserve"> view grades as a key to future jobs and/or admission to graduate or professional school, maintaining scholarships, and indicators of self-worth and self-esteem</w:t>
      </w:r>
      <w:r w:rsidRPr="009405D1">
        <w:rPr>
          <w:rFonts w:ascii="Times New Roman" w:hAnsi="Times New Roman" w:cs="Times New Roman"/>
          <w:sz w:val="24"/>
          <w:szCs w:val="24"/>
        </w:rPr>
        <w:t xml:space="preserve">. </w:t>
      </w:r>
      <w:r w:rsidR="00181773" w:rsidRPr="009405D1">
        <w:rPr>
          <w:rFonts w:ascii="Times New Roman" w:hAnsi="Times New Roman" w:cs="Times New Roman"/>
          <w:sz w:val="24"/>
          <w:szCs w:val="24"/>
        </w:rPr>
        <w:t xml:space="preserve"> In recent years, more universities have dropped the traditional straight letter system and adopted a plus (+) and minus (-) grading system.  A primary justification for this change was that the plus/minus system is fairer and/or more precise because it permits greater differentiation among levels of student performance by narrowing grade intervals (Morgan, Tallman, &amp; Williams, 2007).</w:t>
      </w:r>
      <w:r w:rsidR="00181773">
        <w:rPr>
          <w:rFonts w:ascii="Times New Roman" w:hAnsi="Times New Roman" w:cs="Times New Roman"/>
          <w:sz w:val="24"/>
          <w:szCs w:val="24"/>
        </w:rPr>
        <w:t xml:space="preserve">  </w:t>
      </w:r>
      <w:r w:rsidRPr="007153D8">
        <w:rPr>
          <w:rFonts w:ascii="Times New Roman" w:hAnsi="Times New Roman" w:cs="Times New Roman"/>
          <w:sz w:val="24"/>
          <w:szCs w:val="24"/>
        </w:rPr>
        <w:t>In fall 2005, the [College] changed its grading policy to allow instructors to assign plus and minus grades should they so choose.  The present study used data generated by student and faculty surveys and actual grade distributions from 2000-2012, to assess the impacts of switching grading systems both in terms of perceptions as well course grade point averages (CGPA</w:t>
      </w:r>
      <w:r w:rsidRPr="00180AF4">
        <w:rPr>
          <w:rFonts w:ascii="Times New Roman" w:hAnsi="Times New Roman" w:cs="Times New Roman"/>
          <w:sz w:val="24"/>
          <w:szCs w:val="24"/>
        </w:rPr>
        <w:t>).</w:t>
      </w:r>
      <w:r w:rsidR="00C32994">
        <w:t xml:space="preserve"> </w:t>
      </w:r>
      <w:r w:rsidR="00180AF4" w:rsidRPr="00180AF4">
        <w:rPr>
          <w:rFonts w:ascii="Times New Roman" w:hAnsi="Times New Roman" w:cs="Times New Roman"/>
          <w:sz w:val="24"/>
          <w:szCs w:val="24"/>
        </w:rPr>
        <w:t>This study aligns with research priority 4: Meaningful, Engaged Learning in All Environments</w:t>
      </w:r>
      <w:r w:rsidR="00C32994">
        <w:rPr>
          <w:rFonts w:ascii="Times New Roman" w:hAnsi="Times New Roman" w:cs="Times New Roman"/>
          <w:sz w:val="24"/>
          <w:szCs w:val="24"/>
        </w:rPr>
        <w:t xml:space="preserve"> as grades</w:t>
      </w:r>
      <w:r w:rsidR="00C32994" w:rsidRPr="00C32994">
        <w:rPr>
          <w:rFonts w:ascii="Times New Roman" w:hAnsi="Times New Roman" w:cs="Times New Roman"/>
          <w:sz w:val="24"/>
          <w:szCs w:val="24"/>
        </w:rPr>
        <w:t xml:space="preserve"> are motivators for </w:t>
      </w:r>
      <w:r w:rsidR="00C32994">
        <w:rPr>
          <w:rFonts w:ascii="Times New Roman" w:hAnsi="Times New Roman" w:cs="Times New Roman"/>
          <w:sz w:val="24"/>
          <w:szCs w:val="24"/>
        </w:rPr>
        <w:t xml:space="preserve">meaningful </w:t>
      </w:r>
      <w:r w:rsidR="00055B8A">
        <w:rPr>
          <w:rFonts w:ascii="Times New Roman" w:hAnsi="Times New Roman" w:cs="Times New Roman"/>
          <w:sz w:val="24"/>
          <w:szCs w:val="24"/>
        </w:rPr>
        <w:t>learning.</w:t>
      </w:r>
    </w:p>
    <w:p w:rsidR="00C32994" w:rsidRDefault="007153D8" w:rsidP="00C32994">
      <w:pPr>
        <w:spacing w:line="240" w:lineRule="auto"/>
        <w:jc w:val="center"/>
        <w:rPr>
          <w:rFonts w:ascii="Times New Roman" w:hAnsi="Times New Roman" w:cs="Times New Roman"/>
          <w:b/>
          <w:sz w:val="24"/>
          <w:szCs w:val="24"/>
        </w:rPr>
      </w:pPr>
      <w:r w:rsidRPr="00380796">
        <w:rPr>
          <w:rFonts w:ascii="Times New Roman" w:hAnsi="Times New Roman" w:cs="Times New Roman"/>
          <w:b/>
          <w:sz w:val="24"/>
          <w:szCs w:val="24"/>
        </w:rPr>
        <w:t>Theoretical Framework</w:t>
      </w:r>
    </w:p>
    <w:p w:rsidR="007153D8" w:rsidRDefault="00C32994" w:rsidP="00C32994">
      <w:pPr>
        <w:spacing w:line="240" w:lineRule="auto"/>
        <w:rPr>
          <w:rFonts w:ascii="Times New Roman" w:hAnsi="Times New Roman" w:cs="Times New Roman"/>
          <w:sz w:val="24"/>
          <w:szCs w:val="24"/>
        </w:rPr>
      </w:pPr>
      <w:r>
        <w:rPr>
          <w:rFonts w:ascii="Times New Roman" w:hAnsi="Times New Roman" w:cs="Times New Roman"/>
          <w:b/>
          <w:sz w:val="24"/>
          <w:szCs w:val="24"/>
        </w:rPr>
        <w:t>V</w:t>
      </w:r>
      <w:r w:rsidR="007153D8" w:rsidRPr="007153D8">
        <w:rPr>
          <w:rFonts w:ascii="Times New Roman" w:hAnsi="Times New Roman" w:cs="Times New Roman"/>
          <w:sz w:val="24"/>
          <w:szCs w:val="24"/>
        </w:rPr>
        <w:t>room’s (1964) Expectancy Theory of Motivation (ETM) is a commonly accepted theory explaining human behavior, including student behavior in college courses</w:t>
      </w:r>
      <w:r w:rsidR="007153D8" w:rsidRPr="007153D8">
        <w:rPr>
          <w:rFonts w:ascii="Times New Roman" w:eastAsia="Times New Roman" w:hAnsi="Times New Roman" w:cs="Times New Roman"/>
          <w:color w:val="000000"/>
          <w:sz w:val="24"/>
          <w:szCs w:val="24"/>
        </w:rPr>
        <w:t xml:space="preserve">.  </w:t>
      </w:r>
      <w:r w:rsidR="00D13140" w:rsidRPr="007153D8">
        <w:rPr>
          <w:rFonts w:ascii="Times New Roman" w:eastAsia="Times New Roman" w:hAnsi="Times New Roman" w:cs="Times New Roman"/>
          <w:color w:val="000000"/>
          <w:sz w:val="24"/>
          <w:szCs w:val="24"/>
        </w:rPr>
        <w:t xml:space="preserve">ETM holds that people are motivated by the belief that their efforts will lead to a desired outcome (Redmond, 2010).  </w:t>
      </w:r>
      <w:r w:rsidR="007153D8" w:rsidRPr="007153D8">
        <w:rPr>
          <w:rFonts w:ascii="Times New Roman" w:eastAsia="Times New Roman" w:hAnsi="Times New Roman" w:cs="Times New Roman"/>
          <w:color w:val="000000"/>
          <w:sz w:val="24"/>
          <w:szCs w:val="24"/>
        </w:rPr>
        <w:t>Choices are based on perceptions, attitudes, and beliefs as a consequence of their desires to enhance pleasure and avoid pain.  Thus, higher grades bring pleasure; lower grades cause emotional (and in some cases financial) pain for some students</w:t>
      </w:r>
      <w:r w:rsidR="00D13140">
        <w:rPr>
          <w:rFonts w:ascii="Times New Roman" w:eastAsia="Times New Roman" w:hAnsi="Times New Roman" w:cs="Times New Roman"/>
          <w:color w:val="000000"/>
          <w:sz w:val="24"/>
          <w:szCs w:val="24"/>
        </w:rPr>
        <w:t xml:space="preserve">. </w:t>
      </w:r>
      <w:r w:rsidR="007153D8" w:rsidRPr="007153D8">
        <w:rPr>
          <w:rFonts w:ascii="Times New Roman" w:eastAsia="Times New Roman" w:hAnsi="Times New Roman" w:cs="Times New Roman"/>
          <w:color w:val="000000"/>
          <w:sz w:val="24"/>
          <w:szCs w:val="24"/>
        </w:rPr>
        <w:t xml:space="preserve">This theory presents motivation as a multiplicative function of expectancy, instrumentality, and valence, illustrated by E x I x V = Effort.  Expectancy (E) can be described as the belief that higher or increased exertion will yield better performance.  Valence (V) means “value” and refers to beliefs about outcome desirability (Redmond, 2010).  Valence can be thought of as the importance a person places on an expected outcome such as </w:t>
      </w:r>
      <w:r w:rsidR="007153D8" w:rsidRPr="007153D8">
        <w:rPr>
          <w:rFonts w:ascii="Times New Roman" w:hAnsi="Times New Roman" w:cs="Times New Roman"/>
          <w:sz w:val="24"/>
          <w:szCs w:val="24"/>
        </w:rPr>
        <w:t xml:space="preserve">grades in a course (Pollio &amp; Beck, 2000). </w:t>
      </w:r>
    </w:p>
    <w:p w:rsidR="00181773" w:rsidRDefault="00181773" w:rsidP="00380796">
      <w:pPr>
        <w:spacing w:after="0" w:line="240" w:lineRule="auto"/>
        <w:jc w:val="center"/>
        <w:rPr>
          <w:rFonts w:ascii="Times New Roman" w:hAnsi="Times New Roman" w:cs="Times New Roman"/>
          <w:b/>
          <w:sz w:val="24"/>
          <w:szCs w:val="24"/>
        </w:rPr>
      </w:pPr>
      <w:r w:rsidRPr="00380796">
        <w:rPr>
          <w:rFonts w:ascii="Times New Roman" w:hAnsi="Times New Roman" w:cs="Times New Roman"/>
          <w:b/>
          <w:sz w:val="24"/>
          <w:szCs w:val="24"/>
        </w:rPr>
        <w:t>Purpose and Objective</w:t>
      </w:r>
    </w:p>
    <w:p w:rsidR="00380796" w:rsidRPr="00380796" w:rsidRDefault="00380796" w:rsidP="00380796">
      <w:pPr>
        <w:spacing w:after="0" w:line="240" w:lineRule="auto"/>
        <w:jc w:val="center"/>
        <w:rPr>
          <w:rFonts w:ascii="Times New Roman" w:hAnsi="Times New Roman" w:cs="Times New Roman"/>
          <w:b/>
          <w:sz w:val="24"/>
          <w:szCs w:val="24"/>
        </w:rPr>
      </w:pPr>
    </w:p>
    <w:p w:rsidR="00181773" w:rsidRPr="00181773" w:rsidRDefault="00181773" w:rsidP="00181773">
      <w:pPr>
        <w:spacing w:after="0" w:line="240" w:lineRule="auto"/>
        <w:rPr>
          <w:rFonts w:ascii="Times New Roman" w:hAnsi="Times New Roman" w:cs="Times New Roman"/>
          <w:sz w:val="24"/>
          <w:szCs w:val="24"/>
        </w:rPr>
      </w:pPr>
      <w:r w:rsidRPr="00181773">
        <w:rPr>
          <w:rFonts w:ascii="Times New Roman" w:hAnsi="Times New Roman" w:cs="Times New Roman"/>
          <w:sz w:val="24"/>
          <w:szCs w:val="24"/>
        </w:rPr>
        <w:t>The purposes of this study were to describe student and faculty perceptions of the plus/minus grading system currently used in [College] at the [University] and to determine the effects of the plus/minus grading system on course grade point averages.  Specific objectives were to:</w:t>
      </w:r>
    </w:p>
    <w:p w:rsidR="00181773" w:rsidRPr="00181773" w:rsidRDefault="00181773" w:rsidP="00380796">
      <w:pPr>
        <w:numPr>
          <w:ilvl w:val="0"/>
          <w:numId w:val="1"/>
        </w:numPr>
        <w:spacing w:after="0" w:line="240" w:lineRule="auto"/>
        <w:ind w:left="720"/>
        <w:contextualSpacing/>
        <w:rPr>
          <w:rFonts w:ascii="Times New Roman" w:hAnsi="Times New Roman" w:cs="Times New Roman"/>
          <w:sz w:val="24"/>
          <w:szCs w:val="24"/>
        </w:rPr>
      </w:pPr>
      <w:r w:rsidRPr="00181773">
        <w:rPr>
          <w:rFonts w:ascii="Times New Roman" w:hAnsi="Times New Roman" w:cs="Times New Roman"/>
          <w:sz w:val="24"/>
          <w:szCs w:val="24"/>
        </w:rPr>
        <w:t>Describe and compare student and faculty perceptions of the plus/minus grading system;</w:t>
      </w:r>
    </w:p>
    <w:p w:rsidR="00181773" w:rsidRDefault="00181773" w:rsidP="009405D1">
      <w:pPr>
        <w:numPr>
          <w:ilvl w:val="0"/>
          <w:numId w:val="1"/>
        </w:numPr>
        <w:spacing w:after="0" w:line="240" w:lineRule="auto"/>
        <w:ind w:left="720"/>
        <w:contextualSpacing/>
        <w:rPr>
          <w:rFonts w:ascii="Times New Roman" w:hAnsi="Times New Roman" w:cs="Times New Roman"/>
          <w:sz w:val="24"/>
          <w:szCs w:val="24"/>
        </w:rPr>
      </w:pPr>
      <w:r w:rsidRPr="00181773">
        <w:rPr>
          <w:rFonts w:ascii="Times New Roman" w:hAnsi="Times New Roman" w:cs="Times New Roman"/>
          <w:sz w:val="24"/>
          <w:szCs w:val="24"/>
        </w:rPr>
        <w:t>Document and analyze the effects of the plus/minus grading system on course-level grade point averages.</w:t>
      </w:r>
    </w:p>
    <w:p w:rsidR="007153D8" w:rsidRDefault="00363489" w:rsidP="0038079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380796" w:rsidRPr="00380796" w:rsidRDefault="00380796" w:rsidP="00380796">
      <w:pPr>
        <w:spacing w:after="0" w:line="240" w:lineRule="auto"/>
        <w:jc w:val="center"/>
        <w:rPr>
          <w:rFonts w:ascii="Times New Roman" w:hAnsi="Times New Roman" w:cs="Times New Roman"/>
          <w:b/>
          <w:sz w:val="24"/>
          <w:szCs w:val="24"/>
        </w:rPr>
      </w:pPr>
    </w:p>
    <w:p w:rsidR="00862169" w:rsidRDefault="00181773" w:rsidP="00862169">
      <w:pPr>
        <w:spacing w:after="0" w:line="240" w:lineRule="auto"/>
        <w:rPr>
          <w:rFonts w:ascii="Times New Roman" w:hAnsi="Times New Roman" w:cs="Times New Roman"/>
          <w:sz w:val="24"/>
          <w:szCs w:val="24"/>
        </w:rPr>
      </w:pPr>
      <w:r w:rsidRPr="00181773">
        <w:rPr>
          <w:rFonts w:ascii="Times New Roman" w:hAnsi="Times New Roman" w:cs="Times New Roman"/>
          <w:sz w:val="24"/>
          <w:szCs w:val="24"/>
        </w:rPr>
        <w:t xml:space="preserve">Student and faculty perceptions of the plus/minus grading system were assessed through two surveys conducted during the spring 2013 semester.  </w:t>
      </w:r>
      <w:r w:rsidRPr="00881BC7">
        <w:rPr>
          <w:rFonts w:ascii="Times New Roman" w:hAnsi="Times New Roman" w:cs="Times New Roman"/>
          <w:sz w:val="24"/>
          <w:szCs w:val="24"/>
        </w:rPr>
        <w:t xml:space="preserve">The population for the student survey consisted of all undergraduates </w:t>
      </w:r>
      <w:r>
        <w:rPr>
          <w:rFonts w:ascii="Times New Roman" w:hAnsi="Times New Roman" w:cs="Times New Roman"/>
          <w:sz w:val="24"/>
          <w:szCs w:val="24"/>
        </w:rPr>
        <w:t>with majors</w:t>
      </w:r>
      <w:r w:rsidRPr="00881BC7">
        <w:rPr>
          <w:rFonts w:ascii="Times New Roman" w:hAnsi="Times New Roman" w:cs="Times New Roman"/>
          <w:sz w:val="24"/>
          <w:szCs w:val="24"/>
        </w:rPr>
        <w:t xml:space="preserve"> </w:t>
      </w:r>
      <w:r>
        <w:rPr>
          <w:rFonts w:ascii="Times New Roman" w:hAnsi="Times New Roman" w:cs="Times New Roman"/>
          <w:sz w:val="24"/>
          <w:szCs w:val="24"/>
        </w:rPr>
        <w:t>in [College]</w:t>
      </w:r>
      <w:r w:rsidRPr="00881BC7">
        <w:rPr>
          <w:rFonts w:ascii="Times New Roman" w:hAnsi="Times New Roman" w:cs="Times New Roman"/>
          <w:sz w:val="24"/>
          <w:szCs w:val="24"/>
        </w:rPr>
        <w:t xml:space="preserve"> during the spring 2013 semester (</w:t>
      </w:r>
      <w:r w:rsidRPr="00881BC7">
        <w:rPr>
          <w:rFonts w:ascii="Times New Roman" w:hAnsi="Times New Roman" w:cs="Times New Roman"/>
          <w:i/>
          <w:sz w:val="24"/>
          <w:szCs w:val="24"/>
        </w:rPr>
        <w:t>N</w:t>
      </w:r>
      <w:r w:rsidRPr="00881BC7">
        <w:rPr>
          <w:rFonts w:ascii="Times New Roman" w:hAnsi="Times New Roman" w:cs="Times New Roman"/>
          <w:sz w:val="24"/>
          <w:szCs w:val="24"/>
        </w:rPr>
        <w:t xml:space="preserve"> = 1,704).  A stratified (by academic department) random cluster sampling procedure (Trochim, 2001) was used to select students enrolled in 12 (14.5%) classes to participate in the study.  In each selected course, the survey instruments were distributed by the researchers or the instructor </w:t>
      </w:r>
      <w:r w:rsidRPr="00881BC7">
        <w:rPr>
          <w:rFonts w:ascii="Times New Roman" w:hAnsi="Times New Roman" w:cs="Times New Roman"/>
          <w:sz w:val="24"/>
          <w:szCs w:val="24"/>
        </w:rPr>
        <w:lastRenderedPageBreak/>
        <w:t>during a regularly scheduled class meeting</w:t>
      </w:r>
      <w:r>
        <w:rPr>
          <w:rFonts w:ascii="Times New Roman" w:hAnsi="Times New Roman" w:cs="Times New Roman"/>
          <w:sz w:val="24"/>
          <w:szCs w:val="24"/>
        </w:rPr>
        <w:t>.</w:t>
      </w:r>
      <w:r w:rsidR="00862169">
        <w:rPr>
          <w:rFonts w:ascii="Times New Roman" w:hAnsi="Times New Roman" w:cs="Times New Roman"/>
          <w:sz w:val="24"/>
          <w:szCs w:val="24"/>
        </w:rPr>
        <w:t xml:space="preserve"> </w:t>
      </w:r>
      <w:r w:rsidR="00380796">
        <w:rPr>
          <w:rFonts w:ascii="Times New Roman" w:hAnsi="Times New Roman" w:cs="Times New Roman"/>
          <w:sz w:val="24"/>
          <w:szCs w:val="24"/>
        </w:rPr>
        <w:t xml:space="preserve"> </w:t>
      </w:r>
      <w:r w:rsidR="00862169" w:rsidRPr="00862169">
        <w:rPr>
          <w:rFonts w:ascii="Times New Roman" w:hAnsi="Times New Roman" w:cs="Times New Roman"/>
          <w:sz w:val="24"/>
          <w:szCs w:val="24"/>
        </w:rPr>
        <w:t>The three-part student instrument was developed by the researchers based on a review of related literature (Baker &amp; Bates, 1999; Bressette, 2002; Docan, 2006; McClure &amp; Spector, 2005; Morgan et al., 2007).  Part one contained 10 items.  Nine items,  measured on a five-point Likert-type scale, were designed to assess student perceptions of the plus/minus grading system; the</w:t>
      </w:r>
      <w:r w:rsidR="00862169" w:rsidRPr="00862169">
        <w:rPr>
          <w:rFonts w:ascii="Times New Roman" w:hAnsi="Times New Roman" w:cs="Times New Roman"/>
          <w:sz w:val="24"/>
          <w:szCs w:val="24"/>
          <w:vertAlign w:val="superscript"/>
        </w:rPr>
        <w:t xml:space="preserve"> </w:t>
      </w:r>
      <w:r w:rsidR="00862169" w:rsidRPr="00862169">
        <w:rPr>
          <w:rFonts w:ascii="Times New Roman" w:hAnsi="Times New Roman" w:cs="Times New Roman"/>
          <w:sz w:val="24"/>
          <w:szCs w:val="24"/>
        </w:rPr>
        <w:t>last item asked students to indicate the percentage of courses they had completed in [College] that used the plus/minus grading system.  Part two inquired about three demographic items (gender, academic classification, and cumulative university GPA).  Part three invited respondents to provide additional written comments about any aspect of the plus/minus grading system.</w:t>
      </w:r>
      <w:r w:rsidR="00363489">
        <w:rPr>
          <w:rFonts w:ascii="Times New Roman" w:hAnsi="Times New Roman" w:cs="Times New Roman"/>
          <w:sz w:val="24"/>
          <w:szCs w:val="24"/>
        </w:rPr>
        <w:t xml:space="preserve">  </w:t>
      </w:r>
      <w:r w:rsidR="00862169" w:rsidRPr="00862169">
        <w:rPr>
          <w:rFonts w:ascii="Times New Roman" w:hAnsi="Times New Roman" w:cs="Times New Roman"/>
          <w:sz w:val="24"/>
          <w:szCs w:val="24"/>
        </w:rPr>
        <w:t>The instrument was reviewed by a panel of five experts and was judged to possess face and content validity.  The instrument was pilot-tested to assess instrument stability.  The coefficients of stability (</w:t>
      </w:r>
      <w:r w:rsidR="00862169" w:rsidRPr="00862169">
        <w:rPr>
          <w:rFonts w:ascii="Times New Roman" w:hAnsi="Times New Roman" w:cs="Times New Roman"/>
          <w:i/>
          <w:sz w:val="24"/>
          <w:szCs w:val="24"/>
        </w:rPr>
        <w:t>r</w:t>
      </w:r>
      <w:r w:rsidR="00862169" w:rsidRPr="00862169">
        <w:rPr>
          <w:rFonts w:ascii="Times New Roman" w:hAnsi="Times New Roman" w:cs="Times New Roman"/>
          <w:sz w:val="24"/>
          <w:szCs w:val="24"/>
        </w:rPr>
        <w:t>) for Parts one and two were .77 and .98, respectively.  According to Mitchell and Jolley (2010), coefficients of .70 or greater indicate an acceptable degree of instrument stability.</w:t>
      </w:r>
    </w:p>
    <w:p w:rsidR="00862169" w:rsidRDefault="00862169" w:rsidP="00862169">
      <w:pPr>
        <w:spacing w:after="0" w:line="240" w:lineRule="auto"/>
        <w:rPr>
          <w:rFonts w:ascii="Times New Roman" w:hAnsi="Times New Roman" w:cs="Times New Roman"/>
          <w:sz w:val="24"/>
          <w:szCs w:val="24"/>
        </w:rPr>
      </w:pPr>
    </w:p>
    <w:p w:rsidR="00862169" w:rsidRDefault="00862169" w:rsidP="00862169">
      <w:pPr>
        <w:spacing w:after="0" w:line="240" w:lineRule="auto"/>
        <w:rPr>
          <w:rFonts w:ascii="Times New Roman" w:hAnsi="Times New Roman" w:cs="Times New Roman"/>
          <w:sz w:val="24"/>
          <w:szCs w:val="24"/>
        </w:rPr>
      </w:pPr>
      <w:r w:rsidRPr="00881BC7">
        <w:rPr>
          <w:rFonts w:ascii="Times New Roman" w:hAnsi="Times New Roman" w:cs="Times New Roman"/>
          <w:sz w:val="24"/>
          <w:szCs w:val="24"/>
        </w:rPr>
        <w:t>The population (</w:t>
      </w:r>
      <w:r w:rsidRPr="00881BC7">
        <w:rPr>
          <w:rFonts w:ascii="Times New Roman" w:hAnsi="Times New Roman" w:cs="Times New Roman"/>
          <w:i/>
          <w:sz w:val="24"/>
          <w:szCs w:val="24"/>
        </w:rPr>
        <w:t xml:space="preserve">N </w:t>
      </w:r>
      <w:r w:rsidRPr="00881BC7">
        <w:rPr>
          <w:rFonts w:ascii="Times New Roman" w:hAnsi="Times New Roman" w:cs="Times New Roman"/>
          <w:sz w:val="24"/>
          <w:szCs w:val="24"/>
        </w:rPr>
        <w:t>= 124) for the faculty survey consisted of all ranked faculty members (instructor through professor) who had tau</w:t>
      </w:r>
      <w:r>
        <w:rPr>
          <w:rFonts w:ascii="Times New Roman" w:hAnsi="Times New Roman" w:cs="Times New Roman"/>
          <w:sz w:val="24"/>
          <w:szCs w:val="24"/>
        </w:rPr>
        <w:t>ght at least one course in [College]</w:t>
      </w:r>
      <w:r w:rsidRPr="00881BC7">
        <w:rPr>
          <w:rFonts w:ascii="Times New Roman" w:hAnsi="Times New Roman" w:cs="Times New Roman"/>
          <w:sz w:val="24"/>
          <w:szCs w:val="24"/>
        </w:rPr>
        <w:t xml:space="preserve"> during the 2011-2012 or 2012-2013 academic year and were still employed by the university during spring 2013.  All members of the population were surveyed.  The instrument was administered online using Qualtrics (2013) survey software</w:t>
      </w:r>
      <w:r>
        <w:rPr>
          <w:rFonts w:ascii="Times New Roman" w:hAnsi="Times New Roman" w:cs="Times New Roman"/>
          <w:sz w:val="24"/>
          <w:szCs w:val="24"/>
        </w:rPr>
        <w:t xml:space="preserve">. </w:t>
      </w:r>
      <w:r w:rsidRPr="00881BC7">
        <w:rPr>
          <w:rFonts w:ascii="Times New Roman" w:hAnsi="Times New Roman" w:cs="Times New Roman"/>
          <w:sz w:val="24"/>
          <w:szCs w:val="24"/>
        </w:rPr>
        <w:t xml:space="preserve">  After two email follow-up contacts, 82 usable responses were received for a 66.1% response rate</w:t>
      </w:r>
      <w:r>
        <w:rPr>
          <w:rFonts w:ascii="Times New Roman" w:hAnsi="Times New Roman" w:cs="Times New Roman"/>
          <w:sz w:val="24"/>
          <w:szCs w:val="24"/>
        </w:rPr>
        <w:t xml:space="preserve">.  </w:t>
      </w:r>
      <w:r w:rsidRPr="00881BC7">
        <w:rPr>
          <w:rFonts w:ascii="Times New Roman" w:hAnsi="Times New Roman" w:cs="Times New Roman"/>
          <w:sz w:val="24"/>
          <w:szCs w:val="24"/>
        </w:rPr>
        <w:t>To determine instrument stability, six</w:t>
      </w:r>
      <w:r>
        <w:rPr>
          <w:rFonts w:ascii="Times New Roman" w:hAnsi="Times New Roman" w:cs="Times New Roman"/>
          <w:sz w:val="24"/>
          <w:szCs w:val="24"/>
        </w:rPr>
        <w:t xml:space="preserve"> faculty members </w:t>
      </w:r>
      <w:r w:rsidRPr="00881BC7">
        <w:rPr>
          <w:rFonts w:ascii="Times New Roman" w:hAnsi="Times New Roman" w:cs="Times New Roman"/>
          <w:sz w:val="24"/>
          <w:szCs w:val="24"/>
        </w:rPr>
        <w:t>completed paper copies of the instrument twice (at a three week interval) and coefficients of stability (</w:t>
      </w:r>
      <w:r w:rsidRPr="00881BC7">
        <w:rPr>
          <w:rFonts w:ascii="Times New Roman" w:hAnsi="Times New Roman" w:cs="Times New Roman"/>
          <w:i/>
          <w:sz w:val="24"/>
          <w:szCs w:val="24"/>
        </w:rPr>
        <w:t>r</w:t>
      </w:r>
      <w:r w:rsidRPr="00881BC7">
        <w:rPr>
          <w:rFonts w:ascii="Times New Roman" w:hAnsi="Times New Roman" w:cs="Times New Roman"/>
          <w:sz w:val="24"/>
          <w:szCs w:val="24"/>
        </w:rPr>
        <w:t xml:space="preserve">) of .89, .98, and 1.0 were obtained for Parts </w:t>
      </w:r>
      <w:r>
        <w:rPr>
          <w:rFonts w:ascii="Times New Roman" w:hAnsi="Times New Roman" w:cs="Times New Roman"/>
          <w:sz w:val="24"/>
          <w:szCs w:val="24"/>
        </w:rPr>
        <w:t>o</w:t>
      </w:r>
      <w:r w:rsidRPr="00881BC7">
        <w:rPr>
          <w:rFonts w:ascii="Times New Roman" w:hAnsi="Times New Roman" w:cs="Times New Roman"/>
          <w:sz w:val="24"/>
          <w:szCs w:val="24"/>
        </w:rPr>
        <w:t xml:space="preserve">ne, </w:t>
      </w:r>
      <w:r>
        <w:rPr>
          <w:rFonts w:ascii="Times New Roman" w:hAnsi="Times New Roman" w:cs="Times New Roman"/>
          <w:sz w:val="24"/>
          <w:szCs w:val="24"/>
        </w:rPr>
        <w:t>t</w:t>
      </w:r>
      <w:r w:rsidRPr="00881BC7">
        <w:rPr>
          <w:rFonts w:ascii="Times New Roman" w:hAnsi="Times New Roman" w:cs="Times New Roman"/>
          <w:sz w:val="24"/>
          <w:szCs w:val="24"/>
        </w:rPr>
        <w:t xml:space="preserve">wo, and </w:t>
      </w:r>
      <w:r>
        <w:rPr>
          <w:rFonts w:ascii="Times New Roman" w:hAnsi="Times New Roman" w:cs="Times New Roman"/>
          <w:sz w:val="24"/>
          <w:szCs w:val="24"/>
        </w:rPr>
        <w:t>t</w:t>
      </w:r>
      <w:r w:rsidRPr="00881BC7">
        <w:rPr>
          <w:rFonts w:ascii="Times New Roman" w:hAnsi="Times New Roman" w:cs="Times New Roman"/>
          <w:sz w:val="24"/>
          <w:szCs w:val="24"/>
        </w:rPr>
        <w:t>hree, respectively</w:t>
      </w:r>
      <w:r w:rsidR="009405D1">
        <w:rPr>
          <w:rFonts w:ascii="Times New Roman" w:hAnsi="Times New Roman" w:cs="Times New Roman"/>
          <w:sz w:val="24"/>
          <w:szCs w:val="24"/>
        </w:rPr>
        <w:t>.</w:t>
      </w:r>
      <w:r w:rsidR="00363489">
        <w:rPr>
          <w:rFonts w:ascii="Times New Roman" w:hAnsi="Times New Roman" w:cs="Times New Roman"/>
          <w:sz w:val="24"/>
          <w:szCs w:val="24"/>
        </w:rPr>
        <w:t xml:space="preserve"> </w:t>
      </w:r>
      <w:r w:rsidR="00363489" w:rsidRPr="00881BC7">
        <w:rPr>
          <w:rFonts w:ascii="Times New Roman" w:hAnsi="Times New Roman" w:cs="Times New Roman"/>
          <w:sz w:val="24"/>
          <w:szCs w:val="24"/>
        </w:rPr>
        <w:t>The online instrument was pilot-te</w:t>
      </w:r>
      <w:r w:rsidR="00363489">
        <w:rPr>
          <w:rFonts w:ascii="Times New Roman" w:hAnsi="Times New Roman" w:cs="Times New Roman"/>
          <w:sz w:val="24"/>
          <w:szCs w:val="24"/>
        </w:rPr>
        <w:t>sted with three faculty members.</w:t>
      </w:r>
    </w:p>
    <w:p w:rsidR="00862169" w:rsidRDefault="00862169" w:rsidP="00862169">
      <w:pPr>
        <w:spacing w:after="0" w:line="240" w:lineRule="auto"/>
        <w:rPr>
          <w:rFonts w:ascii="Times New Roman" w:hAnsi="Times New Roman" w:cs="Times New Roman"/>
          <w:sz w:val="24"/>
          <w:szCs w:val="24"/>
        </w:rPr>
      </w:pPr>
    </w:p>
    <w:p w:rsidR="007153D8" w:rsidRPr="00380796" w:rsidRDefault="007153D8" w:rsidP="00380796">
      <w:pPr>
        <w:jc w:val="center"/>
        <w:rPr>
          <w:rFonts w:ascii="Times New Roman" w:hAnsi="Times New Roman" w:cs="Times New Roman"/>
          <w:b/>
          <w:sz w:val="24"/>
          <w:szCs w:val="24"/>
        </w:rPr>
      </w:pPr>
      <w:r w:rsidRPr="00380796">
        <w:rPr>
          <w:rFonts w:ascii="Times New Roman" w:hAnsi="Times New Roman" w:cs="Times New Roman"/>
          <w:b/>
          <w:sz w:val="24"/>
          <w:szCs w:val="24"/>
        </w:rPr>
        <w:t>Findings</w:t>
      </w:r>
    </w:p>
    <w:p w:rsidR="009405D1" w:rsidRDefault="007153D8" w:rsidP="00380796">
      <w:pPr>
        <w:spacing w:line="240" w:lineRule="auto"/>
        <w:rPr>
          <w:rFonts w:ascii="Times New Roman" w:hAnsi="Times New Roman" w:cs="Times New Roman"/>
          <w:sz w:val="24"/>
          <w:szCs w:val="24"/>
        </w:rPr>
      </w:pPr>
      <w:r w:rsidRPr="007153D8">
        <w:rPr>
          <w:rFonts w:ascii="Times New Roman" w:hAnsi="Times New Roman" w:cs="Times New Roman"/>
          <w:sz w:val="24"/>
          <w:szCs w:val="24"/>
        </w:rPr>
        <w:t xml:space="preserve">This study examined student </w:t>
      </w:r>
      <w:r w:rsidRPr="00E23072">
        <w:rPr>
          <w:rFonts w:ascii="Times New Roman" w:hAnsi="Times New Roman" w:cs="Times New Roman"/>
          <w:i/>
          <w:sz w:val="24"/>
          <w:szCs w:val="24"/>
        </w:rPr>
        <w:t>(n</w:t>
      </w:r>
      <w:r w:rsidRPr="007153D8">
        <w:rPr>
          <w:rFonts w:ascii="Times New Roman" w:hAnsi="Times New Roman" w:cs="Times New Roman"/>
          <w:sz w:val="24"/>
          <w:szCs w:val="24"/>
        </w:rPr>
        <w:t xml:space="preserve"> = 338) and faculty (</w:t>
      </w:r>
      <w:r w:rsidRPr="00E23072">
        <w:rPr>
          <w:rFonts w:ascii="Times New Roman" w:hAnsi="Times New Roman" w:cs="Times New Roman"/>
          <w:i/>
          <w:sz w:val="24"/>
          <w:szCs w:val="24"/>
        </w:rPr>
        <w:t>n</w:t>
      </w:r>
      <w:r w:rsidRPr="007153D8">
        <w:rPr>
          <w:rFonts w:ascii="Times New Roman" w:hAnsi="Times New Roman" w:cs="Times New Roman"/>
          <w:sz w:val="24"/>
          <w:szCs w:val="24"/>
        </w:rPr>
        <w:t xml:space="preserve"> = 82) perceptions of the plus/minus grading system and evaluated its effect on course GPAs by analyzing 12 years of grade data.  Student perceptions of the plus/minus system were negative; a majority of students felt plus/minus grading was unfair, resulted in lower student GPAs, and preferred straight letter grades.  The faculty was more divided; a slight majority felt plus/minus grading was fair to students while pluralities felt it helped average and low achieving students, resulted in lower student GPAs, and preferred straight letter grades.  Students were significantly more negative about plus/minus grading than were faculty.  In plus/minus graded courses, more minus than plus grades were assigned, primarily because no A</w:t>
      </w:r>
      <w:r w:rsidRPr="007153D8">
        <w:rPr>
          <w:rFonts w:ascii="Times New Roman" w:hAnsi="Times New Roman" w:cs="Times New Roman"/>
          <w:sz w:val="24"/>
          <w:szCs w:val="24"/>
          <w:vertAlign w:val="superscript"/>
        </w:rPr>
        <w:t>+</w:t>
      </w:r>
      <w:r w:rsidRPr="007153D8">
        <w:rPr>
          <w:rFonts w:ascii="Times New Roman" w:hAnsi="Times New Roman" w:cs="Times New Roman"/>
          <w:sz w:val="24"/>
          <w:szCs w:val="24"/>
        </w:rPr>
        <w:t xml:space="preserve"> grade was available.  Additionally, the instructor effect was strong and explained a majority of the observed variation in CGPA (73%).  </w:t>
      </w:r>
      <w:r w:rsidR="009405D1" w:rsidRPr="009405D1">
        <w:rPr>
          <w:rFonts w:ascii="Times New Roman" w:hAnsi="Times New Roman" w:cs="Times New Roman"/>
          <w:sz w:val="24"/>
          <w:szCs w:val="24"/>
        </w:rPr>
        <w:t xml:space="preserve">These findings by and large support previous research that noted students do not like the plus/minus grading system; primarily because students have the chance of earning an A-.  However, </w:t>
      </w:r>
      <w:r w:rsidR="0045434C">
        <w:rPr>
          <w:rFonts w:ascii="Times New Roman" w:hAnsi="Times New Roman" w:cs="Times New Roman"/>
          <w:sz w:val="24"/>
          <w:szCs w:val="24"/>
        </w:rPr>
        <w:t>faculty tend</w:t>
      </w:r>
      <w:r w:rsidR="009405D1" w:rsidRPr="009405D1">
        <w:rPr>
          <w:rFonts w:ascii="Times New Roman" w:hAnsi="Times New Roman" w:cs="Times New Roman"/>
          <w:sz w:val="24"/>
          <w:szCs w:val="24"/>
        </w:rPr>
        <w:t xml:space="preserve"> to support a plus/minus grading system because it allows them to differentiate between students in a course.  </w:t>
      </w:r>
    </w:p>
    <w:p w:rsidR="009405D1" w:rsidRPr="00380796" w:rsidRDefault="009405D1" w:rsidP="00380796">
      <w:pPr>
        <w:jc w:val="center"/>
        <w:rPr>
          <w:rFonts w:ascii="Times New Roman" w:hAnsi="Times New Roman" w:cs="Times New Roman"/>
          <w:b/>
          <w:sz w:val="24"/>
          <w:szCs w:val="24"/>
        </w:rPr>
      </w:pPr>
      <w:r w:rsidRPr="00380796">
        <w:rPr>
          <w:rFonts w:ascii="Times New Roman" w:hAnsi="Times New Roman" w:cs="Times New Roman"/>
          <w:b/>
          <w:sz w:val="24"/>
          <w:szCs w:val="24"/>
        </w:rPr>
        <w:t>Recommendations</w:t>
      </w:r>
    </w:p>
    <w:p w:rsidR="009405D1" w:rsidRDefault="009405D1" w:rsidP="00380796">
      <w:pPr>
        <w:spacing w:line="240" w:lineRule="auto"/>
        <w:rPr>
          <w:rFonts w:ascii="Times New Roman" w:hAnsi="Times New Roman" w:cs="Times New Roman"/>
          <w:sz w:val="24"/>
          <w:szCs w:val="24"/>
        </w:rPr>
      </w:pPr>
      <w:r w:rsidRPr="009405D1">
        <w:rPr>
          <w:rFonts w:ascii="Times New Roman" w:hAnsi="Times New Roman" w:cs="Times New Roman"/>
          <w:sz w:val="24"/>
          <w:szCs w:val="24"/>
        </w:rPr>
        <w:t>It is recommended that the [College] faculty adopt one uniform grading system (either plus/minus, straight letter, or some other system) for use in all courses</w:t>
      </w:r>
      <w:r w:rsidR="0045434C">
        <w:rPr>
          <w:rFonts w:ascii="Times New Roman" w:hAnsi="Times New Roman" w:cs="Times New Roman"/>
          <w:sz w:val="24"/>
          <w:szCs w:val="24"/>
        </w:rPr>
        <w:t xml:space="preserve"> to help eliminate negative perceptions of grading. </w:t>
      </w:r>
      <w:r w:rsidRPr="009405D1">
        <w:rPr>
          <w:rFonts w:ascii="Times New Roman" w:hAnsi="Times New Roman" w:cs="Times New Roman"/>
          <w:sz w:val="24"/>
          <w:szCs w:val="24"/>
        </w:rPr>
        <w:t xml:space="preserve"> Communicating a single university-wide grading system may help improve students’ desire to increase effort, and therefore learning, in the classroom.</w:t>
      </w:r>
    </w:p>
    <w:p w:rsidR="00433397" w:rsidRPr="00433397" w:rsidRDefault="00300143" w:rsidP="00433397">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w:t>
      </w:r>
      <w:r w:rsidR="00433397" w:rsidRPr="00433397">
        <w:rPr>
          <w:rFonts w:ascii="Times New Roman" w:hAnsi="Times New Roman" w:cs="Times New Roman"/>
          <w:b/>
          <w:sz w:val="24"/>
          <w:szCs w:val="24"/>
        </w:rPr>
        <w:t>ferences</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C64559"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Baker, H. E., &amp; Bates, H. L. (1999). Student and faculty perceptions of the impact of plus/minus grading: A management department perspective. </w:t>
      </w:r>
      <w:r w:rsidRPr="00433397">
        <w:rPr>
          <w:rFonts w:ascii="Times New Roman" w:hAnsi="Times New Roman" w:cs="Times New Roman"/>
          <w:i/>
          <w:sz w:val="24"/>
          <w:szCs w:val="24"/>
        </w:rPr>
        <w:t>Journal of Excellence in College Teaching</w:t>
      </w:r>
      <w:r w:rsidRPr="00433397">
        <w:rPr>
          <w:rFonts w:ascii="Times New Roman" w:hAnsi="Times New Roman" w:cs="Times New Roman"/>
          <w:sz w:val="24"/>
          <w:szCs w:val="24"/>
        </w:rPr>
        <w:t xml:space="preserve">, </w:t>
      </w:r>
      <w:r w:rsidRPr="00433397">
        <w:rPr>
          <w:rFonts w:ascii="Times New Roman" w:hAnsi="Times New Roman" w:cs="Times New Roman"/>
          <w:i/>
          <w:sz w:val="24"/>
          <w:szCs w:val="24"/>
        </w:rPr>
        <w:t>10</w:t>
      </w:r>
      <w:r w:rsidRPr="00433397">
        <w:rPr>
          <w:rFonts w:ascii="Times New Roman" w:hAnsi="Times New Roman" w:cs="Times New Roman"/>
          <w:sz w:val="24"/>
          <w:szCs w:val="24"/>
        </w:rPr>
        <w:t>(1), 23-33.</w:t>
      </w:r>
    </w:p>
    <w:p w:rsidR="00C64559" w:rsidRPr="00433397" w:rsidRDefault="00C64559"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right="-144" w:hanging="720"/>
        <w:rPr>
          <w:rFonts w:ascii="Times New Roman" w:hAnsi="Times New Roman" w:cs="Times New Roman"/>
          <w:sz w:val="24"/>
          <w:szCs w:val="24"/>
        </w:rPr>
      </w:pPr>
      <w:r w:rsidRPr="00433397">
        <w:rPr>
          <w:rFonts w:ascii="Times New Roman" w:hAnsi="Times New Roman" w:cs="Times New Roman"/>
          <w:sz w:val="24"/>
          <w:szCs w:val="24"/>
        </w:rPr>
        <w:t xml:space="preserve">Bressette, R. (2002). Arguments for plus/minus grading: A case study. </w:t>
      </w:r>
      <w:r w:rsidRPr="00433397">
        <w:rPr>
          <w:rFonts w:ascii="Times New Roman" w:hAnsi="Times New Roman" w:cs="Times New Roman"/>
          <w:i/>
          <w:sz w:val="24"/>
          <w:szCs w:val="24"/>
        </w:rPr>
        <w:t>Educational Research Quarterly</w:t>
      </w:r>
      <w:r w:rsidRPr="00433397">
        <w:rPr>
          <w:rFonts w:ascii="Times New Roman" w:hAnsi="Times New Roman" w:cs="Times New Roman"/>
          <w:sz w:val="24"/>
          <w:szCs w:val="24"/>
        </w:rPr>
        <w:t>. Washington, DC, 120.</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Docan, T. N. (2006). Positive and negative incentives in the classroom: An analysis of grading systems and student motivation. </w:t>
      </w:r>
      <w:r w:rsidRPr="00433397">
        <w:rPr>
          <w:rFonts w:ascii="Times New Roman" w:hAnsi="Times New Roman" w:cs="Times New Roman"/>
          <w:i/>
          <w:sz w:val="24"/>
          <w:szCs w:val="24"/>
        </w:rPr>
        <w:t>Journal of Scholarship of Teaching and Learning, 6</w:t>
      </w:r>
      <w:r w:rsidRPr="00433397">
        <w:rPr>
          <w:rFonts w:ascii="Times New Roman" w:hAnsi="Times New Roman" w:cs="Times New Roman"/>
          <w:sz w:val="24"/>
          <w:szCs w:val="24"/>
        </w:rPr>
        <w:t>(2). 21-40.</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McClure, J. E., &amp; Spector, L. C. (2005). Plus/minus grading and motivation: An empirical study of student choice and performance. </w:t>
      </w:r>
      <w:r w:rsidRPr="00433397">
        <w:rPr>
          <w:rFonts w:ascii="Times New Roman" w:hAnsi="Times New Roman" w:cs="Times New Roman"/>
          <w:i/>
          <w:sz w:val="24"/>
          <w:szCs w:val="24"/>
        </w:rPr>
        <w:t>Assessment &amp; Evaluation in Higher Education</w:t>
      </w:r>
      <w:r w:rsidRPr="00433397">
        <w:rPr>
          <w:rFonts w:ascii="Times New Roman" w:hAnsi="Times New Roman" w:cs="Times New Roman"/>
          <w:sz w:val="24"/>
          <w:szCs w:val="24"/>
        </w:rPr>
        <w:t xml:space="preserve">, </w:t>
      </w:r>
      <w:r w:rsidRPr="00433397">
        <w:rPr>
          <w:rFonts w:ascii="Times New Roman" w:hAnsi="Times New Roman" w:cs="Times New Roman"/>
          <w:i/>
          <w:sz w:val="24"/>
          <w:szCs w:val="24"/>
        </w:rPr>
        <w:t>30</w:t>
      </w:r>
      <w:r w:rsidRPr="00433397">
        <w:rPr>
          <w:rFonts w:ascii="Times New Roman" w:hAnsi="Times New Roman" w:cs="Times New Roman"/>
          <w:sz w:val="24"/>
          <w:szCs w:val="24"/>
        </w:rPr>
        <w:t>, 571-579. doi 10.1080/02602930500260605.</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Mitchell, M. L., &amp; Jolley, J. M. (2010). </w:t>
      </w:r>
      <w:r w:rsidRPr="00433397">
        <w:rPr>
          <w:rFonts w:ascii="Times New Roman" w:hAnsi="Times New Roman" w:cs="Times New Roman"/>
          <w:i/>
          <w:sz w:val="24"/>
          <w:szCs w:val="24"/>
        </w:rPr>
        <w:t>Research design explained</w:t>
      </w:r>
      <w:r w:rsidRPr="00433397">
        <w:rPr>
          <w:rFonts w:ascii="Times New Roman" w:hAnsi="Times New Roman" w:cs="Times New Roman"/>
          <w:sz w:val="24"/>
          <w:szCs w:val="24"/>
        </w:rPr>
        <w:t>. Belmont, CA: Wadsworth Cengage Learning.</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Morgan, J., Tallman, G., &amp; Williams, R. (2007). </w:t>
      </w:r>
      <w:r w:rsidRPr="00433397">
        <w:rPr>
          <w:rFonts w:ascii="Times New Roman" w:hAnsi="Times New Roman" w:cs="Times New Roman"/>
          <w:i/>
          <w:sz w:val="24"/>
          <w:szCs w:val="24"/>
        </w:rPr>
        <w:t>Student and faculty views of plus-minus grading systems</w:t>
      </w:r>
      <w:r w:rsidRPr="00433397">
        <w:rPr>
          <w:rFonts w:ascii="Times New Roman" w:hAnsi="Times New Roman" w:cs="Times New Roman"/>
          <w:sz w:val="24"/>
          <w:szCs w:val="24"/>
        </w:rPr>
        <w:t xml:space="preserve">. Working Paper Series 07-11. Flagstaff, AZ: Northern Arizona University. </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Pollio, H. R., &amp; Beck, H. P. (2000). When the tail wags the dog. Perceptions of learning and grade orientation in, and by, contemporary college students and faculty. </w:t>
      </w:r>
      <w:r w:rsidRPr="00433397">
        <w:rPr>
          <w:rFonts w:ascii="Times New Roman" w:hAnsi="Times New Roman" w:cs="Times New Roman"/>
          <w:i/>
          <w:sz w:val="24"/>
          <w:szCs w:val="24"/>
        </w:rPr>
        <w:t>The Journal of Higher Education</w:t>
      </w:r>
      <w:r w:rsidRPr="00433397">
        <w:rPr>
          <w:rFonts w:ascii="Times New Roman" w:hAnsi="Times New Roman" w:cs="Times New Roman"/>
          <w:sz w:val="24"/>
          <w:szCs w:val="24"/>
        </w:rPr>
        <w:t xml:space="preserve">, </w:t>
      </w:r>
      <w:r w:rsidRPr="00433397">
        <w:rPr>
          <w:rFonts w:ascii="Times New Roman" w:hAnsi="Times New Roman" w:cs="Times New Roman"/>
          <w:i/>
          <w:sz w:val="24"/>
          <w:szCs w:val="24"/>
        </w:rPr>
        <w:t>71</w:t>
      </w:r>
      <w:r w:rsidRPr="00433397">
        <w:rPr>
          <w:rFonts w:ascii="Times New Roman" w:hAnsi="Times New Roman" w:cs="Times New Roman"/>
          <w:sz w:val="24"/>
          <w:szCs w:val="24"/>
        </w:rPr>
        <w:t>(1), 84-102.</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Qualtrics. (2013). Online survey platform. Available at http://www.qualtrics.com/</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C64559" w:rsidRDefault="00433397" w:rsidP="00433397">
      <w:pPr>
        <w:spacing w:after="0" w:line="240" w:lineRule="auto"/>
        <w:ind w:left="720" w:hanging="720"/>
        <w:rPr>
          <w:rFonts w:ascii="Times New Roman" w:hAnsi="Times New Roman" w:cs="Times New Roman"/>
          <w:sz w:val="24"/>
          <w:szCs w:val="24"/>
          <w:u w:val="single"/>
        </w:rPr>
      </w:pPr>
      <w:r w:rsidRPr="00433397">
        <w:rPr>
          <w:rFonts w:ascii="Times New Roman" w:hAnsi="Times New Roman" w:cs="Times New Roman"/>
          <w:sz w:val="24"/>
          <w:szCs w:val="24"/>
        </w:rPr>
        <w:t xml:space="preserve">Redmond, B. (2010). </w:t>
      </w:r>
      <w:r w:rsidRPr="00433397">
        <w:rPr>
          <w:rFonts w:ascii="Times New Roman" w:hAnsi="Times New Roman" w:cs="Times New Roman"/>
          <w:i/>
          <w:sz w:val="24"/>
          <w:szCs w:val="24"/>
        </w:rPr>
        <w:t>Expectancy theory: Is there a link between my effort and what I want?</w:t>
      </w:r>
      <w:r w:rsidRPr="00433397">
        <w:rPr>
          <w:rFonts w:ascii="Times New Roman" w:hAnsi="Times New Roman" w:cs="Times New Roman"/>
          <w:sz w:val="24"/>
          <w:szCs w:val="24"/>
        </w:rPr>
        <w:t xml:space="preserve"> The Pennsylvania State University. Retrieved from https://wikispaces.psu.edu/display/PSYCH484/4.+Expectancy+Theory</w:t>
      </w: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sz w:val="24"/>
          <w:szCs w:val="24"/>
        </w:rPr>
        <w:t xml:space="preserve">Trochim, W. M. K. (2001). </w:t>
      </w:r>
      <w:r w:rsidRPr="00433397">
        <w:rPr>
          <w:rFonts w:ascii="Times New Roman" w:hAnsi="Times New Roman" w:cs="Times New Roman"/>
          <w:i/>
          <w:sz w:val="24"/>
          <w:szCs w:val="24"/>
        </w:rPr>
        <w:t xml:space="preserve">The research methods knowledge base. </w:t>
      </w:r>
      <w:r w:rsidRPr="00433397">
        <w:rPr>
          <w:rFonts w:ascii="Times New Roman" w:hAnsi="Times New Roman" w:cs="Times New Roman"/>
          <w:sz w:val="24"/>
          <w:szCs w:val="24"/>
        </w:rPr>
        <w:t>Cincinnati, OH: Atomic Dog Publishing.</w:t>
      </w:r>
    </w:p>
    <w:p w:rsidR="00433397" w:rsidRPr="00433397" w:rsidRDefault="00433397" w:rsidP="00433397">
      <w:pPr>
        <w:spacing w:after="0" w:line="240" w:lineRule="auto"/>
        <w:ind w:left="720" w:hanging="720"/>
        <w:rPr>
          <w:rFonts w:ascii="Times New Roman" w:hAnsi="Times New Roman" w:cs="Times New Roman"/>
          <w:bCs/>
          <w:sz w:val="24"/>
          <w:szCs w:val="24"/>
        </w:rPr>
      </w:pPr>
    </w:p>
    <w:p w:rsidR="00433397" w:rsidRPr="00433397" w:rsidRDefault="00433397" w:rsidP="00433397">
      <w:pPr>
        <w:spacing w:after="0" w:line="240" w:lineRule="auto"/>
        <w:ind w:left="720" w:hanging="720"/>
        <w:rPr>
          <w:rFonts w:ascii="Times New Roman" w:hAnsi="Times New Roman" w:cs="Times New Roman"/>
          <w:sz w:val="24"/>
          <w:szCs w:val="24"/>
        </w:rPr>
      </w:pPr>
      <w:r w:rsidRPr="00433397">
        <w:rPr>
          <w:rFonts w:ascii="Times New Roman" w:hAnsi="Times New Roman" w:cs="Times New Roman"/>
          <w:bCs/>
          <w:sz w:val="24"/>
          <w:szCs w:val="24"/>
        </w:rPr>
        <w:t xml:space="preserve">Vroom, V. H. (1964). </w:t>
      </w:r>
      <w:r w:rsidRPr="00433397">
        <w:rPr>
          <w:rFonts w:ascii="Times New Roman" w:hAnsi="Times New Roman" w:cs="Times New Roman"/>
          <w:bCs/>
          <w:i/>
          <w:sz w:val="24"/>
          <w:szCs w:val="24"/>
        </w:rPr>
        <w:t>Work and motivation</w:t>
      </w:r>
      <w:r w:rsidRPr="00433397">
        <w:rPr>
          <w:rFonts w:ascii="Times New Roman" w:hAnsi="Times New Roman" w:cs="Times New Roman"/>
          <w:bCs/>
          <w:sz w:val="24"/>
          <w:szCs w:val="24"/>
        </w:rPr>
        <w:t>. New York: John Wiley and Sons.</w:t>
      </w:r>
    </w:p>
    <w:p w:rsidR="00433397" w:rsidRPr="009405D1" w:rsidRDefault="00433397" w:rsidP="00380796">
      <w:pPr>
        <w:spacing w:line="240" w:lineRule="auto"/>
        <w:rPr>
          <w:rFonts w:ascii="Times New Roman" w:hAnsi="Times New Roman" w:cs="Times New Roman"/>
          <w:sz w:val="24"/>
          <w:szCs w:val="24"/>
        </w:rPr>
      </w:pPr>
    </w:p>
    <w:sectPr w:rsidR="00433397" w:rsidRPr="009405D1" w:rsidSect="003807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7D5" w:rsidRDefault="001A67D5">
      <w:pPr>
        <w:spacing w:after="0" w:line="240" w:lineRule="auto"/>
      </w:pPr>
      <w:r>
        <w:separator/>
      </w:r>
    </w:p>
  </w:endnote>
  <w:endnote w:type="continuationSeparator" w:id="0">
    <w:p w:rsidR="001A67D5" w:rsidRDefault="001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055B8A" w:rsidP="005E7A11">
    <w:pPr>
      <w:pStyle w:val="Footer"/>
    </w:pPr>
    <w:r>
      <w:tab/>
    </w:r>
    <w:r>
      <w:rPr>
        <w:rStyle w:val="PageNumber"/>
      </w:rPr>
      <w:fldChar w:fldCharType="begin"/>
    </w:r>
    <w:r>
      <w:rPr>
        <w:rStyle w:val="PageNumber"/>
      </w:rPr>
      <w:instrText xml:space="preserve"> PAGE </w:instrText>
    </w:r>
    <w:r>
      <w:rPr>
        <w:rStyle w:val="PageNumber"/>
      </w:rPr>
      <w:fldChar w:fldCharType="separate"/>
    </w:r>
    <w:r w:rsidR="006C2C89">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1A67D5" w:rsidP="005E7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7D5" w:rsidRDefault="001A67D5">
      <w:pPr>
        <w:spacing w:after="0" w:line="240" w:lineRule="auto"/>
      </w:pPr>
      <w:r>
        <w:separator/>
      </w:r>
    </w:p>
  </w:footnote>
  <w:footnote w:type="continuationSeparator" w:id="0">
    <w:p w:rsidR="001A67D5" w:rsidRDefault="001A67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217AAF"/>
    <w:multiLevelType w:val="hybridMultilevel"/>
    <w:tmpl w:val="DC1EE84C"/>
    <w:lvl w:ilvl="0" w:tplc="EF2646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3D8"/>
    <w:rsid w:val="00055B8A"/>
    <w:rsid w:val="00180AF4"/>
    <w:rsid w:val="00181773"/>
    <w:rsid w:val="001A67D5"/>
    <w:rsid w:val="00300143"/>
    <w:rsid w:val="00363489"/>
    <w:rsid w:val="00380796"/>
    <w:rsid w:val="0042186C"/>
    <w:rsid w:val="00433397"/>
    <w:rsid w:val="0045434C"/>
    <w:rsid w:val="004A71EC"/>
    <w:rsid w:val="00557C97"/>
    <w:rsid w:val="00635719"/>
    <w:rsid w:val="006C2C89"/>
    <w:rsid w:val="007153D8"/>
    <w:rsid w:val="007D3A60"/>
    <w:rsid w:val="00862169"/>
    <w:rsid w:val="009405D1"/>
    <w:rsid w:val="00B502EF"/>
    <w:rsid w:val="00C32994"/>
    <w:rsid w:val="00C64559"/>
    <w:rsid w:val="00C72AE7"/>
    <w:rsid w:val="00D13140"/>
    <w:rsid w:val="00E23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autoRedefine/>
    <w:rsid w:val="00180AF4"/>
    <w:pPr>
      <w:keepNext/>
      <w:spacing w:after="0" w:line="240" w:lineRule="auto"/>
      <w:outlineLvl w:val="2"/>
    </w:pPr>
    <w:rPr>
      <w:rFonts w:ascii="Times New Roman" w:eastAsiaTheme="majorEastAsia" w:hAnsi="Times New Roman" w:cstheme="majorBidi"/>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502E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502EF"/>
  </w:style>
  <w:style w:type="character" w:styleId="PageNumber">
    <w:name w:val="page number"/>
    <w:basedOn w:val="DefaultParagraphFont"/>
    <w:rsid w:val="00B502EF"/>
  </w:style>
  <w:style w:type="character" w:customStyle="1" w:styleId="Heading3Char">
    <w:name w:val="Heading 3 Char"/>
    <w:basedOn w:val="DefaultParagraphFont"/>
    <w:link w:val="Heading3"/>
    <w:rsid w:val="00180AF4"/>
    <w:rPr>
      <w:rFonts w:ascii="Times New Roman" w:eastAsiaTheme="majorEastAsia" w:hAnsi="Times New Roman" w:cstheme="majorBidi"/>
      <w:bCs/>
      <w:i/>
      <w:sz w:val="24"/>
      <w:szCs w:val="24"/>
    </w:rPr>
  </w:style>
  <w:style w:type="paragraph" w:styleId="BalloonText">
    <w:name w:val="Balloon Text"/>
    <w:basedOn w:val="Normal"/>
    <w:link w:val="BalloonTextChar"/>
    <w:uiPriority w:val="99"/>
    <w:semiHidden/>
    <w:unhideWhenUsed/>
    <w:rsid w:val="00055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B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autoRedefine/>
    <w:rsid w:val="00180AF4"/>
    <w:pPr>
      <w:keepNext/>
      <w:spacing w:after="0" w:line="240" w:lineRule="auto"/>
      <w:outlineLvl w:val="2"/>
    </w:pPr>
    <w:rPr>
      <w:rFonts w:ascii="Times New Roman" w:eastAsiaTheme="majorEastAsia" w:hAnsi="Times New Roman" w:cstheme="majorBidi"/>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502E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502EF"/>
  </w:style>
  <w:style w:type="character" w:styleId="PageNumber">
    <w:name w:val="page number"/>
    <w:basedOn w:val="DefaultParagraphFont"/>
    <w:rsid w:val="00B502EF"/>
  </w:style>
  <w:style w:type="character" w:customStyle="1" w:styleId="Heading3Char">
    <w:name w:val="Heading 3 Char"/>
    <w:basedOn w:val="DefaultParagraphFont"/>
    <w:link w:val="Heading3"/>
    <w:rsid w:val="00180AF4"/>
    <w:rPr>
      <w:rFonts w:ascii="Times New Roman" w:eastAsiaTheme="majorEastAsia" w:hAnsi="Times New Roman" w:cstheme="majorBidi"/>
      <w:bCs/>
      <w:i/>
      <w:sz w:val="24"/>
      <w:szCs w:val="24"/>
    </w:rPr>
  </w:style>
  <w:style w:type="paragraph" w:styleId="BalloonText">
    <w:name w:val="Balloon Text"/>
    <w:basedOn w:val="Normal"/>
    <w:link w:val="BalloonTextChar"/>
    <w:uiPriority w:val="99"/>
    <w:semiHidden/>
    <w:unhideWhenUsed/>
    <w:rsid w:val="00055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B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BC72F-7E9F-4E52-9038-1D384A381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Lucas Graham</dc:creator>
  <cp:lastModifiedBy>Donna Lucas Graham</cp:lastModifiedBy>
  <cp:revision>2</cp:revision>
  <cp:lastPrinted>2013-10-21T19:11:00Z</cp:lastPrinted>
  <dcterms:created xsi:type="dcterms:W3CDTF">2013-10-21T19:27:00Z</dcterms:created>
  <dcterms:modified xsi:type="dcterms:W3CDTF">2013-10-21T19:27:00Z</dcterms:modified>
</cp:coreProperties>
</file>