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22D" w:rsidRDefault="00C7122D" w:rsidP="00AE010C">
      <w:pPr>
        <w:spacing w:line="240" w:lineRule="auto"/>
        <w:contextualSpacing/>
        <w:jc w:val="center"/>
        <w:rPr>
          <w:rFonts w:asciiTheme="majorHAnsi" w:hAnsiTheme="majorHAnsi"/>
          <w:b/>
          <w:sz w:val="24"/>
        </w:rPr>
      </w:pPr>
      <w:r>
        <w:rPr>
          <w:rFonts w:asciiTheme="majorHAnsi" w:hAnsiTheme="majorHAnsi"/>
          <w:b/>
          <w:sz w:val="24"/>
        </w:rPr>
        <w:t>The Act of Effective College Teaching</w:t>
      </w:r>
    </w:p>
    <w:p w:rsidR="00C7122D" w:rsidRDefault="00C7122D" w:rsidP="00AE010C">
      <w:pPr>
        <w:spacing w:line="240" w:lineRule="auto"/>
        <w:contextualSpacing/>
        <w:jc w:val="center"/>
        <w:rPr>
          <w:rFonts w:asciiTheme="majorHAnsi" w:hAnsiTheme="majorHAnsi"/>
          <w:b/>
          <w:sz w:val="24"/>
        </w:rPr>
      </w:pP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Submitted to:</w:t>
      </w: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Southern Association of Agricultural Scientist</w:t>
      </w:r>
    </w:p>
    <w:p w:rsidR="00C7122D" w:rsidRDefault="00D76C5B" w:rsidP="00AE010C">
      <w:pPr>
        <w:spacing w:line="240" w:lineRule="auto"/>
        <w:contextualSpacing/>
        <w:jc w:val="center"/>
        <w:rPr>
          <w:rFonts w:asciiTheme="majorHAnsi" w:hAnsiTheme="majorHAnsi"/>
          <w:sz w:val="24"/>
        </w:rPr>
      </w:pPr>
      <w:r>
        <w:rPr>
          <w:rFonts w:asciiTheme="majorHAnsi" w:hAnsiTheme="majorHAnsi"/>
          <w:sz w:val="24"/>
        </w:rPr>
        <w:t>Dallas</w:t>
      </w:r>
      <w:r w:rsidR="00C7122D">
        <w:rPr>
          <w:rFonts w:asciiTheme="majorHAnsi" w:hAnsiTheme="majorHAnsi"/>
          <w:sz w:val="24"/>
        </w:rPr>
        <w:t>, Texas</w:t>
      </w: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Research Poster</w:t>
      </w: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Submitted by:</w:t>
      </w: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Marcus L. Hollan</w:t>
      </w: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University of Kentucky</w:t>
      </w: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Department of Community and Leadership Development</w:t>
      </w: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 xml:space="preserve">307 </w:t>
      </w:r>
      <w:proofErr w:type="spellStart"/>
      <w:r>
        <w:rPr>
          <w:rFonts w:asciiTheme="majorHAnsi" w:hAnsiTheme="majorHAnsi"/>
          <w:sz w:val="24"/>
        </w:rPr>
        <w:t>Garrigus</w:t>
      </w:r>
      <w:proofErr w:type="spellEnd"/>
      <w:r>
        <w:rPr>
          <w:rFonts w:asciiTheme="majorHAnsi" w:hAnsiTheme="majorHAnsi"/>
          <w:sz w:val="24"/>
        </w:rPr>
        <w:t xml:space="preserve"> Building</w:t>
      </w: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Lexington, KY</w:t>
      </w:r>
    </w:p>
    <w:p w:rsidR="00C7122D" w:rsidRPr="00C7122D" w:rsidRDefault="00C561A4" w:rsidP="00AE010C">
      <w:pPr>
        <w:spacing w:line="240" w:lineRule="auto"/>
        <w:contextualSpacing/>
        <w:jc w:val="center"/>
        <w:rPr>
          <w:rFonts w:asciiTheme="majorHAnsi" w:hAnsiTheme="majorHAnsi"/>
          <w:sz w:val="24"/>
        </w:rPr>
      </w:pPr>
      <w:hyperlink r:id="rId8" w:history="1">
        <w:r w:rsidR="00C7122D" w:rsidRPr="00C7122D">
          <w:rPr>
            <w:rStyle w:val="Hyperlink"/>
            <w:rFonts w:asciiTheme="majorHAnsi" w:hAnsiTheme="majorHAnsi"/>
            <w:color w:val="auto"/>
            <w:sz w:val="24"/>
            <w:u w:val="none"/>
          </w:rPr>
          <w:t>marcus.hollan@uky.edu</w:t>
        </w:r>
      </w:hyperlink>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Dr. Stacy K. Vincent</w:t>
      </w: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University of Kentucky</w:t>
      </w: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Department of Community and Leadership Development</w:t>
      </w: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 xml:space="preserve">505 </w:t>
      </w:r>
      <w:proofErr w:type="spellStart"/>
      <w:r>
        <w:rPr>
          <w:rFonts w:asciiTheme="majorHAnsi" w:hAnsiTheme="majorHAnsi"/>
          <w:sz w:val="24"/>
        </w:rPr>
        <w:t>Garrigus</w:t>
      </w:r>
      <w:proofErr w:type="spellEnd"/>
      <w:r>
        <w:rPr>
          <w:rFonts w:asciiTheme="majorHAnsi" w:hAnsiTheme="majorHAnsi"/>
          <w:sz w:val="24"/>
        </w:rPr>
        <w:t xml:space="preserve"> Building</w:t>
      </w: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Lexington, KY</w:t>
      </w:r>
    </w:p>
    <w:p w:rsidR="00C7122D" w:rsidRDefault="00C7122D" w:rsidP="00AE010C">
      <w:pPr>
        <w:spacing w:line="240" w:lineRule="auto"/>
        <w:contextualSpacing/>
        <w:jc w:val="center"/>
        <w:rPr>
          <w:rFonts w:asciiTheme="majorHAnsi" w:hAnsiTheme="majorHAnsi"/>
          <w:sz w:val="24"/>
        </w:rPr>
      </w:pPr>
      <w:r>
        <w:rPr>
          <w:rFonts w:asciiTheme="majorHAnsi" w:hAnsiTheme="majorHAnsi"/>
          <w:sz w:val="24"/>
        </w:rPr>
        <w:t>stacy.vincent@uky.edu</w:t>
      </w:r>
    </w:p>
    <w:p w:rsidR="00C7122D" w:rsidRDefault="00C7122D" w:rsidP="00AE010C">
      <w:pPr>
        <w:spacing w:line="240" w:lineRule="auto"/>
        <w:contextualSpacing/>
        <w:jc w:val="center"/>
        <w:rPr>
          <w:rFonts w:asciiTheme="majorHAnsi" w:hAnsiTheme="majorHAnsi"/>
          <w:sz w:val="24"/>
        </w:rPr>
      </w:pPr>
    </w:p>
    <w:p w:rsidR="00C7122D" w:rsidRDefault="00C7122D" w:rsidP="00AE010C">
      <w:pPr>
        <w:spacing w:line="240" w:lineRule="auto"/>
        <w:contextualSpacing/>
        <w:rPr>
          <w:rFonts w:asciiTheme="majorHAnsi" w:hAnsiTheme="majorHAnsi"/>
          <w:sz w:val="24"/>
        </w:rPr>
      </w:pPr>
    </w:p>
    <w:p w:rsidR="00C7122D" w:rsidRDefault="00C7122D" w:rsidP="00AE010C">
      <w:pPr>
        <w:spacing w:line="240" w:lineRule="auto"/>
        <w:contextualSpacing/>
        <w:rPr>
          <w:rFonts w:asciiTheme="majorHAnsi" w:hAnsiTheme="majorHAnsi"/>
          <w:sz w:val="24"/>
        </w:rPr>
      </w:pPr>
    </w:p>
    <w:p w:rsidR="00C7122D" w:rsidRDefault="00C7122D" w:rsidP="00AE010C">
      <w:pPr>
        <w:spacing w:line="240" w:lineRule="auto"/>
        <w:contextualSpacing/>
        <w:rPr>
          <w:rFonts w:asciiTheme="majorHAnsi" w:hAnsiTheme="majorHAnsi"/>
          <w:sz w:val="24"/>
        </w:rPr>
      </w:pPr>
    </w:p>
    <w:p w:rsidR="00C7122D" w:rsidRDefault="00C7122D" w:rsidP="00AE010C">
      <w:pPr>
        <w:spacing w:line="240" w:lineRule="auto"/>
        <w:contextualSpacing/>
        <w:rPr>
          <w:rFonts w:asciiTheme="majorHAnsi" w:hAnsiTheme="majorHAnsi"/>
          <w:sz w:val="24"/>
        </w:rPr>
      </w:pPr>
    </w:p>
    <w:p w:rsidR="008D4EE4" w:rsidRDefault="008D4EE4" w:rsidP="008D4EE4">
      <w:pPr>
        <w:spacing w:line="240" w:lineRule="auto"/>
        <w:contextualSpacing/>
        <w:rPr>
          <w:rFonts w:asciiTheme="majorHAnsi" w:hAnsiTheme="majorHAnsi"/>
          <w:sz w:val="24"/>
        </w:rPr>
      </w:pPr>
    </w:p>
    <w:p w:rsidR="00C7122D" w:rsidRDefault="00C7122D" w:rsidP="008D4EE4">
      <w:pPr>
        <w:spacing w:line="240" w:lineRule="auto"/>
        <w:contextualSpacing/>
        <w:jc w:val="center"/>
        <w:rPr>
          <w:rFonts w:asciiTheme="majorHAnsi" w:hAnsiTheme="majorHAnsi"/>
          <w:b/>
          <w:sz w:val="24"/>
        </w:rPr>
      </w:pPr>
      <w:r>
        <w:rPr>
          <w:rFonts w:asciiTheme="majorHAnsi" w:hAnsiTheme="majorHAnsi"/>
          <w:b/>
          <w:sz w:val="24"/>
        </w:rPr>
        <w:lastRenderedPageBreak/>
        <w:t>The Act of Effective College Teaching</w:t>
      </w:r>
    </w:p>
    <w:p w:rsidR="00C7122D" w:rsidRDefault="00C7122D" w:rsidP="00AE010C">
      <w:pPr>
        <w:spacing w:line="240" w:lineRule="auto"/>
        <w:contextualSpacing/>
        <w:jc w:val="center"/>
        <w:rPr>
          <w:rFonts w:asciiTheme="majorHAnsi" w:hAnsiTheme="majorHAnsi"/>
          <w:b/>
          <w:sz w:val="24"/>
        </w:rPr>
      </w:pPr>
    </w:p>
    <w:p w:rsidR="00C7122D" w:rsidRDefault="00C7122D" w:rsidP="00AE010C">
      <w:pPr>
        <w:spacing w:line="240" w:lineRule="auto"/>
        <w:contextualSpacing/>
        <w:jc w:val="center"/>
        <w:rPr>
          <w:rFonts w:asciiTheme="majorHAnsi" w:hAnsiTheme="majorHAnsi"/>
          <w:b/>
          <w:sz w:val="24"/>
        </w:rPr>
      </w:pPr>
      <w:r>
        <w:rPr>
          <w:rFonts w:asciiTheme="majorHAnsi" w:hAnsiTheme="majorHAnsi"/>
          <w:b/>
          <w:sz w:val="24"/>
        </w:rPr>
        <w:t>Introduction/Need for Research</w:t>
      </w:r>
    </w:p>
    <w:p w:rsidR="00C7122D" w:rsidRDefault="00C7122D" w:rsidP="00AE010C">
      <w:pPr>
        <w:spacing w:line="240" w:lineRule="auto"/>
        <w:contextualSpacing/>
        <w:rPr>
          <w:rFonts w:asciiTheme="majorHAnsi" w:hAnsiTheme="majorHAnsi"/>
          <w:sz w:val="24"/>
        </w:rPr>
      </w:pPr>
      <w:r>
        <w:rPr>
          <w:rFonts w:asciiTheme="majorHAnsi" w:hAnsiTheme="majorHAnsi"/>
          <w:sz w:val="24"/>
        </w:rPr>
        <w:tab/>
      </w:r>
      <w:r w:rsidR="001E3306">
        <w:rPr>
          <w:rFonts w:asciiTheme="majorHAnsi" w:hAnsiTheme="majorHAnsi"/>
          <w:sz w:val="24"/>
        </w:rPr>
        <w:t>“</w:t>
      </w:r>
      <w:r w:rsidR="00A1633A">
        <w:rPr>
          <w:rFonts w:asciiTheme="majorHAnsi" w:hAnsiTheme="majorHAnsi"/>
          <w:sz w:val="24"/>
        </w:rPr>
        <w:t>Certainly the concept of effective teaching is not new among teachers, administrators, and those involved in teacher education</w:t>
      </w:r>
      <w:r w:rsidR="001E3306">
        <w:rPr>
          <w:rFonts w:asciiTheme="majorHAnsi" w:hAnsiTheme="majorHAnsi"/>
          <w:sz w:val="24"/>
        </w:rPr>
        <w:t>”</w:t>
      </w:r>
      <w:r w:rsidR="00A1633A">
        <w:rPr>
          <w:rFonts w:asciiTheme="majorHAnsi" w:hAnsiTheme="majorHAnsi"/>
          <w:sz w:val="24"/>
        </w:rPr>
        <w:t xml:space="preserve"> </w:t>
      </w:r>
      <w:sdt>
        <w:sdtPr>
          <w:rPr>
            <w:rFonts w:asciiTheme="majorHAnsi" w:hAnsiTheme="majorHAnsi"/>
            <w:sz w:val="24"/>
          </w:rPr>
          <w:id w:val="-762919538"/>
          <w:citation/>
        </w:sdtPr>
        <w:sdtEndPr/>
        <w:sdtContent>
          <w:r w:rsidR="00A1633A">
            <w:rPr>
              <w:rFonts w:asciiTheme="majorHAnsi" w:hAnsiTheme="majorHAnsi"/>
              <w:sz w:val="24"/>
            </w:rPr>
            <w:fldChar w:fldCharType="begin"/>
          </w:r>
          <w:r w:rsidR="00D05EE7">
            <w:rPr>
              <w:rFonts w:asciiTheme="majorHAnsi" w:hAnsiTheme="majorHAnsi"/>
              <w:sz w:val="24"/>
            </w:rPr>
            <w:instrText xml:space="preserve">CITATION McK13 \p 3 \l 1033 </w:instrText>
          </w:r>
          <w:r w:rsidR="00A1633A">
            <w:rPr>
              <w:rFonts w:asciiTheme="majorHAnsi" w:hAnsiTheme="majorHAnsi"/>
              <w:sz w:val="24"/>
            </w:rPr>
            <w:fldChar w:fldCharType="separate"/>
          </w:r>
          <w:r w:rsidR="008D4EE4" w:rsidRPr="008D4EE4">
            <w:rPr>
              <w:rFonts w:asciiTheme="majorHAnsi" w:hAnsiTheme="majorHAnsi"/>
              <w:noProof/>
              <w:sz w:val="24"/>
            </w:rPr>
            <w:t>(McKim, Enns, Smith, &amp; Aschenbrener, 2013, p. 3)</w:t>
          </w:r>
          <w:r w:rsidR="00A1633A">
            <w:rPr>
              <w:rFonts w:asciiTheme="majorHAnsi" w:hAnsiTheme="majorHAnsi"/>
              <w:sz w:val="24"/>
            </w:rPr>
            <w:fldChar w:fldCharType="end"/>
          </w:r>
        </w:sdtContent>
      </w:sdt>
      <w:r w:rsidR="00A1633A">
        <w:rPr>
          <w:rFonts w:asciiTheme="majorHAnsi" w:hAnsiTheme="majorHAnsi"/>
          <w:sz w:val="24"/>
        </w:rPr>
        <w:t xml:space="preserve">.  </w:t>
      </w:r>
      <w:r w:rsidR="00D05EE7">
        <w:rPr>
          <w:rFonts w:asciiTheme="majorHAnsi" w:hAnsiTheme="majorHAnsi"/>
          <w:sz w:val="24"/>
        </w:rPr>
        <w:t>It has been</w:t>
      </w:r>
      <w:r w:rsidR="00A1633A">
        <w:rPr>
          <w:rFonts w:asciiTheme="majorHAnsi" w:hAnsiTheme="majorHAnsi"/>
          <w:sz w:val="24"/>
        </w:rPr>
        <w:t xml:space="preserve"> suggested that in order for colleges of agriculture to meet the needs of society and increase the critical thinking skills of undergraduates, effective instruction in colleges of agriculture must incorporate pedagogical </w:t>
      </w:r>
      <w:r w:rsidR="00D05EE7">
        <w:rPr>
          <w:rFonts w:asciiTheme="majorHAnsi" w:hAnsiTheme="majorHAnsi"/>
          <w:sz w:val="24"/>
        </w:rPr>
        <w:t xml:space="preserve">approaches </w:t>
      </w:r>
      <w:r w:rsidR="00A1633A">
        <w:rPr>
          <w:rFonts w:asciiTheme="majorHAnsi" w:hAnsiTheme="majorHAnsi"/>
          <w:sz w:val="24"/>
        </w:rPr>
        <w:t xml:space="preserve">that create </w:t>
      </w:r>
      <w:r w:rsidR="00D05EE7">
        <w:rPr>
          <w:rFonts w:asciiTheme="majorHAnsi" w:hAnsiTheme="majorHAnsi"/>
          <w:sz w:val="24"/>
        </w:rPr>
        <w:t>an open and welcoming educational</w:t>
      </w:r>
      <w:r w:rsidR="00A1633A">
        <w:rPr>
          <w:rFonts w:asciiTheme="majorHAnsi" w:hAnsiTheme="majorHAnsi"/>
          <w:sz w:val="24"/>
        </w:rPr>
        <w:t xml:space="preserve"> climates </w:t>
      </w:r>
      <w:r w:rsidR="00D05EE7">
        <w:rPr>
          <w:rFonts w:asciiTheme="majorHAnsi" w:hAnsiTheme="majorHAnsi"/>
          <w:sz w:val="24"/>
        </w:rPr>
        <w:t>accompany diverse learning practices</w:t>
      </w:r>
      <w:r w:rsidR="00A1633A">
        <w:rPr>
          <w:rFonts w:asciiTheme="majorHAnsi" w:hAnsiTheme="majorHAnsi"/>
          <w:sz w:val="24"/>
        </w:rPr>
        <w:t xml:space="preserve"> </w:t>
      </w:r>
      <w:sdt>
        <w:sdtPr>
          <w:rPr>
            <w:rFonts w:asciiTheme="majorHAnsi" w:hAnsiTheme="majorHAnsi"/>
            <w:sz w:val="24"/>
          </w:rPr>
          <w:id w:val="-2090760559"/>
          <w:citation/>
        </w:sdtPr>
        <w:sdtEndPr/>
        <w:sdtContent>
          <w:r w:rsidR="00A1633A">
            <w:rPr>
              <w:rFonts w:asciiTheme="majorHAnsi" w:hAnsiTheme="majorHAnsi"/>
              <w:sz w:val="24"/>
            </w:rPr>
            <w:fldChar w:fldCharType="begin"/>
          </w:r>
          <w:r w:rsidR="008D4EE4">
            <w:rPr>
              <w:rFonts w:asciiTheme="majorHAnsi" w:hAnsiTheme="majorHAnsi"/>
              <w:sz w:val="24"/>
            </w:rPr>
            <w:instrText xml:space="preserve">CITATION Est131 \l 1033 </w:instrText>
          </w:r>
          <w:r w:rsidR="00A1633A">
            <w:rPr>
              <w:rFonts w:asciiTheme="majorHAnsi" w:hAnsiTheme="majorHAnsi"/>
              <w:sz w:val="24"/>
            </w:rPr>
            <w:fldChar w:fldCharType="separate"/>
          </w:r>
          <w:r w:rsidR="008D4EE4" w:rsidRPr="008D4EE4">
            <w:rPr>
              <w:rFonts w:asciiTheme="majorHAnsi" w:hAnsiTheme="majorHAnsi"/>
              <w:noProof/>
              <w:sz w:val="24"/>
            </w:rPr>
            <w:t>(Estepp, Stripling, Conner, Aaron, &amp; Roberts, 2013)</w:t>
          </w:r>
          <w:r w:rsidR="00A1633A">
            <w:rPr>
              <w:rFonts w:asciiTheme="majorHAnsi" w:hAnsiTheme="majorHAnsi"/>
              <w:sz w:val="24"/>
            </w:rPr>
            <w:fldChar w:fldCharType="end"/>
          </w:r>
        </w:sdtContent>
      </w:sdt>
      <w:r w:rsidR="00D702D9">
        <w:rPr>
          <w:rFonts w:asciiTheme="majorHAnsi" w:hAnsiTheme="majorHAnsi"/>
          <w:sz w:val="24"/>
        </w:rPr>
        <w:t>.</w:t>
      </w:r>
    </w:p>
    <w:p w:rsidR="00D702D9" w:rsidRDefault="00D702D9" w:rsidP="00D6107C">
      <w:pPr>
        <w:spacing w:line="240" w:lineRule="auto"/>
        <w:ind w:firstLine="720"/>
        <w:contextualSpacing/>
        <w:rPr>
          <w:rFonts w:asciiTheme="majorHAnsi" w:hAnsiTheme="majorHAnsi" w:cs="Arial"/>
          <w:sz w:val="24"/>
        </w:rPr>
      </w:pPr>
      <w:r w:rsidRPr="00D702D9">
        <w:rPr>
          <w:rFonts w:asciiTheme="majorHAnsi" w:hAnsiTheme="majorHAnsi" w:cs="Arial"/>
          <w:sz w:val="24"/>
        </w:rPr>
        <w:t xml:space="preserve">Students in </w:t>
      </w:r>
      <w:r w:rsidR="00D05EE7">
        <w:rPr>
          <w:rFonts w:asciiTheme="majorHAnsi" w:hAnsiTheme="majorHAnsi" w:cs="Arial"/>
          <w:sz w:val="24"/>
        </w:rPr>
        <w:t xml:space="preserve">a </w:t>
      </w:r>
      <w:r w:rsidRPr="00D702D9">
        <w:rPr>
          <w:rFonts w:asciiTheme="majorHAnsi" w:hAnsiTheme="majorHAnsi" w:cs="Arial"/>
          <w:sz w:val="24"/>
        </w:rPr>
        <w:t xml:space="preserve">college of agriculture </w:t>
      </w:r>
      <w:r w:rsidR="00D05EE7">
        <w:rPr>
          <w:rFonts w:asciiTheme="majorHAnsi" w:hAnsiTheme="majorHAnsi" w:cs="Arial"/>
          <w:sz w:val="24"/>
        </w:rPr>
        <w:t xml:space="preserve">are being </w:t>
      </w:r>
      <w:r w:rsidR="00BC6B86">
        <w:rPr>
          <w:rFonts w:asciiTheme="majorHAnsi" w:hAnsiTheme="majorHAnsi" w:cs="Arial"/>
          <w:sz w:val="24"/>
        </w:rPr>
        <w:t xml:space="preserve">primed </w:t>
      </w:r>
      <w:r w:rsidR="00D05EE7">
        <w:rPr>
          <w:rFonts w:asciiTheme="majorHAnsi" w:hAnsiTheme="majorHAnsi" w:cs="Arial"/>
          <w:sz w:val="24"/>
        </w:rPr>
        <w:t xml:space="preserve">for </w:t>
      </w:r>
      <w:r w:rsidRPr="00D702D9">
        <w:rPr>
          <w:rFonts w:asciiTheme="majorHAnsi" w:hAnsiTheme="majorHAnsi" w:cs="Arial"/>
          <w:sz w:val="24"/>
        </w:rPr>
        <w:t xml:space="preserve">a </w:t>
      </w:r>
      <w:r w:rsidR="00D05EE7">
        <w:rPr>
          <w:rFonts w:asciiTheme="majorHAnsi" w:hAnsiTheme="majorHAnsi" w:cs="Arial"/>
          <w:sz w:val="24"/>
        </w:rPr>
        <w:t>vigorously</w:t>
      </w:r>
      <w:r w:rsidR="00D05EE7" w:rsidRPr="00D702D9">
        <w:rPr>
          <w:rFonts w:asciiTheme="majorHAnsi" w:hAnsiTheme="majorHAnsi" w:cs="Arial"/>
          <w:sz w:val="24"/>
        </w:rPr>
        <w:t xml:space="preserve"> </w:t>
      </w:r>
      <w:r w:rsidRPr="00D702D9">
        <w:rPr>
          <w:rFonts w:asciiTheme="majorHAnsi" w:hAnsiTheme="majorHAnsi" w:cs="Arial"/>
          <w:sz w:val="24"/>
        </w:rPr>
        <w:t>changing workplace. In order to learn the skills needed to succeed in such an environment, students must be cognitively engaged in the college classroom</w:t>
      </w:r>
      <w:r>
        <w:rPr>
          <w:rFonts w:asciiTheme="majorHAnsi" w:hAnsiTheme="majorHAnsi" w:cs="Arial"/>
          <w:sz w:val="24"/>
        </w:rPr>
        <w:t xml:space="preserve"> </w:t>
      </w:r>
      <w:sdt>
        <w:sdtPr>
          <w:rPr>
            <w:rFonts w:asciiTheme="majorHAnsi" w:hAnsiTheme="majorHAnsi" w:cs="Arial"/>
            <w:sz w:val="24"/>
          </w:rPr>
          <w:id w:val="1130827414"/>
          <w:citation/>
        </w:sdtPr>
        <w:sdtEndPr/>
        <w:sdtContent>
          <w:r>
            <w:rPr>
              <w:rFonts w:asciiTheme="majorHAnsi" w:hAnsiTheme="majorHAnsi" w:cs="Arial"/>
              <w:sz w:val="24"/>
            </w:rPr>
            <w:fldChar w:fldCharType="begin"/>
          </w:r>
          <w:r>
            <w:rPr>
              <w:rFonts w:asciiTheme="majorHAnsi" w:hAnsiTheme="majorHAnsi" w:cs="Arial"/>
              <w:sz w:val="24"/>
            </w:rPr>
            <w:instrText xml:space="preserve"> CITATION Est132 \l 1033 </w:instrText>
          </w:r>
          <w:r>
            <w:rPr>
              <w:rFonts w:asciiTheme="majorHAnsi" w:hAnsiTheme="majorHAnsi" w:cs="Arial"/>
              <w:sz w:val="24"/>
            </w:rPr>
            <w:fldChar w:fldCharType="separate"/>
          </w:r>
          <w:r w:rsidR="008D4EE4" w:rsidRPr="008D4EE4">
            <w:rPr>
              <w:rFonts w:asciiTheme="majorHAnsi" w:hAnsiTheme="majorHAnsi" w:cs="Arial"/>
              <w:noProof/>
              <w:sz w:val="24"/>
            </w:rPr>
            <w:t>(Estepp &amp; Roberts, Teaching Behaviors Contributing to Student Content Engagement: A Socially Constructed Consenus of Undergraduate Students in a College of Agriculture, 2013)</w:t>
          </w:r>
          <w:r>
            <w:rPr>
              <w:rFonts w:asciiTheme="majorHAnsi" w:hAnsiTheme="majorHAnsi" w:cs="Arial"/>
              <w:sz w:val="24"/>
            </w:rPr>
            <w:fldChar w:fldCharType="end"/>
          </w:r>
        </w:sdtContent>
      </w:sdt>
      <w:r>
        <w:rPr>
          <w:rFonts w:asciiTheme="majorHAnsi" w:hAnsiTheme="majorHAnsi" w:cs="Arial"/>
          <w:sz w:val="24"/>
        </w:rPr>
        <w:t xml:space="preserve">.  </w:t>
      </w:r>
      <w:r w:rsidRPr="00D702D9">
        <w:rPr>
          <w:rFonts w:asciiTheme="majorHAnsi" w:hAnsiTheme="majorHAnsi" w:cs="Arial"/>
          <w:sz w:val="24"/>
        </w:rPr>
        <w:t>We are entering a time, now more than ever, that our instructors must be able to t</w:t>
      </w:r>
      <w:r w:rsidR="00D05EE7">
        <w:rPr>
          <w:rFonts w:asciiTheme="majorHAnsi" w:hAnsiTheme="majorHAnsi" w:cs="Arial"/>
          <w:sz w:val="24"/>
        </w:rPr>
        <w:t>each content to students which are</w:t>
      </w:r>
      <w:r w:rsidRPr="00D702D9">
        <w:rPr>
          <w:rFonts w:asciiTheme="majorHAnsi" w:hAnsiTheme="majorHAnsi" w:cs="Arial"/>
          <w:sz w:val="24"/>
        </w:rPr>
        <w:t xml:space="preserve"> more learner-centered with engaging instructional methods. They must be able to think critically, be actively engaged in discussion, and connecting content learned in the classroom </w:t>
      </w:r>
      <w:r>
        <w:rPr>
          <w:rFonts w:asciiTheme="majorHAnsi" w:hAnsiTheme="majorHAnsi" w:cs="Arial"/>
          <w:sz w:val="24"/>
        </w:rPr>
        <w:t>to relevant factors.</w:t>
      </w:r>
    </w:p>
    <w:p w:rsidR="00D702D9" w:rsidRDefault="00D702D9" w:rsidP="00D6107C">
      <w:pPr>
        <w:spacing w:line="240" w:lineRule="auto"/>
        <w:ind w:firstLine="720"/>
        <w:contextualSpacing/>
        <w:rPr>
          <w:rFonts w:asciiTheme="majorHAnsi" w:hAnsiTheme="majorHAnsi" w:cs="Arial"/>
          <w:sz w:val="24"/>
        </w:rPr>
      </w:pPr>
      <w:r w:rsidRPr="00D702D9">
        <w:rPr>
          <w:rFonts w:asciiTheme="majorHAnsi" w:hAnsiTheme="majorHAnsi" w:cs="Arial"/>
          <w:sz w:val="24"/>
        </w:rPr>
        <w:t>Faculty instructors who are recognized for their teaching are performing at highly effective levels in the classroom. As a result, it is important that the phenomena of effective teaching be understood from the viewpoint of these award winning instructors to provide direction to current and future faculty as to how they might impro</w:t>
      </w:r>
      <w:r w:rsidR="00BC6B86">
        <w:rPr>
          <w:rFonts w:asciiTheme="majorHAnsi" w:hAnsiTheme="majorHAnsi" w:cs="Arial"/>
          <w:sz w:val="24"/>
        </w:rPr>
        <w:t xml:space="preserve">ve their teaching effectiveness </w:t>
      </w:r>
      <w:sdt>
        <w:sdtPr>
          <w:rPr>
            <w:rFonts w:asciiTheme="majorHAnsi" w:hAnsiTheme="majorHAnsi" w:cs="Arial"/>
            <w:sz w:val="24"/>
          </w:rPr>
          <w:id w:val="-273170897"/>
          <w:citation/>
        </w:sdtPr>
        <w:sdtContent>
          <w:r w:rsidR="00BC6B86">
            <w:rPr>
              <w:rFonts w:asciiTheme="majorHAnsi" w:hAnsiTheme="majorHAnsi" w:cs="Arial"/>
              <w:sz w:val="24"/>
            </w:rPr>
            <w:fldChar w:fldCharType="begin"/>
          </w:r>
          <w:r w:rsidR="007E1077">
            <w:rPr>
              <w:rFonts w:asciiTheme="majorHAnsi" w:hAnsiTheme="majorHAnsi" w:cs="Arial"/>
              <w:sz w:val="24"/>
            </w:rPr>
            <w:instrText xml:space="preserve">CITATION Max111 \l 1033 </w:instrText>
          </w:r>
          <w:r w:rsidR="00BC6B86">
            <w:rPr>
              <w:rFonts w:asciiTheme="majorHAnsi" w:hAnsiTheme="majorHAnsi" w:cs="Arial"/>
              <w:sz w:val="24"/>
            </w:rPr>
            <w:fldChar w:fldCharType="separate"/>
          </w:r>
          <w:r w:rsidR="007E1077" w:rsidRPr="007E1077">
            <w:rPr>
              <w:rFonts w:asciiTheme="majorHAnsi" w:hAnsiTheme="majorHAnsi" w:cs="Arial"/>
              <w:noProof/>
              <w:sz w:val="24"/>
            </w:rPr>
            <w:t>(Maxwell, Vincent, &amp; Ball, 2011)</w:t>
          </w:r>
          <w:r w:rsidR="00BC6B86">
            <w:rPr>
              <w:rFonts w:asciiTheme="majorHAnsi" w:hAnsiTheme="majorHAnsi" w:cs="Arial"/>
              <w:sz w:val="24"/>
            </w:rPr>
            <w:fldChar w:fldCharType="end"/>
          </w:r>
        </w:sdtContent>
      </w:sdt>
      <w:r w:rsidR="00BC6B86">
        <w:rPr>
          <w:rFonts w:asciiTheme="majorHAnsi" w:hAnsiTheme="majorHAnsi" w:cs="Arial"/>
          <w:sz w:val="24"/>
        </w:rPr>
        <w:t>.</w:t>
      </w:r>
    </w:p>
    <w:p w:rsidR="00D702D9" w:rsidRDefault="00D702D9" w:rsidP="00AE010C">
      <w:pPr>
        <w:spacing w:line="240" w:lineRule="auto"/>
        <w:contextualSpacing/>
        <w:rPr>
          <w:rFonts w:asciiTheme="majorHAnsi" w:hAnsiTheme="majorHAnsi" w:cs="Arial"/>
          <w:sz w:val="24"/>
        </w:rPr>
      </w:pPr>
    </w:p>
    <w:p w:rsidR="00D702D9" w:rsidRDefault="00D702D9" w:rsidP="00AE010C">
      <w:pPr>
        <w:spacing w:line="240" w:lineRule="auto"/>
        <w:contextualSpacing/>
        <w:jc w:val="center"/>
        <w:rPr>
          <w:rFonts w:asciiTheme="majorHAnsi" w:hAnsiTheme="majorHAnsi" w:cs="Arial"/>
          <w:b/>
          <w:sz w:val="24"/>
        </w:rPr>
      </w:pPr>
      <w:r>
        <w:rPr>
          <w:rFonts w:asciiTheme="majorHAnsi" w:hAnsiTheme="majorHAnsi" w:cs="Arial"/>
          <w:b/>
          <w:sz w:val="24"/>
        </w:rPr>
        <w:t>Conceptual/Theoretical Framework</w:t>
      </w:r>
    </w:p>
    <w:p w:rsidR="00D702D9" w:rsidRDefault="00D702D9" w:rsidP="00AE010C">
      <w:pPr>
        <w:spacing w:line="240" w:lineRule="auto"/>
        <w:contextualSpacing/>
        <w:rPr>
          <w:rFonts w:asciiTheme="majorHAnsi" w:hAnsiTheme="majorHAnsi" w:cs="Arial"/>
          <w:sz w:val="24"/>
        </w:rPr>
      </w:pPr>
      <w:r>
        <w:rPr>
          <w:rFonts w:asciiTheme="majorHAnsi" w:hAnsiTheme="majorHAnsi" w:cs="Arial"/>
          <w:sz w:val="24"/>
        </w:rPr>
        <w:tab/>
        <w:t>This study was guided by the</w:t>
      </w:r>
      <w:r w:rsidRPr="00D6107C">
        <w:rPr>
          <w:rFonts w:asciiTheme="majorHAnsi" w:hAnsiTheme="majorHAnsi" w:cs="Arial"/>
          <w:sz w:val="24"/>
        </w:rPr>
        <w:t xml:space="preserve"> </w:t>
      </w:r>
      <w:r w:rsidR="00BC6B86" w:rsidRPr="00D6107C">
        <w:rPr>
          <w:rFonts w:asciiTheme="majorHAnsi" w:hAnsiTheme="majorHAnsi" w:cs="Arial"/>
          <w:sz w:val="24"/>
        </w:rPr>
        <w:t xml:space="preserve">Framework for Effective College </w:t>
      </w:r>
      <w:r w:rsidR="00BC6B86" w:rsidRPr="00BC6B86">
        <w:rPr>
          <w:rFonts w:asciiTheme="majorHAnsi" w:hAnsiTheme="majorHAnsi" w:cs="Arial"/>
          <w:sz w:val="24"/>
        </w:rPr>
        <w:t>Teaching</w:t>
      </w:r>
      <w:r w:rsidR="00D6107C">
        <w:rPr>
          <w:rFonts w:asciiTheme="majorHAnsi" w:hAnsiTheme="majorHAnsi" w:cs="Arial"/>
          <w:sz w:val="24"/>
        </w:rPr>
        <w:t xml:space="preserve"> model </w:t>
      </w:r>
      <w:r>
        <w:rPr>
          <w:rFonts w:asciiTheme="majorHAnsi" w:hAnsiTheme="majorHAnsi" w:cs="Arial"/>
          <w:sz w:val="24"/>
        </w:rPr>
        <w:t>by Maxwell, Vincent, and Ball</w:t>
      </w:r>
      <w:r w:rsidR="00D6107C">
        <w:rPr>
          <w:rFonts w:asciiTheme="majorHAnsi" w:hAnsiTheme="majorHAnsi" w:cs="Arial"/>
          <w:sz w:val="24"/>
        </w:rPr>
        <w:t>, 2011</w:t>
      </w:r>
      <w:r>
        <w:rPr>
          <w:rFonts w:asciiTheme="majorHAnsi" w:hAnsiTheme="majorHAnsi" w:cs="Arial"/>
          <w:sz w:val="24"/>
        </w:rPr>
        <w:t xml:space="preserve">. </w:t>
      </w:r>
      <w:r w:rsidR="001A5E6E">
        <w:rPr>
          <w:rFonts w:asciiTheme="majorHAnsi" w:hAnsiTheme="majorHAnsi" w:cs="Arial"/>
          <w:sz w:val="24"/>
        </w:rPr>
        <w:t xml:space="preserve">In </w:t>
      </w:r>
      <w:r w:rsidR="00BC6B86">
        <w:rPr>
          <w:rFonts w:asciiTheme="majorHAnsi" w:hAnsiTheme="majorHAnsi" w:cs="Arial"/>
          <w:sz w:val="24"/>
        </w:rPr>
        <w:t xml:space="preserve">their </w:t>
      </w:r>
      <w:r w:rsidR="001A5E6E">
        <w:rPr>
          <w:rFonts w:asciiTheme="majorHAnsi" w:hAnsiTheme="majorHAnsi" w:cs="Arial"/>
          <w:sz w:val="24"/>
        </w:rPr>
        <w:t>study, award winning instructors were interviewed to seek what characteristics made them effe</w:t>
      </w:r>
      <w:r w:rsidR="00BC6B86">
        <w:rPr>
          <w:rFonts w:asciiTheme="majorHAnsi" w:hAnsiTheme="majorHAnsi" w:cs="Arial"/>
          <w:sz w:val="24"/>
        </w:rPr>
        <w:t xml:space="preserve">ctive. </w:t>
      </w:r>
      <w:r w:rsidR="001A5E6E">
        <w:rPr>
          <w:rFonts w:asciiTheme="majorHAnsi" w:hAnsiTheme="majorHAnsi" w:cs="Arial"/>
          <w:sz w:val="24"/>
        </w:rPr>
        <w:t xml:space="preserve">After analysis, </w:t>
      </w:r>
      <w:r w:rsidR="00BC6B86">
        <w:rPr>
          <w:rFonts w:asciiTheme="majorHAnsi" w:hAnsiTheme="majorHAnsi" w:cs="Arial"/>
          <w:sz w:val="24"/>
        </w:rPr>
        <w:t>t</w:t>
      </w:r>
      <w:r w:rsidR="00BC6B86">
        <w:rPr>
          <w:rFonts w:asciiTheme="majorHAnsi" w:hAnsiTheme="majorHAnsi" w:cs="Arial"/>
          <w:sz w:val="24"/>
        </w:rPr>
        <w:t>wo major theme</w:t>
      </w:r>
      <w:r w:rsidR="00BC6B86">
        <w:rPr>
          <w:rFonts w:asciiTheme="majorHAnsi" w:hAnsiTheme="majorHAnsi" w:cs="Arial"/>
          <w:sz w:val="24"/>
        </w:rPr>
        <w:t>s</w:t>
      </w:r>
      <w:r w:rsidR="00BC6B86">
        <w:rPr>
          <w:rFonts w:asciiTheme="majorHAnsi" w:hAnsiTheme="majorHAnsi" w:cs="Arial"/>
          <w:sz w:val="24"/>
        </w:rPr>
        <w:t xml:space="preserve"> emerged with five sub-themes</w:t>
      </w:r>
      <w:r w:rsidR="00BC6B86">
        <w:rPr>
          <w:rFonts w:asciiTheme="majorHAnsi" w:hAnsiTheme="majorHAnsi" w:cs="Arial"/>
          <w:sz w:val="24"/>
        </w:rPr>
        <w:t xml:space="preserve"> identified. </w:t>
      </w:r>
      <w:r w:rsidR="00D6107C">
        <w:rPr>
          <w:rFonts w:asciiTheme="majorHAnsi" w:hAnsiTheme="majorHAnsi" w:cs="Arial"/>
          <w:sz w:val="24"/>
        </w:rPr>
        <w:t>The model</w:t>
      </w:r>
      <w:r w:rsidR="001A5E6E">
        <w:rPr>
          <w:rFonts w:asciiTheme="majorHAnsi" w:hAnsiTheme="majorHAnsi" w:cs="Arial"/>
          <w:sz w:val="24"/>
        </w:rPr>
        <w:t xml:space="preserve"> </w:t>
      </w:r>
      <w:r w:rsidR="00A0383E">
        <w:rPr>
          <w:rFonts w:asciiTheme="majorHAnsi" w:hAnsiTheme="majorHAnsi" w:cs="Arial"/>
          <w:sz w:val="24"/>
        </w:rPr>
        <w:t>is categorized by</w:t>
      </w:r>
      <w:r w:rsidR="001A5E6E">
        <w:rPr>
          <w:rFonts w:asciiTheme="majorHAnsi" w:hAnsiTheme="majorHAnsi" w:cs="Arial"/>
          <w:sz w:val="24"/>
        </w:rPr>
        <w:t xml:space="preserve"> two broad categories dealing first with act of effective teaching and the second, the act of becoming and evolving as an effective teacher </w:t>
      </w:r>
      <w:sdt>
        <w:sdtPr>
          <w:rPr>
            <w:rFonts w:asciiTheme="majorHAnsi" w:hAnsiTheme="majorHAnsi" w:cs="Arial"/>
            <w:sz w:val="24"/>
          </w:rPr>
          <w:id w:val="-1322961571"/>
          <w:citation/>
        </w:sdtPr>
        <w:sdtEndPr/>
        <w:sdtContent>
          <w:r w:rsidR="001A5E6E">
            <w:rPr>
              <w:rFonts w:asciiTheme="majorHAnsi" w:hAnsiTheme="majorHAnsi" w:cs="Arial"/>
              <w:sz w:val="24"/>
            </w:rPr>
            <w:fldChar w:fldCharType="begin"/>
          </w:r>
          <w:r w:rsidR="007E1077">
            <w:rPr>
              <w:rFonts w:asciiTheme="majorHAnsi" w:hAnsiTheme="majorHAnsi" w:cs="Arial"/>
              <w:sz w:val="24"/>
            </w:rPr>
            <w:instrText xml:space="preserve">CITATION Max111 \l 1033 </w:instrText>
          </w:r>
          <w:r w:rsidR="001A5E6E">
            <w:rPr>
              <w:rFonts w:asciiTheme="majorHAnsi" w:hAnsiTheme="majorHAnsi" w:cs="Arial"/>
              <w:sz w:val="24"/>
            </w:rPr>
            <w:fldChar w:fldCharType="separate"/>
          </w:r>
          <w:r w:rsidR="007E1077" w:rsidRPr="007E1077">
            <w:rPr>
              <w:rFonts w:asciiTheme="majorHAnsi" w:hAnsiTheme="majorHAnsi" w:cs="Arial"/>
              <w:noProof/>
              <w:sz w:val="24"/>
            </w:rPr>
            <w:t>(Maxwell, Vincent, &amp; Ball, 2011)</w:t>
          </w:r>
          <w:r w:rsidR="001A5E6E">
            <w:rPr>
              <w:rFonts w:asciiTheme="majorHAnsi" w:hAnsiTheme="majorHAnsi" w:cs="Arial"/>
              <w:sz w:val="24"/>
            </w:rPr>
            <w:fldChar w:fldCharType="end"/>
          </w:r>
        </w:sdtContent>
      </w:sdt>
      <w:r w:rsidR="001A5E6E">
        <w:rPr>
          <w:rFonts w:asciiTheme="majorHAnsi" w:hAnsiTheme="majorHAnsi" w:cs="Arial"/>
          <w:sz w:val="24"/>
        </w:rPr>
        <w:t xml:space="preserve">.  </w:t>
      </w:r>
      <w:r w:rsidR="00BC6B86">
        <w:rPr>
          <w:rFonts w:asciiTheme="majorHAnsi" w:hAnsiTheme="majorHAnsi" w:cs="Arial"/>
          <w:sz w:val="24"/>
        </w:rPr>
        <w:t>In this study, the researches selected to examine</w:t>
      </w:r>
      <w:r w:rsidR="001A5E6E">
        <w:rPr>
          <w:rFonts w:asciiTheme="majorHAnsi" w:hAnsiTheme="majorHAnsi" w:cs="Arial"/>
          <w:sz w:val="24"/>
        </w:rPr>
        <w:t xml:space="preserve"> </w:t>
      </w:r>
      <w:r w:rsidR="00BC6B86">
        <w:rPr>
          <w:rFonts w:asciiTheme="majorHAnsi" w:hAnsiTheme="majorHAnsi" w:cs="Arial"/>
          <w:sz w:val="24"/>
        </w:rPr>
        <w:t>the first construct</w:t>
      </w:r>
      <w:r w:rsidR="001A5E6E">
        <w:rPr>
          <w:rFonts w:asciiTheme="majorHAnsi" w:hAnsiTheme="majorHAnsi" w:cs="Arial"/>
          <w:sz w:val="24"/>
        </w:rPr>
        <w:t xml:space="preserve">, The Act of Effective Teaching. The three </w:t>
      </w:r>
      <w:r w:rsidR="00BC6B86">
        <w:rPr>
          <w:rFonts w:asciiTheme="majorHAnsi" w:hAnsiTheme="majorHAnsi" w:cs="Arial"/>
          <w:sz w:val="24"/>
        </w:rPr>
        <w:t>sub-</w:t>
      </w:r>
      <w:r w:rsidR="001A5E6E">
        <w:rPr>
          <w:rFonts w:asciiTheme="majorHAnsi" w:hAnsiTheme="majorHAnsi" w:cs="Arial"/>
          <w:sz w:val="24"/>
        </w:rPr>
        <w:t xml:space="preserve">themes which fall under this construct are: Dialogue &amp; Relevance, Student Focus, and </w:t>
      </w:r>
      <w:r w:rsidR="002363AC">
        <w:rPr>
          <w:rFonts w:asciiTheme="majorHAnsi" w:hAnsiTheme="majorHAnsi" w:cs="Arial"/>
          <w:sz w:val="24"/>
        </w:rPr>
        <w:t xml:space="preserve">Thinking &amp; Progressive. </w:t>
      </w:r>
      <w:r w:rsidR="00BC6B86">
        <w:rPr>
          <w:rFonts w:asciiTheme="majorHAnsi" w:hAnsiTheme="majorHAnsi" w:cs="Arial"/>
          <w:sz w:val="24"/>
        </w:rPr>
        <w:t xml:space="preserve">The researchers in the study felt there were limitations in the original study, since it only interviewed the instructors and did observe them in the act of teaching. </w:t>
      </w:r>
      <w:r w:rsidR="002363AC">
        <w:rPr>
          <w:rFonts w:asciiTheme="majorHAnsi" w:hAnsiTheme="majorHAnsi" w:cs="Arial"/>
          <w:sz w:val="24"/>
        </w:rPr>
        <w:t xml:space="preserve">Through the lens of these three </w:t>
      </w:r>
      <w:r w:rsidR="000121EF">
        <w:rPr>
          <w:rFonts w:asciiTheme="majorHAnsi" w:hAnsiTheme="majorHAnsi" w:cs="Arial"/>
          <w:sz w:val="24"/>
        </w:rPr>
        <w:t>sub-</w:t>
      </w:r>
      <w:r w:rsidR="002363AC">
        <w:rPr>
          <w:rFonts w:asciiTheme="majorHAnsi" w:hAnsiTheme="majorHAnsi" w:cs="Arial"/>
          <w:sz w:val="24"/>
        </w:rPr>
        <w:t>themes and the construct model, the researchers are seeking to determine if and how often these themes exists with award winning faculty in the College of Agricultur</w:t>
      </w:r>
      <w:r w:rsidR="000121EF">
        <w:rPr>
          <w:rFonts w:asciiTheme="majorHAnsi" w:hAnsiTheme="majorHAnsi" w:cs="Arial"/>
          <w:sz w:val="24"/>
        </w:rPr>
        <w:t>e at the University of Kentucky by observing them in the classroom.</w:t>
      </w:r>
    </w:p>
    <w:p w:rsidR="009F59DC" w:rsidRDefault="009F59DC" w:rsidP="00AE010C">
      <w:pPr>
        <w:spacing w:line="240" w:lineRule="auto"/>
        <w:contextualSpacing/>
        <w:rPr>
          <w:rFonts w:asciiTheme="majorHAnsi" w:hAnsiTheme="majorHAnsi" w:cs="Arial"/>
          <w:sz w:val="24"/>
        </w:rPr>
      </w:pPr>
    </w:p>
    <w:p w:rsidR="009F59DC" w:rsidRDefault="009F59DC" w:rsidP="00AE010C">
      <w:pPr>
        <w:spacing w:line="240" w:lineRule="auto"/>
        <w:contextualSpacing/>
        <w:jc w:val="center"/>
        <w:rPr>
          <w:rFonts w:asciiTheme="majorHAnsi" w:hAnsiTheme="majorHAnsi" w:cs="Arial"/>
          <w:b/>
          <w:sz w:val="24"/>
        </w:rPr>
      </w:pPr>
      <w:r>
        <w:rPr>
          <w:rFonts w:asciiTheme="majorHAnsi" w:hAnsiTheme="majorHAnsi" w:cs="Arial"/>
          <w:b/>
          <w:sz w:val="24"/>
        </w:rPr>
        <w:t>Methodology</w:t>
      </w:r>
    </w:p>
    <w:p w:rsidR="009F59DC" w:rsidRDefault="009F59DC" w:rsidP="00AE010C">
      <w:pPr>
        <w:spacing w:line="240" w:lineRule="auto"/>
        <w:contextualSpacing/>
        <w:rPr>
          <w:rFonts w:asciiTheme="majorHAnsi" w:hAnsiTheme="majorHAnsi" w:cs="Arial"/>
          <w:sz w:val="24"/>
        </w:rPr>
      </w:pPr>
      <w:r>
        <w:rPr>
          <w:rFonts w:asciiTheme="majorHAnsi" w:hAnsiTheme="majorHAnsi" w:cs="Arial"/>
          <w:sz w:val="24"/>
        </w:rPr>
        <w:tab/>
        <w:t xml:space="preserve">To assess how often and to what extent the three </w:t>
      </w:r>
      <w:r w:rsidR="000121EF">
        <w:rPr>
          <w:rFonts w:asciiTheme="majorHAnsi" w:hAnsiTheme="majorHAnsi" w:cs="Arial"/>
          <w:sz w:val="24"/>
        </w:rPr>
        <w:t>sub-</w:t>
      </w:r>
      <w:r>
        <w:rPr>
          <w:rFonts w:asciiTheme="majorHAnsi" w:hAnsiTheme="majorHAnsi" w:cs="Arial"/>
          <w:sz w:val="24"/>
        </w:rPr>
        <w:t>themes</w:t>
      </w:r>
      <w:r w:rsidR="000121EF">
        <w:rPr>
          <w:rFonts w:asciiTheme="majorHAnsi" w:hAnsiTheme="majorHAnsi" w:cs="Arial"/>
          <w:sz w:val="24"/>
        </w:rPr>
        <w:t xml:space="preserve"> within the Act of Effective Teaching theme, the researchers</w:t>
      </w:r>
      <w:r w:rsidR="00A0383E">
        <w:rPr>
          <w:rFonts w:asciiTheme="majorHAnsi" w:hAnsiTheme="majorHAnsi" w:cs="Arial"/>
          <w:sz w:val="24"/>
        </w:rPr>
        <w:t xml:space="preserve"> chose to evaluate an award-winning faculty member</w:t>
      </w:r>
      <w:r w:rsidR="000121EF">
        <w:rPr>
          <w:rFonts w:asciiTheme="majorHAnsi" w:hAnsiTheme="majorHAnsi" w:cs="Arial"/>
          <w:sz w:val="24"/>
        </w:rPr>
        <w:t>. The participants</w:t>
      </w:r>
      <w:r>
        <w:rPr>
          <w:rFonts w:asciiTheme="majorHAnsi" w:hAnsiTheme="majorHAnsi" w:cs="Arial"/>
          <w:sz w:val="24"/>
        </w:rPr>
        <w:t xml:space="preserve"> 50 minute class was videotaped and then analyzed. The footage was analyzed by each five minute segment. Within every five minute segment, the observer </w:t>
      </w:r>
      <w:r w:rsidR="000121EF">
        <w:rPr>
          <w:rFonts w:asciiTheme="majorHAnsi" w:hAnsiTheme="majorHAnsi" w:cs="Arial"/>
          <w:sz w:val="24"/>
        </w:rPr>
        <w:lastRenderedPageBreak/>
        <w:t>code</w:t>
      </w:r>
      <w:r w:rsidR="00D6107C">
        <w:rPr>
          <w:rFonts w:asciiTheme="majorHAnsi" w:hAnsiTheme="majorHAnsi" w:cs="Arial"/>
          <w:sz w:val="24"/>
        </w:rPr>
        <w:t>d</w:t>
      </w:r>
      <w:r w:rsidR="000121EF">
        <w:rPr>
          <w:rFonts w:asciiTheme="majorHAnsi" w:hAnsiTheme="majorHAnsi" w:cs="Arial"/>
          <w:sz w:val="24"/>
        </w:rPr>
        <w:t xml:space="preserve"> the lesson observed by</w:t>
      </w:r>
      <w:r>
        <w:rPr>
          <w:rFonts w:asciiTheme="majorHAnsi" w:hAnsiTheme="majorHAnsi" w:cs="Arial"/>
          <w:sz w:val="24"/>
        </w:rPr>
        <w:t xml:space="preserve"> each of the three </w:t>
      </w:r>
      <w:r w:rsidR="000121EF">
        <w:rPr>
          <w:rFonts w:asciiTheme="majorHAnsi" w:hAnsiTheme="majorHAnsi" w:cs="Arial"/>
          <w:sz w:val="24"/>
        </w:rPr>
        <w:t>sub-</w:t>
      </w:r>
      <w:r>
        <w:rPr>
          <w:rFonts w:asciiTheme="majorHAnsi" w:hAnsiTheme="majorHAnsi" w:cs="Arial"/>
          <w:sz w:val="24"/>
        </w:rPr>
        <w:t xml:space="preserve">themes </w:t>
      </w:r>
      <w:r w:rsidR="000121EF">
        <w:rPr>
          <w:rFonts w:asciiTheme="majorHAnsi" w:hAnsiTheme="majorHAnsi" w:cs="Arial"/>
          <w:sz w:val="24"/>
        </w:rPr>
        <w:t>within the selected conceptual model.</w:t>
      </w:r>
      <w:r w:rsidR="00AC719B">
        <w:rPr>
          <w:rFonts w:asciiTheme="majorHAnsi" w:hAnsiTheme="majorHAnsi" w:cs="Arial"/>
          <w:sz w:val="24"/>
        </w:rPr>
        <w:t xml:space="preserve"> The information collected was recorded in a database with totals of each five minute segment and the amount of times each theme was prevalent. In addition to the recording of the three </w:t>
      </w:r>
      <w:r w:rsidR="000121EF">
        <w:rPr>
          <w:rFonts w:asciiTheme="majorHAnsi" w:hAnsiTheme="majorHAnsi" w:cs="Arial"/>
          <w:sz w:val="24"/>
        </w:rPr>
        <w:t>sub-</w:t>
      </w:r>
      <w:r w:rsidR="00AC719B">
        <w:rPr>
          <w:rFonts w:asciiTheme="majorHAnsi" w:hAnsiTheme="majorHAnsi" w:cs="Arial"/>
          <w:sz w:val="24"/>
        </w:rPr>
        <w:t>themes, the amount of dead-time was also recorded to examine amount of missed instruction time during the lesson.</w:t>
      </w:r>
      <w:r w:rsidR="000121EF">
        <w:rPr>
          <w:rFonts w:asciiTheme="majorHAnsi" w:hAnsiTheme="majorHAnsi" w:cs="Arial"/>
          <w:sz w:val="24"/>
        </w:rPr>
        <w:t xml:space="preserve"> Dead-time is this research was defined as any amount of time instruction was not taking place.</w:t>
      </w:r>
    </w:p>
    <w:p w:rsidR="00AC719B" w:rsidRDefault="00AC719B" w:rsidP="00AE010C">
      <w:pPr>
        <w:spacing w:line="240" w:lineRule="auto"/>
        <w:contextualSpacing/>
        <w:rPr>
          <w:rFonts w:asciiTheme="majorHAnsi" w:hAnsiTheme="majorHAnsi" w:cs="Arial"/>
          <w:sz w:val="24"/>
        </w:rPr>
      </w:pPr>
    </w:p>
    <w:p w:rsidR="00AC719B" w:rsidRDefault="00AC719B" w:rsidP="00AE010C">
      <w:pPr>
        <w:spacing w:line="240" w:lineRule="auto"/>
        <w:contextualSpacing/>
        <w:jc w:val="center"/>
        <w:rPr>
          <w:rFonts w:asciiTheme="majorHAnsi" w:hAnsiTheme="majorHAnsi" w:cs="Arial"/>
          <w:b/>
          <w:sz w:val="24"/>
        </w:rPr>
      </w:pPr>
      <w:r>
        <w:rPr>
          <w:rFonts w:asciiTheme="majorHAnsi" w:hAnsiTheme="majorHAnsi" w:cs="Arial"/>
          <w:b/>
          <w:sz w:val="24"/>
        </w:rPr>
        <w:t>Results/Findings</w:t>
      </w:r>
    </w:p>
    <w:p w:rsidR="00AC719B" w:rsidRDefault="006A6CB0" w:rsidP="00AE010C">
      <w:pPr>
        <w:spacing w:line="240" w:lineRule="auto"/>
        <w:contextualSpacing/>
        <w:rPr>
          <w:rFonts w:asciiTheme="majorHAnsi" w:hAnsiTheme="majorHAnsi" w:cs="Arial"/>
          <w:sz w:val="24"/>
        </w:rPr>
      </w:pPr>
      <w:r>
        <w:rPr>
          <w:rFonts w:asciiTheme="majorHAnsi" w:hAnsiTheme="majorHAnsi" w:cs="Arial"/>
          <w:noProof/>
          <w:sz w:val="24"/>
        </w:rPr>
        <w:drawing>
          <wp:anchor distT="0" distB="0" distL="114300" distR="114300" simplePos="0" relativeHeight="251658240" behindDoc="1" locked="0" layoutInCell="1" allowOverlap="1" wp14:anchorId="0F1E4D7C" wp14:editId="188F50E3">
            <wp:simplePos x="0" y="0"/>
            <wp:positionH relativeFrom="column">
              <wp:posOffset>714375</wp:posOffset>
            </wp:positionH>
            <wp:positionV relativeFrom="paragraph">
              <wp:posOffset>956945</wp:posOffset>
            </wp:positionV>
            <wp:extent cx="4840934" cy="2552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0934" cy="2552700"/>
                    </a:xfrm>
                    <a:prstGeom prst="rect">
                      <a:avLst/>
                    </a:prstGeom>
                    <a:noFill/>
                  </pic:spPr>
                </pic:pic>
              </a:graphicData>
            </a:graphic>
            <wp14:sizeRelH relativeFrom="page">
              <wp14:pctWidth>0</wp14:pctWidth>
            </wp14:sizeRelH>
            <wp14:sizeRelV relativeFrom="page">
              <wp14:pctHeight>0</wp14:pctHeight>
            </wp14:sizeRelV>
          </wp:anchor>
        </w:drawing>
      </w:r>
      <w:r w:rsidR="00AC719B">
        <w:rPr>
          <w:rFonts w:asciiTheme="majorHAnsi" w:hAnsiTheme="majorHAnsi" w:cs="Arial"/>
          <w:sz w:val="24"/>
        </w:rPr>
        <w:tab/>
        <w:t>From the ana</w:t>
      </w:r>
      <w:r w:rsidR="000121EF">
        <w:rPr>
          <w:rFonts w:asciiTheme="majorHAnsi" w:hAnsiTheme="majorHAnsi" w:cs="Arial"/>
          <w:sz w:val="24"/>
        </w:rPr>
        <w:t>lysis</w:t>
      </w:r>
      <w:r w:rsidR="00AC719B">
        <w:rPr>
          <w:rFonts w:asciiTheme="majorHAnsi" w:hAnsiTheme="majorHAnsi" w:cs="Arial"/>
          <w:sz w:val="24"/>
        </w:rPr>
        <w:t>,</w:t>
      </w:r>
      <w:r w:rsidR="000121EF">
        <w:rPr>
          <w:rFonts w:asciiTheme="majorHAnsi" w:hAnsiTheme="majorHAnsi" w:cs="Arial"/>
          <w:sz w:val="24"/>
        </w:rPr>
        <w:t xml:space="preserve"> of</w:t>
      </w:r>
      <w:r w:rsidR="00AC719B">
        <w:rPr>
          <w:rFonts w:asciiTheme="majorHAnsi" w:hAnsiTheme="majorHAnsi" w:cs="Arial"/>
          <w:sz w:val="24"/>
        </w:rPr>
        <w:t xml:space="preserve"> the three</w:t>
      </w:r>
      <w:r w:rsidR="000121EF">
        <w:rPr>
          <w:rFonts w:asciiTheme="majorHAnsi" w:hAnsiTheme="majorHAnsi" w:cs="Arial"/>
          <w:sz w:val="24"/>
        </w:rPr>
        <w:t xml:space="preserve"> sub-themes</w:t>
      </w:r>
      <w:r w:rsidR="00D6107C">
        <w:rPr>
          <w:rFonts w:asciiTheme="majorHAnsi" w:hAnsiTheme="majorHAnsi" w:cs="Arial"/>
          <w:sz w:val="24"/>
        </w:rPr>
        <w:t xml:space="preserve"> with the major theme of the Act of Effective Teaching, Thought &amp; Progression was observed the most </w:t>
      </w:r>
      <w:r w:rsidR="00D6107C">
        <w:rPr>
          <w:rFonts w:asciiTheme="majorHAnsi" w:hAnsiTheme="majorHAnsi" w:cs="Arial"/>
          <w:sz w:val="24"/>
        </w:rPr>
        <w:t>(</w:t>
      </w:r>
      <w:r w:rsidR="00D6107C">
        <w:rPr>
          <w:rFonts w:asciiTheme="majorHAnsi" w:hAnsiTheme="majorHAnsi" w:cs="Arial"/>
          <w:i/>
          <w:sz w:val="24"/>
        </w:rPr>
        <w:t>f=</w:t>
      </w:r>
      <w:r w:rsidR="00D6107C">
        <w:rPr>
          <w:rFonts w:asciiTheme="majorHAnsi" w:hAnsiTheme="majorHAnsi" w:cs="Arial"/>
          <w:sz w:val="24"/>
        </w:rPr>
        <w:t xml:space="preserve"> 49; 45%) followed by </w:t>
      </w:r>
      <w:r w:rsidR="00AC719B">
        <w:rPr>
          <w:rFonts w:asciiTheme="majorHAnsi" w:hAnsiTheme="majorHAnsi" w:cs="Arial"/>
          <w:sz w:val="24"/>
        </w:rPr>
        <w:t xml:space="preserve">Student Focus </w:t>
      </w:r>
      <w:r w:rsidR="00505164">
        <w:rPr>
          <w:rFonts w:asciiTheme="majorHAnsi" w:hAnsiTheme="majorHAnsi" w:cs="Arial"/>
          <w:sz w:val="24"/>
        </w:rPr>
        <w:t>(</w:t>
      </w:r>
      <w:r w:rsidR="00505164">
        <w:rPr>
          <w:rFonts w:asciiTheme="majorHAnsi" w:hAnsiTheme="majorHAnsi" w:cs="Arial"/>
          <w:i/>
          <w:sz w:val="24"/>
        </w:rPr>
        <w:t xml:space="preserve">f= </w:t>
      </w:r>
      <w:r w:rsidR="00505164">
        <w:rPr>
          <w:rFonts w:asciiTheme="majorHAnsi" w:hAnsiTheme="majorHAnsi" w:cs="Arial"/>
          <w:sz w:val="24"/>
        </w:rPr>
        <w:t>30; 28%)</w:t>
      </w:r>
      <w:r w:rsidR="00AC719B">
        <w:rPr>
          <w:rFonts w:asciiTheme="majorHAnsi" w:hAnsiTheme="majorHAnsi" w:cs="Arial"/>
          <w:sz w:val="24"/>
        </w:rPr>
        <w:t xml:space="preserve">, </w:t>
      </w:r>
      <w:r w:rsidR="00D6107C">
        <w:rPr>
          <w:rFonts w:asciiTheme="majorHAnsi" w:hAnsiTheme="majorHAnsi" w:cs="Arial"/>
          <w:sz w:val="24"/>
        </w:rPr>
        <w:t xml:space="preserve">and the least observed was </w:t>
      </w:r>
      <w:r w:rsidR="00AC719B">
        <w:rPr>
          <w:rFonts w:asciiTheme="majorHAnsi" w:hAnsiTheme="majorHAnsi" w:cs="Arial"/>
          <w:sz w:val="24"/>
        </w:rPr>
        <w:t xml:space="preserve">Dialogue &amp; Relevance </w:t>
      </w:r>
      <w:r w:rsidR="00505164">
        <w:rPr>
          <w:rFonts w:asciiTheme="majorHAnsi" w:hAnsiTheme="majorHAnsi" w:cs="Arial"/>
          <w:sz w:val="24"/>
        </w:rPr>
        <w:t>(</w:t>
      </w:r>
      <w:r w:rsidR="00505164">
        <w:rPr>
          <w:rFonts w:asciiTheme="majorHAnsi" w:hAnsiTheme="majorHAnsi" w:cs="Arial"/>
          <w:i/>
          <w:sz w:val="24"/>
        </w:rPr>
        <w:t>f=</w:t>
      </w:r>
      <w:r w:rsidR="00505164">
        <w:rPr>
          <w:rFonts w:asciiTheme="majorHAnsi" w:hAnsiTheme="majorHAnsi" w:cs="Arial"/>
          <w:sz w:val="24"/>
        </w:rPr>
        <w:t xml:space="preserve"> 29; 27%)</w:t>
      </w:r>
      <w:r w:rsidR="00D6107C">
        <w:rPr>
          <w:rFonts w:asciiTheme="majorHAnsi" w:hAnsiTheme="majorHAnsi" w:cs="Arial"/>
          <w:sz w:val="24"/>
        </w:rPr>
        <w:t>.</w:t>
      </w:r>
      <w:r w:rsidR="00505164">
        <w:rPr>
          <w:rFonts w:asciiTheme="majorHAnsi" w:hAnsiTheme="majorHAnsi" w:cs="Arial"/>
          <w:sz w:val="24"/>
        </w:rPr>
        <w:t xml:space="preserve"> </w:t>
      </w:r>
      <w:r w:rsidR="00D6107C">
        <w:rPr>
          <w:rFonts w:asciiTheme="majorHAnsi" w:hAnsiTheme="majorHAnsi" w:cs="Arial"/>
          <w:sz w:val="24"/>
        </w:rPr>
        <w:t>The total amount of dead-time had an average</w:t>
      </w:r>
      <w:r w:rsidR="00C8435D">
        <w:rPr>
          <w:rFonts w:asciiTheme="majorHAnsi" w:hAnsiTheme="majorHAnsi" w:cs="Arial"/>
          <w:sz w:val="24"/>
        </w:rPr>
        <w:t xml:space="preserve"> of 13.1 seconds, and a total of 2.63%</w:t>
      </w:r>
      <w:r w:rsidR="00D6107C">
        <w:rPr>
          <w:rFonts w:asciiTheme="majorHAnsi" w:hAnsiTheme="majorHAnsi" w:cs="Arial"/>
          <w:sz w:val="24"/>
        </w:rPr>
        <w:t xml:space="preserve">. Figure 1 </w:t>
      </w:r>
      <w:r w:rsidR="009852B1">
        <w:rPr>
          <w:rFonts w:asciiTheme="majorHAnsi" w:hAnsiTheme="majorHAnsi" w:cs="Arial"/>
          <w:sz w:val="24"/>
        </w:rPr>
        <w:t xml:space="preserve">below </w:t>
      </w:r>
      <w:r w:rsidR="00D6107C">
        <w:rPr>
          <w:rFonts w:asciiTheme="majorHAnsi" w:hAnsiTheme="majorHAnsi" w:cs="Arial"/>
          <w:sz w:val="24"/>
        </w:rPr>
        <w:t>illustrates the</w:t>
      </w:r>
      <w:r w:rsidR="009852B1">
        <w:rPr>
          <w:rFonts w:asciiTheme="majorHAnsi" w:hAnsiTheme="majorHAnsi" w:cs="Arial"/>
          <w:sz w:val="24"/>
        </w:rPr>
        <w:t xml:space="preserve"> number of </w:t>
      </w:r>
      <w:r>
        <w:rPr>
          <w:rFonts w:asciiTheme="majorHAnsi" w:hAnsiTheme="majorHAnsi" w:cs="Arial"/>
          <w:sz w:val="24"/>
        </w:rPr>
        <w:t>occurrences;</w:t>
      </w:r>
      <w:r w:rsidR="00D6107C">
        <w:rPr>
          <w:rFonts w:asciiTheme="majorHAnsi" w:hAnsiTheme="majorHAnsi" w:cs="Arial"/>
          <w:sz w:val="24"/>
        </w:rPr>
        <w:t xml:space="preserve"> a sub-theme emerged by five minute intervals. </w:t>
      </w:r>
    </w:p>
    <w:p w:rsidR="00C8435D" w:rsidRPr="00AC719B" w:rsidRDefault="00C8435D" w:rsidP="00AE010C">
      <w:pPr>
        <w:spacing w:line="240" w:lineRule="auto"/>
        <w:contextualSpacing/>
        <w:rPr>
          <w:rFonts w:asciiTheme="majorHAnsi" w:hAnsiTheme="majorHAnsi"/>
          <w:sz w:val="24"/>
        </w:rPr>
      </w:pPr>
    </w:p>
    <w:p w:rsidR="00A40FE6" w:rsidRDefault="00A40FE6" w:rsidP="00AE010C">
      <w:pPr>
        <w:spacing w:line="240" w:lineRule="auto"/>
        <w:contextualSpacing/>
        <w:rPr>
          <w:rFonts w:asciiTheme="majorHAnsi" w:hAnsiTheme="majorHAnsi"/>
          <w:sz w:val="24"/>
        </w:rPr>
      </w:pPr>
    </w:p>
    <w:p w:rsidR="00A40FE6" w:rsidRPr="00A40FE6" w:rsidRDefault="00A40FE6" w:rsidP="00AE010C">
      <w:pPr>
        <w:spacing w:line="240" w:lineRule="auto"/>
        <w:contextualSpacing/>
        <w:rPr>
          <w:rFonts w:asciiTheme="majorHAnsi" w:hAnsiTheme="majorHAnsi"/>
          <w:sz w:val="24"/>
        </w:rPr>
      </w:pPr>
    </w:p>
    <w:p w:rsidR="00A40FE6" w:rsidRPr="00A40FE6" w:rsidRDefault="00A40FE6" w:rsidP="00AE010C">
      <w:pPr>
        <w:spacing w:line="240" w:lineRule="auto"/>
        <w:contextualSpacing/>
        <w:rPr>
          <w:rFonts w:asciiTheme="majorHAnsi" w:hAnsiTheme="majorHAnsi"/>
          <w:sz w:val="24"/>
        </w:rPr>
      </w:pPr>
    </w:p>
    <w:p w:rsidR="00A40FE6" w:rsidRPr="00A40FE6" w:rsidRDefault="00A40FE6" w:rsidP="00AE010C">
      <w:pPr>
        <w:spacing w:line="240" w:lineRule="auto"/>
        <w:contextualSpacing/>
        <w:rPr>
          <w:rFonts w:asciiTheme="majorHAnsi" w:hAnsiTheme="majorHAnsi"/>
          <w:sz w:val="24"/>
        </w:rPr>
      </w:pPr>
    </w:p>
    <w:p w:rsidR="00A40FE6" w:rsidRPr="00A40FE6" w:rsidRDefault="00A40FE6" w:rsidP="00AE010C">
      <w:pPr>
        <w:spacing w:line="240" w:lineRule="auto"/>
        <w:contextualSpacing/>
        <w:rPr>
          <w:rFonts w:asciiTheme="majorHAnsi" w:hAnsiTheme="majorHAnsi"/>
          <w:sz w:val="24"/>
        </w:rPr>
      </w:pPr>
    </w:p>
    <w:p w:rsidR="00A40FE6" w:rsidRPr="00A40FE6" w:rsidRDefault="00A40FE6" w:rsidP="00AE010C">
      <w:pPr>
        <w:spacing w:line="240" w:lineRule="auto"/>
        <w:contextualSpacing/>
        <w:rPr>
          <w:rFonts w:asciiTheme="majorHAnsi" w:hAnsiTheme="majorHAnsi"/>
          <w:sz w:val="24"/>
        </w:rPr>
      </w:pPr>
    </w:p>
    <w:p w:rsidR="00A40FE6" w:rsidRPr="00A40FE6" w:rsidRDefault="00A40FE6" w:rsidP="00AE010C">
      <w:pPr>
        <w:spacing w:line="240" w:lineRule="auto"/>
        <w:contextualSpacing/>
        <w:rPr>
          <w:rFonts w:asciiTheme="majorHAnsi" w:hAnsiTheme="majorHAnsi"/>
          <w:sz w:val="24"/>
        </w:rPr>
      </w:pPr>
    </w:p>
    <w:p w:rsidR="00A40FE6" w:rsidRPr="00A40FE6" w:rsidRDefault="00A40FE6" w:rsidP="00AE010C">
      <w:pPr>
        <w:spacing w:line="240" w:lineRule="auto"/>
        <w:contextualSpacing/>
        <w:rPr>
          <w:rFonts w:asciiTheme="majorHAnsi" w:hAnsiTheme="majorHAnsi"/>
          <w:sz w:val="24"/>
        </w:rPr>
      </w:pPr>
    </w:p>
    <w:p w:rsidR="00A40FE6" w:rsidRPr="00A40FE6" w:rsidRDefault="00A40FE6" w:rsidP="00AE010C">
      <w:pPr>
        <w:spacing w:line="240" w:lineRule="auto"/>
        <w:contextualSpacing/>
        <w:rPr>
          <w:rFonts w:asciiTheme="majorHAnsi" w:hAnsiTheme="majorHAnsi"/>
          <w:sz w:val="24"/>
        </w:rPr>
      </w:pPr>
    </w:p>
    <w:p w:rsidR="00AE010C" w:rsidRDefault="00AE010C" w:rsidP="00AE010C">
      <w:pPr>
        <w:spacing w:line="240" w:lineRule="auto"/>
        <w:contextualSpacing/>
        <w:jc w:val="center"/>
        <w:rPr>
          <w:rFonts w:asciiTheme="majorHAnsi" w:hAnsiTheme="majorHAnsi"/>
          <w:b/>
          <w:sz w:val="24"/>
        </w:rPr>
      </w:pPr>
    </w:p>
    <w:p w:rsidR="00AE010C" w:rsidRDefault="00AE010C" w:rsidP="00AE010C">
      <w:pPr>
        <w:spacing w:line="240" w:lineRule="auto"/>
        <w:contextualSpacing/>
        <w:jc w:val="center"/>
        <w:rPr>
          <w:rFonts w:asciiTheme="majorHAnsi" w:hAnsiTheme="majorHAnsi"/>
          <w:b/>
          <w:sz w:val="24"/>
        </w:rPr>
      </w:pPr>
    </w:p>
    <w:p w:rsidR="00AE010C" w:rsidRDefault="00AE010C" w:rsidP="00AE010C">
      <w:pPr>
        <w:spacing w:line="240" w:lineRule="auto"/>
        <w:contextualSpacing/>
        <w:jc w:val="center"/>
        <w:rPr>
          <w:rFonts w:asciiTheme="majorHAnsi" w:hAnsiTheme="majorHAnsi"/>
          <w:b/>
          <w:sz w:val="24"/>
        </w:rPr>
      </w:pPr>
    </w:p>
    <w:p w:rsidR="00AE010C" w:rsidRDefault="00AE010C" w:rsidP="006A6CB0">
      <w:pPr>
        <w:spacing w:line="240" w:lineRule="auto"/>
        <w:contextualSpacing/>
        <w:rPr>
          <w:rFonts w:asciiTheme="majorHAnsi" w:hAnsiTheme="majorHAnsi"/>
          <w:b/>
          <w:sz w:val="24"/>
        </w:rPr>
      </w:pPr>
    </w:p>
    <w:p w:rsidR="00A40FE6" w:rsidRDefault="00AE010C" w:rsidP="00AE010C">
      <w:pPr>
        <w:spacing w:line="240" w:lineRule="auto"/>
        <w:contextualSpacing/>
        <w:jc w:val="center"/>
        <w:rPr>
          <w:rFonts w:asciiTheme="majorHAnsi" w:hAnsiTheme="majorHAnsi"/>
          <w:b/>
          <w:sz w:val="24"/>
        </w:rPr>
      </w:pPr>
      <w:r>
        <w:rPr>
          <w:rFonts w:asciiTheme="majorHAnsi" w:hAnsiTheme="majorHAnsi"/>
          <w:b/>
          <w:sz w:val="24"/>
        </w:rPr>
        <w:t>Conclusions, Implications, and Recommendations</w:t>
      </w:r>
    </w:p>
    <w:p w:rsidR="008D4EE4" w:rsidRDefault="006A6CB0" w:rsidP="00E30DD6">
      <w:pPr>
        <w:spacing w:line="240" w:lineRule="auto"/>
        <w:contextualSpacing/>
        <w:rPr>
          <w:rFonts w:asciiTheme="majorHAnsi" w:hAnsiTheme="majorHAnsi"/>
          <w:sz w:val="24"/>
        </w:rPr>
      </w:pPr>
      <w:r>
        <w:rPr>
          <w:rFonts w:asciiTheme="majorHAnsi" w:hAnsiTheme="majorHAnsi"/>
          <w:b/>
          <w:sz w:val="24"/>
        </w:rPr>
        <w:tab/>
      </w:r>
      <w:r>
        <w:rPr>
          <w:rFonts w:asciiTheme="majorHAnsi" w:hAnsiTheme="majorHAnsi"/>
          <w:sz w:val="24"/>
        </w:rPr>
        <w:t>This is an evaluation of one instructor and it was evident all sub-themes were prevalent in the 50 minute instruction. Figure 1 above</w:t>
      </w:r>
      <w:r w:rsidR="009375EC">
        <w:rPr>
          <w:rFonts w:asciiTheme="majorHAnsi" w:hAnsiTheme="majorHAnsi"/>
          <w:sz w:val="24"/>
        </w:rPr>
        <w:t xml:space="preserve"> indicates the</w:t>
      </w:r>
      <w:r>
        <w:rPr>
          <w:rFonts w:asciiTheme="majorHAnsi" w:hAnsiTheme="majorHAnsi"/>
          <w:sz w:val="24"/>
        </w:rPr>
        <w:t xml:space="preserve"> </w:t>
      </w:r>
      <w:r w:rsidR="009375EC">
        <w:rPr>
          <w:rFonts w:asciiTheme="majorHAnsi" w:hAnsiTheme="majorHAnsi"/>
          <w:sz w:val="24"/>
        </w:rPr>
        <w:t>increase and decrease of sub</w:t>
      </w:r>
      <w:r>
        <w:rPr>
          <w:rFonts w:asciiTheme="majorHAnsi" w:hAnsiTheme="majorHAnsi"/>
          <w:sz w:val="24"/>
        </w:rPr>
        <w:t xml:space="preserve">-themes over the timespan of the lesson. It </w:t>
      </w:r>
      <w:r w:rsidR="009375EC">
        <w:rPr>
          <w:rFonts w:asciiTheme="majorHAnsi" w:hAnsiTheme="majorHAnsi"/>
          <w:sz w:val="24"/>
        </w:rPr>
        <w:t>shows</w:t>
      </w:r>
      <w:r>
        <w:rPr>
          <w:rFonts w:asciiTheme="majorHAnsi" w:hAnsiTheme="majorHAnsi"/>
          <w:sz w:val="24"/>
        </w:rPr>
        <w:t xml:space="preserve"> that both Student Focus and </w:t>
      </w:r>
      <w:r w:rsidR="009375EC">
        <w:rPr>
          <w:rFonts w:asciiTheme="majorHAnsi" w:hAnsiTheme="majorHAnsi"/>
          <w:sz w:val="24"/>
        </w:rPr>
        <w:t>Dialogue</w:t>
      </w:r>
      <w:r>
        <w:rPr>
          <w:rFonts w:asciiTheme="majorHAnsi" w:hAnsiTheme="majorHAnsi"/>
          <w:sz w:val="24"/>
        </w:rPr>
        <w:t xml:space="preserve"> </w:t>
      </w:r>
      <w:r w:rsidR="009375EC">
        <w:rPr>
          <w:rFonts w:asciiTheme="majorHAnsi" w:hAnsiTheme="majorHAnsi"/>
          <w:sz w:val="24"/>
        </w:rPr>
        <w:t xml:space="preserve">&amp; Relevance gradually peaked at 20 minutes in to the lesson. After 20 minutes, the two sub-themes began </w:t>
      </w:r>
      <w:r w:rsidR="000D17D7">
        <w:rPr>
          <w:rFonts w:asciiTheme="majorHAnsi" w:hAnsiTheme="majorHAnsi"/>
          <w:sz w:val="24"/>
        </w:rPr>
        <w:t>to drop and level out. However,</w:t>
      </w:r>
      <w:r w:rsidR="009375EC">
        <w:rPr>
          <w:rFonts w:asciiTheme="majorHAnsi" w:hAnsiTheme="majorHAnsi"/>
          <w:sz w:val="24"/>
        </w:rPr>
        <w:t xml:space="preserve"> Thinking &amp; Progression rises and falls throughout the lesson and is more apparent.  </w:t>
      </w:r>
      <w:r w:rsidR="000D17D7">
        <w:rPr>
          <w:rFonts w:asciiTheme="majorHAnsi" w:hAnsiTheme="majorHAnsi"/>
          <w:sz w:val="24"/>
        </w:rPr>
        <w:t xml:space="preserve">It was </w:t>
      </w:r>
      <w:r w:rsidR="009375EC">
        <w:rPr>
          <w:rFonts w:asciiTheme="majorHAnsi" w:hAnsiTheme="majorHAnsi"/>
          <w:sz w:val="24"/>
        </w:rPr>
        <w:t>conclude</w:t>
      </w:r>
      <w:r w:rsidR="000D17D7">
        <w:rPr>
          <w:rFonts w:asciiTheme="majorHAnsi" w:hAnsiTheme="majorHAnsi"/>
          <w:sz w:val="24"/>
        </w:rPr>
        <w:t>d</w:t>
      </w:r>
      <w:r w:rsidR="009375EC">
        <w:rPr>
          <w:rFonts w:asciiTheme="majorHAnsi" w:hAnsiTheme="majorHAnsi"/>
          <w:sz w:val="24"/>
        </w:rPr>
        <w:t>, based on the findings</w:t>
      </w:r>
      <w:r w:rsidR="00A0383E">
        <w:rPr>
          <w:rFonts w:asciiTheme="majorHAnsi" w:hAnsiTheme="majorHAnsi"/>
          <w:sz w:val="24"/>
        </w:rPr>
        <w:t>,</w:t>
      </w:r>
      <w:r w:rsidR="009375EC">
        <w:rPr>
          <w:rFonts w:asciiTheme="majorHAnsi" w:hAnsiTheme="majorHAnsi"/>
          <w:sz w:val="24"/>
        </w:rPr>
        <w:t xml:space="preserve"> that the three sub-themes are indeed prevalent in award-winning instructors, but the </w:t>
      </w:r>
      <w:r w:rsidR="000D17D7">
        <w:rPr>
          <w:rFonts w:asciiTheme="majorHAnsi" w:hAnsiTheme="majorHAnsi"/>
          <w:sz w:val="24"/>
        </w:rPr>
        <w:t xml:space="preserve">results </w:t>
      </w:r>
      <w:r w:rsidR="009375EC">
        <w:rPr>
          <w:rFonts w:asciiTheme="majorHAnsi" w:hAnsiTheme="majorHAnsi"/>
          <w:sz w:val="24"/>
        </w:rPr>
        <w:t xml:space="preserve"> </w:t>
      </w:r>
      <w:r w:rsidR="000D17D7">
        <w:rPr>
          <w:rFonts w:asciiTheme="majorHAnsi" w:hAnsiTheme="majorHAnsi"/>
          <w:sz w:val="24"/>
        </w:rPr>
        <w:t>from the award-winning</w:t>
      </w:r>
      <w:r w:rsidR="009375EC">
        <w:rPr>
          <w:rFonts w:asciiTheme="majorHAnsi" w:hAnsiTheme="majorHAnsi"/>
          <w:sz w:val="24"/>
        </w:rPr>
        <w:t xml:space="preserve"> instructor does not hold consistent throughout the lesson and tends to be stronger in Thinking &amp; Progression. </w:t>
      </w:r>
      <w:r w:rsidR="000D17D7">
        <w:rPr>
          <w:rFonts w:asciiTheme="majorHAnsi" w:hAnsiTheme="majorHAnsi"/>
          <w:sz w:val="24"/>
        </w:rPr>
        <w:t xml:space="preserve">It would be recommended to the instructor to increase the consistency of their instruction to strengthen the two weaker sub-themes.  Further evaluation is recommended in order to see if the trends are consistent. </w:t>
      </w:r>
      <w:r w:rsidR="00A0383E">
        <w:rPr>
          <w:rFonts w:asciiTheme="majorHAnsi" w:hAnsiTheme="majorHAnsi"/>
          <w:sz w:val="24"/>
        </w:rPr>
        <w:t xml:space="preserve">The Framework for Effective College Teaching model by </w:t>
      </w:r>
      <w:r w:rsidR="00A0383E">
        <w:rPr>
          <w:rFonts w:asciiTheme="majorHAnsi" w:hAnsiTheme="majorHAnsi" w:cs="Arial"/>
          <w:sz w:val="24"/>
        </w:rPr>
        <w:t>Maxwell, Vincent, and Ball, 2011</w:t>
      </w:r>
      <w:r w:rsidR="00A0383E">
        <w:rPr>
          <w:rFonts w:asciiTheme="majorHAnsi" w:hAnsiTheme="majorHAnsi" w:cs="Arial"/>
          <w:sz w:val="24"/>
        </w:rPr>
        <w:t xml:space="preserve"> appears to be a quality model for evaluating effective college teaching. It is recommended further evaluation of various experience levels of instructors</w:t>
      </w:r>
      <w:proofErr w:type="gramStart"/>
      <w:r w:rsidR="00A0383E">
        <w:rPr>
          <w:rFonts w:asciiTheme="majorHAnsi" w:hAnsiTheme="majorHAnsi" w:cs="Arial"/>
          <w:sz w:val="24"/>
        </w:rPr>
        <w:t>.</w:t>
      </w:r>
      <w:r w:rsidR="008D4EE4">
        <w:rPr>
          <w:rFonts w:asciiTheme="majorHAnsi" w:hAnsiTheme="majorHAnsi" w:cs="Arial"/>
          <w:sz w:val="24"/>
        </w:rPr>
        <w:t>.</w:t>
      </w:r>
      <w:proofErr w:type="gramEnd"/>
      <w:r w:rsidR="008D4EE4">
        <w:rPr>
          <w:rFonts w:asciiTheme="majorHAnsi" w:hAnsiTheme="majorHAnsi" w:cs="Arial"/>
          <w:sz w:val="24"/>
        </w:rPr>
        <w:t xml:space="preserve"> </w:t>
      </w:r>
      <w:r w:rsidR="00A0383E">
        <w:rPr>
          <w:rFonts w:asciiTheme="majorHAnsi" w:hAnsiTheme="majorHAnsi" w:cs="Arial"/>
          <w:sz w:val="24"/>
        </w:rPr>
        <w:t xml:space="preserve"> The information will be a valuable tool in better preparing current and future faculty to ensure their instruction time is utilized to prov</w:t>
      </w:r>
      <w:r w:rsidR="008D4EE4">
        <w:rPr>
          <w:rFonts w:asciiTheme="majorHAnsi" w:hAnsiTheme="majorHAnsi" w:cs="Arial"/>
          <w:sz w:val="24"/>
        </w:rPr>
        <w:t>id</w:t>
      </w:r>
      <w:r w:rsidR="00A0383E">
        <w:rPr>
          <w:rFonts w:asciiTheme="majorHAnsi" w:hAnsiTheme="majorHAnsi" w:cs="Arial"/>
          <w:sz w:val="24"/>
        </w:rPr>
        <w:t>e an engaging, student focused, and thought-provoking educational experience.</w:t>
      </w:r>
      <w:bookmarkStart w:id="0" w:name="_GoBack"/>
      <w:bookmarkEnd w:id="0"/>
    </w:p>
    <w:p w:rsidR="008D4EE4" w:rsidRPr="003942E7" w:rsidRDefault="003942E7" w:rsidP="003942E7">
      <w:pPr>
        <w:spacing w:line="240" w:lineRule="auto"/>
        <w:contextualSpacing/>
        <w:jc w:val="center"/>
        <w:rPr>
          <w:rFonts w:asciiTheme="majorHAnsi" w:hAnsiTheme="majorHAnsi"/>
          <w:b/>
          <w:sz w:val="24"/>
        </w:rPr>
      </w:pPr>
      <w:r>
        <w:rPr>
          <w:rFonts w:asciiTheme="majorHAnsi" w:hAnsiTheme="majorHAnsi"/>
          <w:b/>
          <w:sz w:val="24"/>
        </w:rPr>
        <w:lastRenderedPageBreak/>
        <w:t>References</w:t>
      </w:r>
    </w:p>
    <w:sdt>
      <w:sdtPr>
        <w:id w:val="2076935394"/>
        <w:docPartObj>
          <w:docPartGallery w:val="Bibliographies"/>
          <w:docPartUnique/>
        </w:docPartObj>
      </w:sdtPr>
      <w:sdtEndPr>
        <w:rPr>
          <w:rFonts w:asciiTheme="minorHAnsi" w:eastAsiaTheme="minorHAnsi" w:hAnsiTheme="minorHAnsi" w:cstheme="minorBidi"/>
          <w:color w:val="auto"/>
          <w:sz w:val="22"/>
          <w:szCs w:val="22"/>
          <w:lang w:eastAsia="en-US"/>
        </w:rPr>
      </w:sdtEndPr>
      <w:sdtContent>
        <w:p w:rsidR="007E1077" w:rsidRDefault="007E1077">
          <w:pPr>
            <w:pStyle w:val="Heading1"/>
          </w:pPr>
        </w:p>
        <w:p w:rsidR="007E1077" w:rsidRDefault="007E1077" w:rsidP="007E1077">
          <w:pPr>
            <w:pStyle w:val="Bibliography"/>
            <w:ind w:left="720" w:hanging="720"/>
            <w:rPr>
              <w:noProof/>
            </w:rPr>
          </w:pPr>
          <w:r>
            <w:fldChar w:fldCharType="begin"/>
          </w:r>
          <w:r>
            <w:instrText xml:space="preserve"> BIBLIOGRAPHY </w:instrText>
          </w:r>
          <w:r>
            <w:fldChar w:fldCharType="separate"/>
          </w:r>
          <w:r>
            <w:rPr>
              <w:noProof/>
            </w:rPr>
            <w:t xml:space="preserve">Estepp, C. M., &amp; Roberts, G. T. </w:t>
          </w:r>
          <w:r w:rsidR="003942E7">
            <w:rPr>
              <w:noProof/>
            </w:rPr>
            <w:t>"</w:t>
          </w:r>
          <w:r>
            <w:rPr>
              <w:noProof/>
            </w:rPr>
            <w:t>Teaching Behaviors Contributing to Student Content Engagement: A Socially Constructed Consenus of Undergraduate Students in a College of Agriculture</w:t>
          </w:r>
          <w:r w:rsidR="003942E7">
            <w:rPr>
              <w:noProof/>
            </w:rPr>
            <w:t xml:space="preserve">" </w:t>
          </w:r>
          <w:r w:rsidR="003942E7">
            <w:rPr>
              <w:noProof/>
            </w:rPr>
            <w:t>(2013)</w:t>
          </w:r>
          <w:r>
            <w:rPr>
              <w:noProof/>
            </w:rPr>
            <w:t xml:space="preserve">. </w:t>
          </w:r>
          <w:r>
            <w:rPr>
              <w:i/>
              <w:iCs/>
              <w:noProof/>
            </w:rPr>
            <w:t>Journal of Agriculture Education, 54(1)</w:t>
          </w:r>
          <w:r>
            <w:rPr>
              <w:noProof/>
            </w:rPr>
            <w:t>, 97-110.  doi: 10.5032/jae.2013.01097</w:t>
          </w:r>
        </w:p>
        <w:p w:rsidR="007E1077" w:rsidRDefault="007E1077" w:rsidP="007E1077">
          <w:pPr>
            <w:pStyle w:val="Bibliography"/>
            <w:ind w:left="720" w:hanging="720"/>
            <w:rPr>
              <w:noProof/>
            </w:rPr>
          </w:pPr>
          <w:r>
            <w:rPr>
              <w:noProof/>
            </w:rPr>
            <w:t xml:space="preserve">Estepp, C. M., Stripling, C. T., Conner, N. W., Aaron, G., &amp; Roberts, G. T. </w:t>
          </w:r>
          <w:r w:rsidR="003942E7">
            <w:rPr>
              <w:noProof/>
            </w:rPr>
            <w:t>"</w:t>
          </w:r>
          <w:r>
            <w:rPr>
              <w:noProof/>
            </w:rPr>
            <w:t>An Examination of the Learning Activities, Cognitive Level of Instruction, and Teaching Immediacy Behaviors of Successful Instructors in a College of Agriculture</w:t>
          </w:r>
          <w:r w:rsidR="003942E7">
            <w:rPr>
              <w:noProof/>
            </w:rPr>
            <w:t>" (2013)</w:t>
          </w:r>
          <w:r>
            <w:rPr>
              <w:noProof/>
            </w:rPr>
            <w:t xml:space="preserve">. </w:t>
          </w:r>
          <w:r>
            <w:rPr>
              <w:i/>
              <w:iCs/>
              <w:noProof/>
            </w:rPr>
            <w:t>Journal of Agriculture Education</w:t>
          </w:r>
          <w:r w:rsidR="003942E7">
            <w:rPr>
              <w:i/>
              <w:iCs/>
              <w:noProof/>
            </w:rPr>
            <w:t xml:space="preserve"> 54(2)</w:t>
          </w:r>
          <w:r>
            <w:rPr>
              <w:noProof/>
            </w:rPr>
            <w:t>, 15-28.</w:t>
          </w:r>
          <w:r w:rsidR="003942E7">
            <w:rPr>
              <w:noProof/>
            </w:rPr>
            <w:t xml:space="preserve">  doi: 10.5032/jae.2013.02015</w:t>
          </w:r>
        </w:p>
        <w:p w:rsidR="007E1077" w:rsidRDefault="007E1077" w:rsidP="007E1077">
          <w:pPr>
            <w:pStyle w:val="Bibliography"/>
            <w:ind w:left="720" w:hanging="720"/>
            <w:rPr>
              <w:noProof/>
            </w:rPr>
          </w:pPr>
          <w:r>
            <w:rPr>
              <w:noProof/>
            </w:rPr>
            <w:t xml:space="preserve">Maxwell, L., Vincent, S., &amp; Ball, A. </w:t>
          </w:r>
          <w:r w:rsidR="003942E7">
            <w:rPr>
              <w:noProof/>
            </w:rPr>
            <w:t>"</w:t>
          </w:r>
          <w:r>
            <w:rPr>
              <w:noProof/>
            </w:rPr>
            <w:t>Teaching Effectively: Award Wi</w:t>
          </w:r>
          <w:r w:rsidR="003942E7">
            <w:rPr>
              <w:noProof/>
            </w:rPr>
            <w:t xml:space="preserve">nning Faculty Share Their Views" </w:t>
          </w:r>
          <w:r w:rsidR="003942E7">
            <w:rPr>
              <w:noProof/>
            </w:rPr>
            <w:t>(2011).</w:t>
          </w:r>
          <w:r>
            <w:rPr>
              <w:noProof/>
            </w:rPr>
            <w:t xml:space="preserve"> </w:t>
          </w:r>
          <w:r>
            <w:rPr>
              <w:i/>
              <w:iCs/>
              <w:noProof/>
            </w:rPr>
            <w:t>Journal of Agricultural Education, 52</w:t>
          </w:r>
          <w:r>
            <w:rPr>
              <w:noProof/>
            </w:rPr>
            <w:t>(4), 162-174.  doi: 10.5032/jae.2011.04162</w:t>
          </w:r>
        </w:p>
        <w:p w:rsidR="007E1077" w:rsidRPr="003942E7" w:rsidRDefault="007E1077" w:rsidP="007E1077">
          <w:pPr>
            <w:pStyle w:val="Bibliography"/>
            <w:ind w:left="720" w:hanging="720"/>
            <w:rPr>
              <w:noProof/>
            </w:rPr>
          </w:pPr>
          <w:r>
            <w:rPr>
              <w:noProof/>
            </w:rPr>
            <w:t>McKim, B., Enns, K., Smit</w:t>
          </w:r>
          <w:r w:rsidR="003942E7">
            <w:rPr>
              <w:noProof/>
            </w:rPr>
            <w:t>h, A., &amp; Aschenbrener, M</w:t>
          </w:r>
          <w:r>
            <w:rPr>
              <w:noProof/>
            </w:rPr>
            <w:t xml:space="preserve">. </w:t>
          </w:r>
          <w:r w:rsidR="003942E7">
            <w:rPr>
              <w:noProof/>
            </w:rPr>
            <w:t>"</w:t>
          </w:r>
          <w:r>
            <w:rPr>
              <w:noProof/>
            </w:rPr>
            <w:t>Toward a framework for Effective Teaching in Agriculture Education: A Multi-State Factor-Analytic and Psychometric</w:t>
          </w:r>
          <w:r w:rsidR="003942E7">
            <w:rPr>
              <w:noProof/>
            </w:rPr>
            <w:t xml:space="preserve"> Analysis of Effective Teaching" (2013). </w:t>
          </w:r>
          <w:r>
            <w:rPr>
              <w:noProof/>
            </w:rPr>
            <w:t xml:space="preserve"> </w:t>
          </w:r>
          <w:r>
            <w:rPr>
              <w:i/>
              <w:iCs/>
              <w:noProof/>
            </w:rPr>
            <w:t>Agricultural Systems Technology and Education</w:t>
          </w:r>
          <w:r w:rsidR="003942E7">
            <w:rPr>
              <w:noProof/>
            </w:rPr>
            <w:t xml:space="preserve"> </w:t>
          </w:r>
          <w:r w:rsidR="003942E7">
            <w:rPr>
              <w:i/>
              <w:noProof/>
            </w:rPr>
            <w:t xml:space="preserve">Faculty Publications. </w:t>
          </w:r>
          <w:r w:rsidR="003942E7">
            <w:rPr>
              <w:noProof/>
            </w:rPr>
            <w:t>Paper 2. http://digitalcommons.usu.edu/aste_facpub/2</w:t>
          </w:r>
        </w:p>
        <w:p w:rsidR="007E1077" w:rsidRDefault="007E1077" w:rsidP="007E1077">
          <w:r>
            <w:rPr>
              <w:b/>
              <w:bCs/>
            </w:rPr>
            <w:fldChar w:fldCharType="end"/>
          </w:r>
        </w:p>
      </w:sdtContent>
    </w:sdt>
    <w:p w:rsidR="008D4EE4" w:rsidRDefault="008D4EE4"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7E1077" w:rsidRDefault="007E1077" w:rsidP="00E30DD6">
      <w:pPr>
        <w:spacing w:line="240" w:lineRule="auto"/>
        <w:contextualSpacing/>
        <w:rPr>
          <w:rFonts w:asciiTheme="majorHAnsi" w:hAnsiTheme="majorHAnsi"/>
          <w:sz w:val="24"/>
        </w:rPr>
      </w:pPr>
    </w:p>
    <w:p w:rsidR="007E1077" w:rsidRDefault="007E1077" w:rsidP="00E30DD6">
      <w:pPr>
        <w:spacing w:line="240" w:lineRule="auto"/>
        <w:contextualSpacing/>
        <w:rPr>
          <w:rFonts w:asciiTheme="majorHAnsi" w:hAnsiTheme="majorHAnsi"/>
          <w:sz w:val="24"/>
        </w:rPr>
      </w:pPr>
    </w:p>
    <w:p w:rsidR="007E1077" w:rsidRDefault="007E1077"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8D4EE4" w:rsidRDefault="008D4EE4" w:rsidP="00E30DD6">
      <w:pPr>
        <w:spacing w:line="240" w:lineRule="auto"/>
        <w:contextualSpacing/>
        <w:rPr>
          <w:rFonts w:asciiTheme="majorHAnsi" w:hAnsiTheme="majorHAnsi"/>
          <w:sz w:val="24"/>
        </w:rPr>
      </w:pPr>
    </w:p>
    <w:p w:rsidR="008D4EE4" w:rsidRPr="00A40FE6" w:rsidRDefault="008D4EE4" w:rsidP="00E30DD6">
      <w:pPr>
        <w:spacing w:line="240" w:lineRule="auto"/>
        <w:contextualSpacing/>
        <w:rPr>
          <w:rFonts w:asciiTheme="majorHAnsi" w:hAnsiTheme="majorHAnsi"/>
          <w:sz w:val="24"/>
        </w:rPr>
      </w:pPr>
    </w:p>
    <w:sectPr w:rsidR="008D4EE4" w:rsidRPr="00A40FE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1A4" w:rsidRDefault="00C561A4" w:rsidP="003942E7">
      <w:pPr>
        <w:spacing w:after="0" w:line="240" w:lineRule="auto"/>
      </w:pPr>
      <w:r>
        <w:separator/>
      </w:r>
    </w:p>
  </w:endnote>
  <w:endnote w:type="continuationSeparator" w:id="0">
    <w:p w:rsidR="00C561A4" w:rsidRDefault="00C561A4" w:rsidP="00394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1A4" w:rsidRDefault="00C561A4" w:rsidP="003942E7">
      <w:pPr>
        <w:spacing w:after="0" w:line="240" w:lineRule="auto"/>
      </w:pPr>
      <w:r>
        <w:separator/>
      </w:r>
    </w:p>
  </w:footnote>
  <w:footnote w:type="continuationSeparator" w:id="0">
    <w:p w:rsidR="00C561A4" w:rsidRDefault="00C561A4" w:rsidP="003942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413"/>
    <w:rsid w:val="000121EF"/>
    <w:rsid w:val="000D17D7"/>
    <w:rsid w:val="001573AE"/>
    <w:rsid w:val="001A5E6E"/>
    <w:rsid w:val="001E3306"/>
    <w:rsid w:val="002363AC"/>
    <w:rsid w:val="002B5413"/>
    <w:rsid w:val="00320B62"/>
    <w:rsid w:val="003942E7"/>
    <w:rsid w:val="00505164"/>
    <w:rsid w:val="006A6CB0"/>
    <w:rsid w:val="007E1077"/>
    <w:rsid w:val="008D4EE4"/>
    <w:rsid w:val="009375EC"/>
    <w:rsid w:val="009852B1"/>
    <w:rsid w:val="009F59DC"/>
    <w:rsid w:val="00A0383E"/>
    <w:rsid w:val="00A1633A"/>
    <w:rsid w:val="00A40FE6"/>
    <w:rsid w:val="00AC719B"/>
    <w:rsid w:val="00AE010C"/>
    <w:rsid w:val="00BC6B86"/>
    <w:rsid w:val="00C561A4"/>
    <w:rsid w:val="00C7122D"/>
    <w:rsid w:val="00C8435D"/>
    <w:rsid w:val="00D05EE7"/>
    <w:rsid w:val="00D33A6D"/>
    <w:rsid w:val="00D6107C"/>
    <w:rsid w:val="00D702D9"/>
    <w:rsid w:val="00D76C5B"/>
    <w:rsid w:val="00DF5DD9"/>
    <w:rsid w:val="00E30DD6"/>
    <w:rsid w:val="00ED5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D4EE4"/>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122D"/>
    <w:rPr>
      <w:color w:val="0000FF" w:themeColor="hyperlink"/>
      <w:u w:val="single"/>
    </w:rPr>
  </w:style>
  <w:style w:type="paragraph" w:styleId="BalloonText">
    <w:name w:val="Balloon Text"/>
    <w:basedOn w:val="Normal"/>
    <w:link w:val="BalloonTextChar"/>
    <w:uiPriority w:val="99"/>
    <w:semiHidden/>
    <w:unhideWhenUsed/>
    <w:rsid w:val="00A1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33A"/>
    <w:rPr>
      <w:rFonts w:ascii="Tahoma" w:hAnsi="Tahoma" w:cs="Tahoma"/>
      <w:sz w:val="16"/>
      <w:szCs w:val="16"/>
    </w:rPr>
  </w:style>
  <w:style w:type="character" w:customStyle="1" w:styleId="Heading1Char">
    <w:name w:val="Heading 1 Char"/>
    <w:basedOn w:val="DefaultParagraphFont"/>
    <w:link w:val="Heading1"/>
    <w:uiPriority w:val="9"/>
    <w:rsid w:val="008D4EE4"/>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8D4EE4"/>
  </w:style>
  <w:style w:type="paragraph" w:styleId="Header">
    <w:name w:val="header"/>
    <w:basedOn w:val="Normal"/>
    <w:link w:val="HeaderChar"/>
    <w:uiPriority w:val="99"/>
    <w:unhideWhenUsed/>
    <w:rsid w:val="003942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42E7"/>
  </w:style>
  <w:style w:type="paragraph" w:styleId="Footer">
    <w:name w:val="footer"/>
    <w:basedOn w:val="Normal"/>
    <w:link w:val="FooterChar"/>
    <w:uiPriority w:val="99"/>
    <w:unhideWhenUsed/>
    <w:rsid w:val="003942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42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D4EE4"/>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122D"/>
    <w:rPr>
      <w:color w:val="0000FF" w:themeColor="hyperlink"/>
      <w:u w:val="single"/>
    </w:rPr>
  </w:style>
  <w:style w:type="paragraph" w:styleId="BalloonText">
    <w:name w:val="Balloon Text"/>
    <w:basedOn w:val="Normal"/>
    <w:link w:val="BalloonTextChar"/>
    <w:uiPriority w:val="99"/>
    <w:semiHidden/>
    <w:unhideWhenUsed/>
    <w:rsid w:val="00A1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33A"/>
    <w:rPr>
      <w:rFonts w:ascii="Tahoma" w:hAnsi="Tahoma" w:cs="Tahoma"/>
      <w:sz w:val="16"/>
      <w:szCs w:val="16"/>
    </w:rPr>
  </w:style>
  <w:style w:type="character" w:customStyle="1" w:styleId="Heading1Char">
    <w:name w:val="Heading 1 Char"/>
    <w:basedOn w:val="DefaultParagraphFont"/>
    <w:link w:val="Heading1"/>
    <w:uiPriority w:val="9"/>
    <w:rsid w:val="008D4EE4"/>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8D4EE4"/>
  </w:style>
  <w:style w:type="paragraph" w:styleId="Header">
    <w:name w:val="header"/>
    <w:basedOn w:val="Normal"/>
    <w:link w:val="HeaderChar"/>
    <w:uiPriority w:val="99"/>
    <w:unhideWhenUsed/>
    <w:rsid w:val="003942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42E7"/>
  </w:style>
  <w:style w:type="paragraph" w:styleId="Footer">
    <w:name w:val="footer"/>
    <w:basedOn w:val="Normal"/>
    <w:link w:val="FooterChar"/>
    <w:uiPriority w:val="99"/>
    <w:unhideWhenUsed/>
    <w:rsid w:val="003942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4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21938">
      <w:bodyDiv w:val="1"/>
      <w:marLeft w:val="0"/>
      <w:marRight w:val="0"/>
      <w:marTop w:val="0"/>
      <w:marBottom w:val="0"/>
      <w:divBdr>
        <w:top w:val="none" w:sz="0" w:space="0" w:color="auto"/>
        <w:left w:val="none" w:sz="0" w:space="0" w:color="auto"/>
        <w:bottom w:val="none" w:sz="0" w:space="0" w:color="auto"/>
        <w:right w:val="none" w:sz="0" w:space="0" w:color="auto"/>
      </w:divBdr>
    </w:div>
    <w:div w:id="129722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cus.hollan@uky.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McK13</b:Tag>
    <b:SourceType>JournalArticle</b:SourceType>
    <b:Guid>{DF11D025-FBAD-4B3C-A51D-12AF25473F7B}</b:Guid>
    <b:Title>Toward a framework for Effective Teaching in Agriculture Education: A Multi-State Factor-Analytic and Psychometric Analysis of Effective Teaching</b:Title>
    <b:Year>2013</b:Year>
    <b:JournalName>Agricultural Systems Technology and Education</b:JournalName>
    <b:Author>
      <b:Author>
        <b:NameList>
          <b:Person>
            <b:Last>McKim</b:Last>
            <b:First>B.R.</b:First>
          </b:Person>
          <b:Person>
            <b:Last>Enns</b:Last>
            <b:First>K.</b:First>
          </b:Person>
          <b:Person>
            <b:Last>Smith</b:Last>
            <b:First>A.R.</b:First>
          </b:Person>
          <b:Person>
            <b:Last>Aschenbrener</b:Last>
            <b:First>M.S.</b:First>
          </b:Person>
        </b:NameList>
      </b:Author>
    </b:Author>
    <b:RefOrder>1</b:RefOrder>
  </b:Source>
  <b:Source>
    <b:Tag>Est132</b:Tag>
    <b:SourceType>JournalArticle</b:SourceType>
    <b:Guid>{1AE1A88E-93AA-4072-ACBE-20732582E19A}</b:Guid>
    <b:Title>Teaching Behaviors Contributing to Student Content Engagement: A Socially Constructed Consenus of Undergraduate Students in a College of Agriculture</b:Title>
    <b:JournalName>Journal of Agriculture Education</b:JournalName>
    <b:Year>2013</b:Year>
    <b:Pages>97-110</b:Pages>
    <b:Author>
      <b:Author>
        <b:NameList>
          <b:Person>
            <b:Last>Estepp</b:Last>
            <b:Middle>M.</b:Middle>
            <b:First>Christopher</b:First>
          </b:Person>
          <b:Person>
            <b:Last>Roberts</b:Last>
            <b:Middle>T.</b:Middle>
            <b:First>Grady</b:First>
          </b:Person>
        </b:NameList>
      </b:Author>
    </b:Author>
    <b:Volume>54</b:Volume>
    <b:RefOrder>3</b:RefOrder>
  </b:Source>
  <b:Source>
    <b:Tag>Est131</b:Tag>
    <b:SourceType>JournalArticle</b:SourceType>
    <b:Guid>{4D734DE5-2AE8-47C1-98A8-6044DAFE1940}</b:Guid>
    <b:Title>An Examination of the Learning Activities, Cognitive Level of Instruction, and Teaching Immediacy Behaviors of Successful Instructors in a College of Agriculture</b:Title>
    <b:JournalName>Journal of Agriculture Education</b:JournalName>
    <b:Year>2013</b:Year>
    <b:Pages>15-28</b:Pages>
    <b:Author>
      <b:Author>
        <b:NameList>
          <b:Person>
            <b:Last>Estepp</b:Last>
            <b:First>Christopher</b:First>
            <b:Middle>M.</b:Middle>
          </b:Person>
          <b:Person>
            <b:Last>Stripling</b:Last>
            <b:First>Christopher</b:First>
            <b:Middle>T.</b:Middle>
          </b:Person>
          <b:Person>
            <b:Last>Conner</b:Last>
            <b:First>Nathan</b:First>
            <b:Middle>W.</b:Middle>
          </b:Person>
          <b:Person>
            <b:Last>Aaron</b:Last>
            <b:First>Giorgi</b:First>
          </b:Person>
          <b:Person>
            <b:Last>Roberts</b:Last>
            <b:First>Grady</b:First>
            <b:Middle>T.</b:Middle>
          </b:Person>
        </b:NameList>
      </b:Author>
    </b:Author>
    <b:Publisher>54</b:Publisher>
    <b:StandardNumber>DOI: 10.5032/jae/2013.01097</b:StandardNumber>
    <b:RefOrder>2</b:RefOrder>
  </b:Source>
  <b:Source>
    <b:Tag>Max111</b:Tag>
    <b:SourceType>JournalArticle</b:SourceType>
    <b:Guid>{06F619EB-EC24-4826-B4F6-ABAFDF2B7558}</b:Guid>
    <b:Title>Teaching Effectively: Award Winning Faculty Share Their Views</b:Title>
    <b:Year>2011</b:Year>
    <b:Author>
      <b:Author>
        <b:NameList>
          <b:Person>
            <b:Last>Maxwell</b:Last>
            <b:First>L.D.</b:First>
          </b:Person>
          <b:Person>
            <b:Last>Vincent</b:Last>
            <b:First>S. K.</b:First>
          </b:Person>
          <b:Person>
            <b:Last>Ball</b:Last>
            <b:First>A. L.</b:First>
          </b:Person>
        </b:NameList>
      </b:Author>
    </b:Author>
    <b:Volume>52</b:Volume>
    <b:JournalName>Journal of Agricultural Education</b:JournalName>
    <b:Pages>162-174</b:Pages>
    <b:Issue>4</b:Issue>
    <b:RefOrder>4</b:RefOrder>
  </b:Source>
</b:Sources>
</file>

<file path=customXml/itemProps1.xml><?xml version="1.0" encoding="utf-8"?>
<ds:datastoreItem xmlns:ds="http://schemas.openxmlformats.org/officeDocument/2006/customXml" ds:itemID="{C0AED351-7A8B-479B-8BE6-1A89C3220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Marcus Hollan</dc:creator>
  <cp:lastModifiedBy>Marcus Hollan</cp:lastModifiedBy>
  <cp:revision>2</cp:revision>
  <cp:lastPrinted>2013-10-21T23:17:00Z</cp:lastPrinted>
  <dcterms:created xsi:type="dcterms:W3CDTF">2013-10-22T01:09:00Z</dcterms:created>
  <dcterms:modified xsi:type="dcterms:W3CDTF">2013-10-22T01:09:00Z</dcterms:modified>
</cp:coreProperties>
</file>