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AFFD51" w14:textId="600BC41F" w:rsidR="00194DF2" w:rsidRPr="00AF5A50" w:rsidRDefault="003869B4" w:rsidP="00AF5A50">
      <w:pPr>
        <w:autoSpaceDE w:val="0"/>
        <w:autoSpaceDN w:val="0"/>
        <w:adjustRightInd w:val="0"/>
        <w:jc w:val="center"/>
        <w:rPr>
          <w:b/>
        </w:rPr>
      </w:pPr>
      <w:r w:rsidRPr="00AF5A50">
        <w:rPr>
          <w:b/>
        </w:rPr>
        <w:t xml:space="preserve">Agricultural Commodity Messaging: A Focus on </w:t>
      </w:r>
      <w:r w:rsidR="008269FE" w:rsidRPr="00AF5A50">
        <w:rPr>
          <w:b/>
        </w:rPr>
        <w:t xml:space="preserve">Assessment and </w:t>
      </w:r>
      <w:r w:rsidRPr="00AF5A50">
        <w:rPr>
          <w:b/>
        </w:rPr>
        <w:t>Evaluation</w:t>
      </w:r>
    </w:p>
    <w:p w14:paraId="3795F613" w14:textId="77777777" w:rsidR="00194DF2" w:rsidRPr="00582AC1" w:rsidRDefault="00194DF2" w:rsidP="00AF5A50">
      <w:pPr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p w14:paraId="0F0E1517" w14:textId="4D044DED" w:rsidR="00194DF2" w:rsidRPr="00AF5A50" w:rsidRDefault="00194DF2" w:rsidP="003E31CD">
      <w:pPr>
        <w:jc w:val="center"/>
        <w:rPr>
          <w:b/>
        </w:rPr>
      </w:pPr>
      <w:r w:rsidRPr="00AF5A50">
        <w:rPr>
          <w:b/>
        </w:rPr>
        <w:t>Introduction</w:t>
      </w:r>
      <w:r w:rsidR="00AF5A50" w:rsidRPr="00AF5A50">
        <w:rPr>
          <w:b/>
        </w:rPr>
        <w:t xml:space="preserve"> </w:t>
      </w:r>
      <w:r w:rsidR="00AF5A50">
        <w:rPr>
          <w:b/>
        </w:rPr>
        <w:t xml:space="preserve">and </w:t>
      </w:r>
      <w:r w:rsidR="00AF5A50" w:rsidRPr="00797BC2">
        <w:rPr>
          <w:b/>
        </w:rPr>
        <w:t>Theoretical and Conceptual Framework</w:t>
      </w:r>
    </w:p>
    <w:p w14:paraId="39F1F5B6" w14:textId="7CB891B5" w:rsidR="003100B9" w:rsidRPr="00AF5A50" w:rsidRDefault="00A909B9" w:rsidP="00AF5A50">
      <w:pPr>
        <w:autoSpaceDE w:val="0"/>
        <w:autoSpaceDN w:val="0"/>
        <w:adjustRightInd w:val="0"/>
        <w:ind w:firstLine="720"/>
      </w:pPr>
      <w:r>
        <w:t xml:space="preserve">Despite </w:t>
      </w:r>
      <w:r w:rsidR="00822621" w:rsidRPr="00AF5A50">
        <w:t>demands on the agriculture industry to feed the world’s growing population,</w:t>
      </w:r>
      <w:r w:rsidR="003100B9" w:rsidRPr="00CB09BC">
        <w:t xml:space="preserve"> fewer people are knowledgeable about farm production (Boone, </w:t>
      </w:r>
      <w:proofErr w:type="spellStart"/>
      <w:r w:rsidR="003100B9" w:rsidRPr="00CB09BC">
        <w:t>Meisenbach</w:t>
      </w:r>
      <w:proofErr w:type="spellEnd"/>
      <w:r w:rsidR="003100B9" w:rsidRPr="00CB09BC">
        <w:t>, &amp; Tucker, 2003)</w:t>
      </w:r>
      <w:r w:rsidR="00C31284" w:rsidRPr="00AF5A50">
        <w:t>.</w:t>
      </w:r>
      <w:r w:rsidR="00822621" w:rsidRPr="00AF5A50">
        <w:t xml:space="preserve">  </w:t>
      </w:r>
      <w:r w:rsidR="00C31284" w:rsidRPr="00AF5A50">
        <w:t>T</w:t>
      </w:r>
      <w:r w:rsidR="003100B9" w:rsidRPr="00AF5A50">
        <w:t xml:space="preserve">he average consumer is more than three generations removed from the family farm (Arkansas Farm Bureau, </w:t>
      </w:r>
      <w:proofErr w:type="spellStart"/>
      <w:r w:rsidR="003100B9" w:rsidRPr="00AF5A50">
        <w:t>n.d.</w:t>
      </w:r>
      <w:proofErr w:type="spellEnd"/>
      <w:r w:rsidR="003100B9" w:rsidRPr="00AF5A50">
        <w:t xml:space="preserve">).  Therefore, the need for public support of the industry becomes more prevalent (Doerfert, 2011).  According to the </w:t>
      </w:r>
      <w:r w:rsidR="003100B9" w:rsidRPr="00AF5A50">
        <w:rPr>
          <w:i/>
        </w:rPr>
        <w:t>National Research Agenda</w:t>
      </w:r>
      <w:r w:rsidR="003100B9" w:rsidRPr="00AF5A50">
        <w:t>, consumers require access to information to make informed decision</w:t>
      </w:r>
      <w:r w:rsidR="00C31284" w:rsidRPr="00AF5A50">
        <w:t>s</w:t>
      </w:r>
      <w:r w:rsidR="003100B9" w:rsidRPr="00AF5A50">
        <w:t xml:space="preserve"> about agriculture, food, and natural resources (Doerfert, 2011).</w:t>
      </w:r>
      <w:r w:rsidR="0056084A" w:rsidRPr="00AF5A50">
        <w:t xml:space="preserve">  </w:t>
      </w:r>
      <w:r w:rsidR="003100B9" w:rsidRPr="00AF5A50">
        <w:t xml:space="preserve">The agriculture industry must effectively </w:t>
      </w:r>
      <w:r w:rsidR="003100B9" w:rsidRPr="00AF5A50">
        <w:rPr>
          <w:iCs/>
        </w:rPr>
        <w:t>communicate</w:t>
      </w:r>
      <w:r w:rsidR="003100B9" w:rsidRPr="00AF5A50">
        <w:rPr>
          <w:i/>
          <w:iCs/>
        </w:rPr>
        <w:t xml:space="preserve"> </w:t>
      </w:r>
      <w:r w:rsidR="003100B9" w:rsidRPr="00AF5A50">
        <w:t>wit</w:t>
      </w:r>
      <w:r w:rsidR="008D54F3">
        <w:t>h their current and potential c</w:t>
      </w:r>
      <w:r>
        <w:t>onsumer</w:t>
      </w:r>
      <w:r w:rsidR="003100B9" w:rsidRPr="00AF5A50">
        <w:t>s.  “The primary role of marketing communications is to engage audiences” (</w:t>
      </w:r>
      <w:proofErr w:type="spellStart"/>
      <w:r w:rsidR="003100B9" w:rsidRPr="00AF5A50">
        <w:t>Hanstén</w:t>
      </w:r>
      <w:proofErr w:type="spellEnd"/>
      <w:r w:rsidR="003100B9" w:rsidRPr="00AF5A50">
        <w:t xml:space="preserve">, 2009, p. 8) and to promote </w:t>
      </w:r>
      <w:r w:rsidR="008269FE" w:rsidRPr="00AF5A50">
        <w:t>an</w:t>
      </w:r>
      <w:r w:rsidR="003100B9" w:rsidRPr="00AF5A50">
        <w:t xml:space="preserve"> organization through a variety of communication tools.  Integrated Marketing Communications (IMC) is </w:t>
      </w:r>
      <w:r>
        <w:t xml:space="preserve">an </w:t>
      </w:r>
      <w:r w:rsidR="003100B9" w:rsidRPr="00AF5A50">
        <w:t xml:space="preserve">approach </w:t>
      </w:r>
      <w:r>
        <w:t>used to communicate</w:t>
      </w:r>
      <w:r w:rsidR="003100B9" w:rsidRPr="00AF5A50">
        <w:t xml:space="preserve"> the brand and </w:t>
      </w:r>
      <w:r w:rsidR="008D54F3">
        <w:t>clear, concise, and consistent messaging to targeted audiences</w:t>
      </w:r>
      <w:r w:rsidR="003100B9" w:rsidRPr="00AF5A50">
        <w:t xml:space="preserve"> </w:t>
      </w:r>
      <w:r w:rsidR="008D54F3">
        <w:t>(Marshall &amp; Johnston, 2010</w:t>
      </w:r>
      <w:r w:rsidR="003100B9" w:rsidRPr="00AF5A50">
        <w:t>).  A message is an “explicit reference to attributes via verbal or visual content” (</w:t>
      </w:r>
      <w:proofErr w:type="spellStart"/>
      <w:r w:rsidR="003100B9" w:rsidRPr="00AF5A50">
        <w:t>Laczniak</w:t>
      </w:r>
      <w:proofErr w:type="spellEnd"/>
      <w:r w:rsidR="003100B9" w:rsidRPr="00AF5A50">
        <w:t xml:space="preserve"> &amp; </w:t>
      </w:r>
      <w:proofErr w:type="spellStart"/>
      <w:r w:rsidR="003100B9" w:rsidRPr="00AF5A50">
        <w:t>Muehling</w:t>
      </w:r>
      <w:proofErr w:type="spellEnd"/>
      <w:r w:rsidR="003100B9" w:rsidRPr="00AF5A50">
        <w:t>, 1993, p. 328).</w:t>
      </w:r>
      <w:r w:rsidR="006E0D45" w:rsidRPr="00AF5A50">
        <w:t xml:space="preserve">  </w:t>
      </w:r>
      <w:r w:rsidR="003100B9" w:rsidRPr="00AF5A50">
        <w:t xml:space="preserve">In the </w:t>
      </w:r>
      <w:r w:rsidR="003E6DE0">
        <w:t>IMC</w:t>
      </w:r>
      <w:r w:rsidR="003100B9" w:rsidRPr="00AF5A50">
        <w:t xml:space="preserve"> process, it is necessary to evaluate </w:t>
      </w:r>
      <w:r w:rsidR="0066177D">
        <w:t xml:space="preserve">a </w:t>
      </w:r>
      <w:r w:rsidR="008D54F3">
        <w:t>campaign’s</w:t>
      </w:r>
      <w:r w:rsidR="003100B9" w:rsidRPr="00AF5A50">
        <w:t xml:space="preserve"> impact and </w:t>
      </w:r>
      <w:r w:rsidR="008D54F3">
        <w:t xml:space="preserve">the </w:t>
      </w:r>
      <w:r w:rsidR="003100B9" w:rsidRPr="00AF5A50">
        <w:t xml:space="preserve">effect </w:t>
      </w:r>
      <w:r w:rsidR="008D54F3">
        <w:t>it</w:t>
      </w:r>
      <w:r w:rsidR="003100B9" w:rsidRPr="00AF5A50">
        <w:t xml:space="preserve"> has on a specific target audience, or “people whose behavior you wish to affect” (</w:t>
      </w:r>
      <w:proofErr w:type="spellStart"/>
      <w:r w:rsidR="003100B9" w:rsidRPr="00AF5A50">
        <w:t>Weinreich</w:t>
      </w:r>
      <w:proofErr w:type="spellEnd"/>
      <w:r w:rsidR="003100B9" w:rsidRPr="00AF5A50">
        <w:t>, 2010, p. 9).  The campaign</w:t>
      </w:r>
      <w:r w:rsidR="008D54F3">
        <w:t>’s success</w:t>
      </w:r>
      <w:r w:rsidR="003100B9" w:rsidRPr="00AF5A50">
        <w:t xml:space="preserve"> is determined by </w:t>
      </w:r>
      <w:r w:rsidR="008D54F3">
        <w:t>its</w:t>
      </w:r>
      <w:r w:rsidR="003100B9" w:rsidRPr="00AF5A50">
        <w:t xml:space="preserve"> effect on a specified target audience, and compares the outlined and achieved campaign goals (</w:t>
      </w:r>
      <w:proofErr w:type="spellStart"/>
      <w:r w:rsidR="003100B9" w:rsidRPr="00AF5A50">
        <w:t>Hanstén</w:t>
      </w:r>
      <w:proofErr w:type="spellEnd"/>
      <w:r w:rsidR="003100B9" w:rsidRPr="00AF5A50">
        <w:t xml:space="preserve">, 2009; </w:t>
      </w:r>
      <w:r w:rsidR="003100B9" w:rsidRPr="00AF5A50">
        <w:rPr>
          <w:rFonts w:eastAsia="Times New Roman"/>
        </w:rPr>
        <w:t xml:space="preserve">Rice &amp; </w:t>
      </w:r>
      <w:proofErr w:type="spellStart"/>
      <w:r w:rsidR="003100B9" w:rsidRPr="00AF5A50">
        <w:rPr>
          <w:rFonts w:eastAsia="Times New Roman"/>
        </w:rPr>
        <w:t>Atkin</w:t>
      </w:r>
      <w:proofErr w:type="spellEnd"/>
      <w:r w:rsidR="003100B9" w:rsidRPr="00AF5A50">
        <w:rPr>
          <w:rFonts w:eastAsia="Times New Roman"/>
        </w:rPr>
        <w:t>, 2013</w:t>
      </w:r>
      <w:r w:rsidR="003100B9" w:rsidRPr="00AF5A50">
        <w:t>).  Evaluation is essential in establishing campaign effectiveness.</w:t>
      </w:r>
    </w:p>
    <w:p w14:paraId="5B6E54C5" w14:textId="7E662301" w:rsidR="006E0D45" w:rsidRPr="00AF5A50" w:rsidRDefault="003E16D3">
      <w:pPr>
        <w:autoSpaceDE w:val="0"/>
        <w:autoSpaceDN w:val="0"/>
        <w:adjustRightInd w:val="0"/>
        <w:ind w:firstLine="720"/>
      </w:pPr>
      <w:r w:rsidRPr="00AF5A50">
        <w:t xml:space="preserve">Research has proven that advertising can send mixed signs or messages, </w:t>
      </w:r>
      <w:r w:rsidR="008D54F3">
        <w:t>therefore,</w:t>
      </w:r>
      <w:r w:rsidRPr="00AF5A50">
        <w:t xml:space="preserve"> the company </w:t>
      </w:r>
      <w:r w:rsidR="008D54F3">
        <w:t>should not</w:t>
      </w:r>
      <w:r w:rsidRPr="00AF5A50">
        <w:t xml:space="preserve"> solely rely on a third-party communications group to interpret the message as would the audience (</w:t>
      </w:r>
      <w:proofErr w:type="spellStart"/>
      <w:r w:rsidRPr="00AF5A50">
        <w:t>Caywood</w:t>
      </w:r>
      <w:proofErr w:type="spellEnd"/>
      <w:r w:rsidRPr="00AF5A50">
        <w:t xml:space="preserve"> &amp; </w:t>
      </w:r>
      <w:proofErr w:type="spellStart"/>
      <w:r w:rsidRPr="00AF5A50">
        <w:t>Lan</w:t>
      </w:r>
      <w:r w:rsidR="008D54F3">
        <w:t>grehr</w:t>
      </w:r>
      <w:proofErr w:type="spellEnd"/>
      <w:r w:rsidR="008D54F3">
        <w:t xml:space="preserve">, 1995).  Images are </w:t>
      </w:r>
      <w:r w:rsidRPr="00AF5A50">
        <w:t>an important part of marketing campaigns</w:t>
      </w:r>
      <w:r w:rsidR="008D54F3">
        <w:t>.  An</w:t>
      </w:r>
      <w:r w:rsidRPr="00AF5A50">
        <w:t xml:space="preserve"> image can appear straightforward</w:t>
      </w:r>
      <w:r w:rsidR="008D54F3">
        <w:t xml:space="preserve"> at first</w:t>
      </w:r>
      <w:r w:rsidRPr="00AF5A50">
        <w:t xml:space="preserve">, </w:t>
      </w:r>
      <w:r w:rsidR="008D54F3">
        <w:t xml:space="preserve">but </w:t>
      </w:r>
      <w:r w:rsidRPr="00AF5A50">
        <w:t xml:space="preserve">different meanings are perceived </w:t>
      </w:r>
      <w:proofErr w:type="gramStart"/>
      <w:r w:rsidRPr="00AF5A50">
        <w:t>depending</w:t>
      </w:r>
      <w:proofErr w:type="gramEnd"/>
      <w:r w:rsidRPr="00AF5A50">
        <w:t xml:space="preserve"> on how an individual looks at the relationship between elements, and from what associations are drawn upon or to the emotions the image elicits (</w:t>
      </w:r>
      <w:proofErr w:type="spellStart"/>
      <w:r w:rsidRPr="00AF5A50">
        <w:t>Manghani</w:t>
      </w:r>
      <w:proofErr w:type="spellEnd"/>
      <w:r w:rsidRPr="00AF5A50">
        <w:t xml:space="preserve">, 2013).  The categorization of images in </w:t>
      </w:r>
      <w:r w:rsidR="003E6DE0">
        <w:rPr>
          <w:bCs/>
          <w:iCs/>
        </w:rPr>
        <w:t>IMC</w:t>
      </w:r>
      <w:r w:rsidRPr="00AF5A50">
        <w:rPr>
          <w:bCs/>
          <w:iCs/>
        </w:rPr>
        <w:t xml:space="preserve"> (</w:t>
      </w:r>
      <w:proofErr w:type="spellStart"/>
      <w:r w:rsidRPr="00AF5A50">
        <w:rPr>
          <w:bCs/>
          <w:iCs/>
        </w:rPr>
        <w:t>Caywood</w:t>
      </w:r>
      <w:proofErr w:type="spellEnd"/>
      <w:r w:rsidRPr="00AF5A50">
        <w:rPr>
          <w:bCs/>
          <w:iCs/>
        </w:rPr>
        <w:t xml:space="preserve"> &amp; </w:t>
      </w:r>
      <w:proofErr w:type="spellStart"/>
      <w:r w:rsidRPr="00AF5A50">
        <w:rPr>
          <w:bCs/>
          <w:iCs/>
        </w:rPr>
        <w:t>Langrehr</w:t>
      </w:r>
      <w:proofErr w:type="spellEnd"/>
      <w:r w:rsidRPr="00AF5A50">
        <w:rPr>
          <w:bCs/>
          <w:iCs/>
        </w:rPr>
        <w:t xml:space="preserve">, 1995) provides a conceptual framework for interpreting </w:t>
      </w:r>
      <w:r w:rsidRPr="00AF5A50">
        <w:t xml:space="preserve">connotative and denotative values that can be attributed to Roland Barthes (Edgar &amp; Rutherford, 2012). </w:t>
      </w:r>
      <w:r w:rsidR="003E6DE0">
        <w:t xml:space="preserve"> </w:t>
      </w:r>
      <w:r w:rsidR="00AF5A50">
        <w:t xml:space="preserve">The purpose of this study was </w:t>
      </w:r>
      <w:r w:rsidR="003E31CD">
        <w:t>to assess and evaluate creative pieces</w:t>
      </w:r>
      <w:r w:rsidR="005A09CC">
        <w:t xml:space="preserve"> identified by third-party communications group</w:t>
      </w:r>
      <w:r w:rsidR="003E31CD">
        <w:t xml:space="preserve"> to target four audience groups: animal agriculture, general public, [commodity] producer, and youth.</w:t>
      </w:r>
      <w:r w:rsidR="0083051C">
        <w:t xml:space="preserve">  Promotional </w:t>
      </w:r>
      <w:r w:rsidR="003E6DE0">
        <w:t xml:space="preserve">items were evaluated through </w:t>
      </w:r>
      <w:r w:rsidR="0083051C">
        <w:t>content and visual analyses to determine key themes, messages, and message accuracy.</w:t>
      </w:r>
    </w:p>
    <w:p w14:paraId="66FBCEFF" w14:textId="77777777" w:rsidR="00582AC1" w:rsidRPr="00582AC1" w:rsidRDefault="00582AC1">
      <w:pPr>
        <w:jc w:val="center"/>
        <w:rPr>
          <w:b/>
          <w:sz w:val="16"/>
          <w:szCs w:val="16"/>
        </w:rPr>
      </w:pPr>
    </w:p>
    <w:p w14:paraId="3BCF5C88" w14:textId="77777777" w:rsidR="00194DF2" w:rsidRPr="00CB09BC" w:rsidRDefault="00194DF2">
      <w:pPr>
        <w:jc w:val="center"/>
        <w:rPr>
          <w:b/>
        </w:rPr>
      </w:pPr>
      <w:r w:rsidRPr="00CB09BC">
        <w:rPr>
          <w:b/>
        </w:rPr>
        <w:t>Methodology</w:t>
      </w:r>
    </w:p>
    <w:p w14:paraId="07BEAD20" w14:textId="24F069AD" w:rsidR="004C4086" w:rsidRPr="00AF5A50" w:rsidRDefault="0056084A">
      <w:pPr>
        <w:ind w:firstLine="720"/>
      </w:pPr>
      <w:r w:rsidRPr="00AF5A50">
        <w:t>This study utilized content and visual analys</w:t>
      </w:r>
      <w:r w:rsidR="006470BD" w:rsidRPr="00AF5A50">
        <w:t>e</w:t>
      </w:r>
      <w:r w:rsidRPr="00AF5A50">
        <w:t>s to analyze creative pieces</w:t>
      </w:r>
      <w:r w:rsidR="0095094B" w:rsidRPr="00AF5A50">
        <w:t>,</w:t>
      </w:r>
      <w:r w:rsidRPr="00AF5A50">
        <w:t xml:space="preserve"> in the communications campaign developed</w:t>
      </w:r>
      <w:r w:rsidR="0066177D" w:rsidRPr="00AF5A50">
        <w:t>, by a third-party communications group</w:t>
      </w:r>
      <w:r w:rsidR="0066177D">
        <w:t>,</w:t>
      </w:r>
      <w:r w:rsidRPr="00AF5A50">
        <w:t xml:space="preserve"> for a </w:t>
      </w:r>
      <w:r w:rsidR="0095094B" w:rsidRPr="00AF5A50">
        <w:t>prominent</w:t>
      </w:r>
      <w:r w:rsidRPr="00AF5A50">
        <w:t xml:space="preserve"> commodity board in the southern U</w:t>
      </w:r>
      <w:r w:rsidR="0095094B" w:rsidRPr="00AF5A50">
        <w:t>.</w:t>
      </w:r>
      <w:r w:rsidRPr="00AF5A50">
        <w:t xml:space="preserve">S.  The campaign was created to </w:t>
      </w:r>
      <w:r w:rsidR="004C4086" w:rsidRPr="00AF5A50">
        <w:t>reach four target audiences</w:t>
      </w:r>
      <w:r w:rsidR="00605E3F" w:rsidRPr="00AF5A50">
        <w:t xml:space="preserve"> (animal agriculture, general public, youth, and </w:t>
      </w:r>
      <w:r w:rsidR="00B51723" w:rsidRPr="00AF5A50">
        <w:t xml:space="preserve">[commodity] </w:t>
      </w:r>
      <w:r w:rsidR="00605E3F" w:rsidRPr="00AF5A50">
        <w:t>producers)</w:t>
      </w:r>
      <w:r w:rsidR="004C4086" w:rsidRPr="00AF5A50">
        <w:t xml:space="preserve"> through key themes and messages. </w:t>
      </w:r>
      <w:r w:rsidR="006E0D45" w:rsidRPr="00AF5A50">
        <w:t xml:space="preserve"> </w:t>
      </w:r>
      <w:r w:rsidR="0066177D">
        <w:t>P</w:t>
      </w:r>
      <w:r w:rsidR="004C4086" w:rsidRPr="00AF5A50">
        <w:t xml:space="preserve">rint materials were analyzed for keywords in context and emergent themes were identified and compressed (Gall, Gall, &amp; Borg, 2006; Lincoln &amp; </w:t>
      </w:r>
      <w:proofErr w:type="spellStart"/>
      <w:r w:rsidR="004C4086" w:rsidRPr="00AF5A50">
        <w:t>Guba</w:t>
      </w:r>
      <w:proofErr w:type="spellEnd"/>
      <w:r w:rsidR="004C4086" w:rsidRPr="00AF5A50">
        <w:t>, 1985) into categories based on specific coding rules</w:t>
      </w:r>
      <w:r w:rsidR="0066177D">
        <w:t>.  V</w:t>
      </w:r>
      <w:r w:rsidR="004C4086" w:rsidRPr="00AF5A50">
        <w:t>isual materials were analyzed denotatively</w:t>
      </w:r>
      <w:r w:rsidR="00325E32" w:rsidRPr="00AF5A50">
        <w:t xml:space="preserve"> (Lester 2011)</w:t>
      </w:r>
      <w:r w:rsidR="00AF5A50" w:rsidRPr="00AF5A50">
        <w:t xml:space="preserve"> and</w:t>
      </w:r>
      <w:r w:rsidR="004C4086" w:rsidRPr="00AF5A50">
        <w:t xml:space="preserve"> connotati</w:t>
      </w:r>
      <w:r w:rsidR="00AF5A50" w:rsidRPr="00AF5A50">
        <w:t>vely</w:t>
      </w:r>
      <w:r w:rsidR="004C4086" w:rsidRPr="00AF5A50">
        <w:t xml:space="preserve"> to determine associative value of the photo (Edgar &amp; Rutherford, 2012).  Once the content analysis was completed</w:t>
      </w:r>
      <w:r w:rsidR="006470BD" w:rsidRPr="00AF5A50">
        <w:t xml:space="preserve"> for each creative piece</w:t>
      </w:r>
      <w:r w:rsidR="0066177D">
        <w:t xml:space="preserve">, </w:t>
      </w:r>
      <w:r w:rsidR="004C4086" w:rsidRPr="00AF5A50">
        <w:t xml:space="preserve">emergent themes were used to evaluate the implied message in each piece. </w:t>
      </w:r>
      <w:r w:rsidR="007E3664" w:rsidRPr="00AF5A50">
        <w:t xml:space="preserve"> </w:t>
      </w:r>
      <w:r w:rsidR="004C4086" w:rsidRPr="00AF5A50">
        <w:t xml:space="preserve">The implied message was then compared with the intended message outlined by the third-party communications group.  This process was used to determine message accuracy for each promotional piece.  </w:t>
      </w:r>
      <w:r w:rsidR="00AF5A50" w:rsidRPr="00AF5A50">
        <w:t xml:space="preserve">Inter- and intra-rater reliabilities met or exceeded </w:t>
      </w:r>
      <w:r w:rsidR="003E6DE0">
        <w:t>minimum standards (</w:t>
      </w:r>
      <w:r w:rsidR="00AF5A50" w:rsidRPr="00AF5A50">
        <w:t xml:space="preserve">70% </w:t>
      </w:r>
      <w:r w:rsidR="003E6DE0">
        <w:t>of interpretations in agreement</w:t>
      </w:r>
      <w:bookmarkStart w:id="0" w:name="_GoBack"/>
      <w:bookmarkEnd w:id="0"/>
      <w:r w:rsidR="003E6DE0">
        <w:t xml:space="preserve">) </w:t>
      </w:r>
      <w:r w:rsidR="00AF5A50" w:rsidRPr="00AF5A50">
        <w:t xml:space="preserve">(McMillan &amp; Schumacher, 2010). </w:t>
      </w:r>
    </w:p>
    <w:p w14:paraId="6ED14E27" w14:textId="38DD6213" w:rsidR="00605E3F" w:rsidRPr="00AF5A50" w:rsidRDefault="00194DF2">
      <w:pPr>
        <w:jc w:val="center"/>
        <w:rPr>
          <w:b/>
        </w:rPr>
      </w:pPr>
      <w:r w:rsidRPr="00AF5A50">
        <w:rPr>
          <w:b/>
        </w:rPr>
        <w:lastRenderedPageBreak/>
        <w:t>Results/ Findings</w:t>
      </w:r>
    </w:p>
    <w:p w14:paraId="53CF67A6" w14:textId="72530C3A" w:rsidR="007D50CE" w:rsidRPr="00AF5A50" w:rsidRDefault="00751663">
      <w:pPr>
        <w:ind w:firstLine="720"/>
      </w:pPr>
      <w:r w:rsidRPr="00AF5A50">
        <w:t>Eleven</w:t>
      </w:r>
      <w:r w:rsidR="00605E3F" w:rsidRPr="00AF5A50">
        <w:t xml:space="preserve"> creative pieces </w:t>
      </w:r>
      <w:r w:rsidRPr="00AF5A50">
        <w:t xml:space="preserve">were </w:t>
      </w:r>
      <w:r w:rsidR="00605E3F" w:rsidRPr="00AF5A50">
        <w:t>analyzed</w:t>
      </w:r>
      <w:r w:rsidRPr="00AF5A50">
        <w:t xml:space="preserve"> in the animal agriculture target audience.</w:t>
      </w:r>
      <w:r w:rsidR="00605E3F" w:rsidRPr="00AF5A50">
        <w:t xml:space="preserve">  Researchers found </w:t>
      </w:r>
      <w:r w:rsidR="00B51723" w:rsidRPr="00AF5A50">
        <w:t xml:space="preserve">that all implied messages matched the intended messages </w:t>
      </w:r>
      <w:r w:rsidR="00605E3F" w:rsidRPr="00AF5A50">
        <w:t>(originally outlined by third-party communications group) in creative pieces</w:t>
      </w:r>
      <w:r w:rsidR="00C3785F">
        <w:t>.</w:t>
      </w:r>
      <w:r w:rsidRPr="00AF5A50">
        <w:t xml:space="preserve"> </w:t>
      </w:r>
      <w:r w:rsidR="00C3785F">
        <w:t>There were</w:t>
      </w:r>
      <w:r w:rsidR="00605E3F" w:rsidRPr="00AF5A50">
        <w:t xml:space="preserve"> 2</w:t>
      </w:r>
      <w:r w:rsidR="00C3785F">
        <w:t>0</w:t>
      </w:r>
      <w:r w:rsidR="00605E3F" w:rsidRPr="00AF5A50">
        <w:t xml:space="preserve"> emergent themes </w:t>
      </w:r>
      <w:r w:rsidR="00C3785F">
        <w:t xml:space="preserve">and 214 reoccurring themes identified </w:t>
      </w:r>
      <w:r w:rsidR="00605E3F" w:rsidRPr="00AF5A50">
        <w:t>within promotional pieces</w:t>
      </w:r>
      <w:r w:rsidRPr="00AF5A50">
        <w:t xml:space="preserve">.  </w:t>
      </w:r>
      <w:r w:rsidR="007D50CE" w:rsidRPr="00AF5A50">
        <w:t xml:space="preserve">The </w:t>
      </w:r>
      <w:r w:rsidR="00605E3F" w:rsidRPr="00AF5A50">
        <w:t>most frequently identified theme w</w:t>
      </w:r>
      <w:r w:rsidR="00BC344F" w:rsidRPr="00AF5A50">
        <w:t>as</w:t>
      </w:r>
      <w:r w:rsidR="00605E3F" w:rsidRPr="00AF5A50">
        <w:t xml:space="preserve"> “promotion of </w:t>
      </w:r>
      <w:r w:rsidR="00226F2A" w:rsidRPr="00AF5A50">
        <w:t>[commodity board]</w:t>
      </w:r>
      <w:r w:rsidR="008E7581" w:rsidRPr="00AF5A50">
        <w:t>,” with 12.15% saturation.</w:t>
      </w:r>
      <w:r w:rsidR="00605E3F" w:rsidRPr="00AF5A50">
        <w:t xml:space="preserve"> </w:t>
      </w:r>
      <w:r w:rsidR="008F28A6" w:rsidRPr="00AF5A50">
        <w:t xml:space="preserve"> </w:t>
      </w:r>
      <w:r w:rsidRPr="00AF5A50">
        <w:t xml:space="preserve">Forty-two </w:t>
      </w:r>
      <w:r w:rsidR="00C76129" w:rsidRPr="00AF5A50">
        <w:t xml:space="preserve">creative pieces </w:t>
      </w:r>
      <w:r w:rsidR="006470BD" w:rsidRPr="00AF5A50">
        <w:t xml:space="preserve">were </w:t>
      </w:r>
      <w:r w:rsidR="00C76129" w:rsidRPr="00AF5A50">
        <w:t>analyzed</w:t>
      </w:r>
      <w:r w:rsidRPr="00AF5A50">
        <w:t xml:space="preserve"> in the general public target audience.  Twenty-six of the </w:t>
      </w:r>
      <w:r w:rsidR="00C76129" w:rsidRPr="00AF5A50">
        <w:t xml:space="preserve">creative pieces accurately communicated </w:t>
      </w:r>
      <w:r w:rsidR="00B853E6" w:rsidRPr="00AF5A50">
        <w:t>outlined message</w:t>
      </w:r>
      <w:r w:rsidR="0066177D">
        <w:t>;</w:t>
      </w:r>
      <w:r w:rsidR="00C76129" w:rsidRPr="00AF5A50">
        <w:t xml:space="preserve"> </w:t>
      </w:r>
      <w:r w:rsidR="00B853E6" w:rsidRPr="00AF5A50">
        <w:t>however,</w:t>
      </w:r>
      <w:r w:rsidR="0066177D">
        <w:t xml:space="preserve"> </w:t>
      </w:r>
      <w:r w:rsidRPr="00AF5A50">
        <w:t xml:space="preserve">six messages </w:t>
      </w:r>
      <w:r w:rsidR="00C76129" w:rsidRPr="00AF5A50">
        <w:t>did not match</w:t>
      </w:r>
      <w:r w:rsidRPr="00AF5A50">
        <w:t xml:space="preserve"> the intended message</w:t>
      </w:r>
      <w:r w:rsidR="00C76129" w:rsidRPr="00CB09BC">
        <w:t xml:space="preserve">.  There were </w:t>
      </w:r>
      <w:r w:rsidR="00CB09BC">
        <w:t>27</w:t>
      </w:r>
      <w:r w:rsidR="00C76129" w:rsidRPr="00CB09BC">
        <w:t xml:space="preserve"> emergent themes </w:t>
      </w:r>
      <w:r w:rsidR="00CB09BC">
        <w:t xml:space="preserve">and 965 reoccurring themes </w:t>
      </w:r>
      <w:r w:rsidR="00C76129" w:rsidRPr="00CB09BC">
        <w:t xml:space="preserve">identified within promotional pieces </w:t>
      </w:r>
      <w:r w:rsidRPr="00CB09BC">
        <w:t>and t</w:t>
      </w:r>
      <w:r w:rsidR="008E7581" w:rsidRPr="00CB09BC">
        <w:t>he</w:t>
      </w:r>
      <w:r w:rsidR="00C76129" w:rsidRPr="00CB09BC">
        <w:t xml:space="preserve"> most frequently identified theme w</w:t>
      </w:r>
      <w:r w:rsidR="008E7581" w:rsidRPr="00CB09BC">
        <w:t>as</w:t>
      </w:r>
      <w:r w:rsidR="00C76129" w:rsidRPr="00CB09BC">
        <w:t xml:space="preserve"> “celebrity endorsements” with 15.96% saturation</w:t>
      </w:r>
      <w:r w:rsidR="008E7581" w:rsidRPr="00CB09BC">
        <w:t>.</w:t>
      </w:r>
      <w:r w:rsidR="00C76129" w:rsidRPr="00CB09BC">
        <w:t xml:space="preserve"> </w:t>
      </w:r>
      <w:r w:rsidR="008F28A6" w:rsidRPr="00CB09BC">
        <w:t xml:space="preserve"> </w:t>
      </w:r>
      <w:r w:rsidR="008012F9" w:rsidRPr="00CB09BC">
        <w:t xml:space="preserve">Thirty-three creative </w:t>
      </w:r>
      <w:r w:rsidR="006470BD" w:rsidRPr="00CB09BC">
        <w:t xml:space="preserve">pieces </w:t>
      </w:r>
      <w:r w:rsidR="008012F9" w:rsidRPr="00CB09BC">
        <w:t xml:space="preserve">were </w:t>
      </w:r>
      <w:r w:rsidR="00B853E6" w:rsidRPr="00CB09BC">
        <w:t>analyzed</w:t>
      </w:r>
      <w:r w:rsidR="008012F9" w:rsidRPr="00CB09BC">
        <w:t xml:space="preserve"> in the [commodity] producer target audience</w:t>
      </w:r>
      <w:r w:rsidR="00B853E6" w:rsidRPr="00CB09BC">
        <w:t>.  Eighteen of the 33 creative pieces accurately communicated outlined message</w:t>
      </w:r>
      <w:r w:rsidR="00B51723" w:rsidRPr="00AF5A50">
        <w:t>s</w:t>
      </w:r>
      <w:r w:rsidR="00B853E6" w:rsidRPr="00AF5A50">
        <w:t xml:space="preserve"> and researchers only found one implied message that did not match the intended message.  There were </w:t>
      </w:r>
      <w:r w:rsidR="00C3785F">
        <w:t>24</w:t>
      </w:r>
      <w:r w:rsidR="00B853E6" w:rsidRPr="00AF5A50">
        <w:t xml:space="preserve"> emergent themes </w:t>
      </w:r>
      <w:r w:rsidR="00C3785F">
        <w:t xml:space="preserve">and 488 reoccurring themes </w:t>
      </w:r>
      <w:r w:rsidR="00B853E6" w:rsidRPr="00AF5A50">
        <w:t xml:space="preserve">identified within promotional pieces </w:t>
      </w:r>
      <w:r w:rsidR="00062B7E" w:rsidRPr="00AF5A50">
        <w:t>and the</w:t>
      </w:r>
      <w:r w:rsidR="00B853E6" w:rsidRPr="00AF5A50">
        <w:t xml:space="preserve"> most frequen</w:t>
      </w:r>
      <w:r w:rsidR="00C3785F">
        <w:t xml:space="preserve">tly identified theme </w:t>
      </w:r>
      <w:r w:rsidR="00B853E6" w:rsidRPr="00AF5A50">
        <w:t>w</w:t>
      </w:r>
      <w:r w:rsidR="008E7581" w:rsidRPr="00AF5A50">
        <w:t>as</w:t>
      </w:r>
      <w:r w:rsidR="00B853E6" w:rsidRPr="00AF5A50">
        <w:t xml:space="preserve"> “promotion </w:t>
      </w:r>
      <w:r w:rsidR="00AF1AE9" w:rsidRPr="00AF5A50">
        <w:t xml:space="preserve">of </w:t>
      </w:r>
      <w:r w:rsidR="00226F2A" w:rsidRPr="00AF5A50">
        <w:t>[commodity board]</w:t>
      </w:r>
      <w:r w:rsidR="00AF1AE9" w:rsidRPr="00AF5A50">
        <w:t>” with 18.03% saturation</w:t>
      </w:r>
      <w:r w:rsidR="008E7581" w:rsidRPr="00AF5A50">
        <w:t>.</w:t>
      </w:r>
      <w:r w:rsidR="00B853E6" w:rsidRPr="00AF5A50">
        <w:t xml:space="preserve"> </w:t>
      </w:r>
      <w:r w:rsidR="008F28A6" w:rsidRPr="00AF5A50">
        <w:t xml:space="preserve"> </w:t>
      </w:r>
      <w:r w:rsidR="00786B9D" w:rsidRPr="00AF5A50">
        <w:t>Eleven creative pieces were analyzed in</w:t>
      </w:r>
      <w:r w:rsidR="007D50CE" w:rsidRPr="00AF5A50">
        <w:t xml:space="preserve"> the youth target audience</w:t>
      </w:r>
      <w:r w:rsidR="00786B9D" w:rsidRPr="00AF5A50">
        <w:t>.</w:t>
      </w:r>
      <w:r w:rsidR="007D50CE" w:rsidRPr="00AF5A50">
        <w:t xml:space="preserve">  Nine of the 11 creative pieces accurately communicated the outlined message, but researchers found two implied messages that did not match the intended message.  </w:t>
      </w:r>
      <w:r w:rsidR="0066177D">
        <w:t>T</w:t>
      </w:r>
      <w:r w:rsidR="00C3785F">
        <w:t>here were 2</w:t>
      </w:r>
      <w:r w:rsidR="007D50CE" w:rsidRPr="00AF5A50">
        <w:t xml:space="preserve">4 emergent themes </w:t>
      </w:r>
      <w:r w:rsidR="00C3785F">
        <w:t xml:space="preserve">and 234 reoccurring themes </w:t>
      </w:r>
      <w:r w:rsidR="007D50CE" w:rsidRPr="00AF5A50">
        <w:t>identified within promotional pieces</w:t>
      </w:r>
      <w:r w:rsidR="0066177D">
        <w:t>,</w:t>
      </w:r>
      <w:r w:rsidR="007D50CE" w:rsidRPr="00AF5A50">
        <w:t xml:space="preserve"> </w:t>
      </w:r>
      <w:r w:rsidR="00786B9D" w:rsidRPr="00AF5A50">
        <w:t>and the</w:t>
      </w:r>
      <w:r w:rsidR="008E7581" w:rsidRPr="00AF5A50">
        <w:t xml:space="preserve"> </w:t>
      </w:r>
      <w:r w:rsidR="007D50CE" w:rsidRPr="00AF5A50">
        <w:t>most frequently identified theme w</w:t>
      </w:r>
      <w:r w:rsidR="008E7581" w:rsidRPr="00AF5A50">
        <w:t>as</w:t>
      </w:r>
      <w:r w:rsidR="007D50CE" w:rsidRPr="00AF5A50">
        <w:t xml:space="preserve"> “how </w:t>
      </w:r>
      <w:r w:rsidR="00226F2A" w:rsidRPr="00AF5A50">
        <w:t>[commodity] is</w:t>
      </w:r>
      <w:r w:rsidR="007D50CE" w:rsidRPr="00AF5A50">
        <w:t xml:space="preserve"> produced” with 13.25% saturation</w:t>
      </w:r>
      <w:r w:rsidR="008E7581" w:rsidRPr="00AF5A50">
        <w:t>.</w:t>
      </w:r>
      <w:r w:rsidR="007D50CE" w:rsidRPr="00AF5A50">
        <w:t xml:space="preserve">  </w:t>
      </w:r>
    </w:p>
    <w:p w14:paraId="56C83D0B" w14:textId="77777777" w:rsidR="00194DF2" w:rsidRPr="00582AC1" w:rsidRDefault="00194DF2">
      <w:pPr>
        <w:rPr>
          <w:b/>
          <w:sz w:val="16"/>
          <w:szCs w:val="16"/>
        </w:rPr>
      </w:pPr>
    </w:p>
    <w:p w14:paraId="5ADAC4DB" w14:textId="726E8667" w:rsidR="00194DF2" w:rsidRPr="00AF5A50" w:rsidRDefault="00194DF2">
      <w:pPr>
        <w:jc w:val="center"/>
        <w:rPr>
          <w:b/>
        </w:rPr>
      </w:pPr>
      <w:r w:rsidRPr="00AF5A50">
        <w:rPr>
          <w:b/>
        </w:rPr>
        <w:t>Conclusion</w:t>
      </w:r>
      <w:r w:rsidR="003869B4" w:rsidRPr="00AF5A50">
        <w:rPr>
          <w:b/>
        </w:rPr>
        <w:t>s, Recommendations, and Impact on Profession</w:t>
      </w:r>
    </w:p>
    <w:p w14:paraId="15BEFB0D" w14:textId="0EC36CB5" w:rsidR="00194DF2" w:rsidRPr="00CB09BC" w:rsidRDefault="004C4086">
      <w:pPr>
        <w:autoSpaceDE w:val="0"/>
        <w:autoSpaceDN w:val="0"/>
        <w:adjustRightInd w:val="0"/>
        <w:ind w:firstLine="720"/>
      </w:pPr>
      <w:r w:rsidRPr="00AF5A50">
        <w:t>This campaign evaluation utilized content and visual analys</w:t>
      </w:r>
      <w:r w:rsidR="00B51723" w:rsidRPr="00AF5A50">
        <w:t>e</w:t>
      </w:r>
      <w:r w:rsidRPr="00AF5A50">
        <w:t>s and semiotic methodology to gain insight into print, visual, video, and audio media.  Many creative pieces displayed too many themes and the themes did not accurately represent the intended message</w:t>
      </w:r>
      <w:r w:rsidR="00B51723" w:rsidRPr="00AF5A50">
        <w:t>.</w:t>
      </w:r>
      <w:r w:rsidRPr="00AF5A50">
        <w:t xml:space="preserve"> </w:t>
      </w:r>
      <w:r w:rsidR="00CB09BC">
        <w:t xml:space="preserve"> </w:t>
      </w:r>
      <w:r w:rsidR="00B51723" w:rsidRPr="00CB09BC">
        <w:t>W</w:t>
      </w:r>
      <w:r w:rsidRPr="00CB09BC">
        <w:t>hen mass communication messages are repu</w:t>
      </w:r>
      <w:r w:rsidRPr="00AF5A50">
        <w:t>rposed in identical forms, the result can be oversaturation in the media and loss of uniqueness (</w:t>
      </w:r>
      <w:proofErr w:type="spellStart"/>
      <w:r w:rsidRPr="00AF5A50">
        <w:t>McQuail</w:t>
      </w:r>
      <w:proofErr w:type="spellEnd"/>
      <w:r w:rsidRPr="00AF5A50">
        <w:t xml:space="preserve">, 2005).  </w:t>
      </w:r>
      <w:r w:rsidR="00B51723" w:rsidRPr="00CB09BC">
        <w:t xml:space="preserve">Communications campaigns </w:t>
      </w:r>
      <w:r w:rsidRPr="00CB09BC">
        <w:t xml:space="preserve">should </w:t>
      </w:r>
      <w:r w:rsidR="00B51723" w:rsidRPr="00CB09BC">
        <w:t>spend time</w:t>
      </w:r>
      <w:r w:rsidRPr="00CB09BC">
        <w:t xml:space="preserve"> developing simplified, audience specific messages that represent the most impor</w:t>
      </w:r>
      <w:r w:rsidR="007E3664" w:rsidRPr="00CB09BC">
        <w:t>tant theme (</w:t>
      </w:r>
      <w:proofErr w:type="spellStart"/>
      <w:r w:rsidR="007E3664" w:rsidRPr="00CB09BC">
        <w:t>Weinreich</w:t>
      </w:r>
      <w:proofErr w:type="spellEnd"/>
      <w:r w:rsidR="007E3664" w:rsidRPr="00CB09BC">
        <w:t>, 2011)</w:t>
      </w:r>
      <w:r w:rsidRPr="00CB09BC">
        <w:t xml:space="preserve">. </w:t>
      </w:r>
      <w:r w:rsidR="00822621" w:rsidRPr="00CB09BC">
        <w:t xml:space="preserve"> </w:t>
      </w:r>
      <w:r w:rsidR="00EB28C5">
        <w:t>It is</w:t>
      </w:r>
      <w:r w:rsidRPr="00CB09BC">
        <w:t xml:space="preserve"> important to ensure that the content and visual message complement each other.  </w:t>
      </w:r>
      <w:r w:rsidR="00EB28C5">
        <w:t>In addition,</w:t>
      </w:r>
      <w:r w:rsidR="00822621" w:rsidRPr="00AF5A50">
        <w:t xml:space="preserve"> two promotional pieces used a commodity picture that did not appear to be </w:t>
      </w:r>
      <w:r w:rsidR="00C513F0">
        <w:t xml:space="preserve">a </w:t>
      </w:r>
      <w:r w:rsidR="00822621" w:rsidRPr="00AF5A50">
        <w:t xml:space="preserve">[commodity] promoted by the board.  Agricultural companies should send appropriate image-based messages to their audiences (Edgar &amp; Rutherford, 2012).  </w:t>
      </w:r>
      <w:r w:rsidRPr="00AF5A50">
        <w:t>Although more than half of the promotional pieces’ messages were accurate when the intended</w:t>
      </w:r>
      <w:r w:rsidR="007E3664" w:rsidRPr="00AF5A50">
        <w:t xml:space="preserve"> was compared to the actual, </w:t>
      </w:r>
      <w:r w:rsidR="001F4562" w:rsidRPr="00AF5A50">
        <w:t xml:space="preserve">several pieces from three </w:t>
      </w:r>
      <w:r w:rsidR="002757E2" w:rsidRPr="00AF5A50">
        <w:t xml:space="preserve">of the four </w:t>
      </w:r>
      <w:r w:rsidR="001F4562" w:rsidRPr="00AF5A50">
        <w:t xml:space="preserve">audiences </w:t>
      </w:r>
      <w:r w:rsidRPr="00AF5A50">
        <w:t xml:space="preserve">were identified as inconclusive.  Thus, of the creative pieces </w:t>
      </w:r>
      <w:r w:rsidR="001F4562" w:rsidRPr="00AF5A50">
        <w:t xml:space="preserve">a total of 28 messages (out of </w:t>
      </w:r>
      <w:r w:rsidR="001361EA" w:rsidRPr="00AF5A50">
        <w:t>89</w:t>
      </w:r>
      <w:r w:rsidR="007E3664" w:rsidRPr="00AF5A50">
        <w:t xml:space="preserve"> across </w:t>
      </w:r>
      <w:r w:rsidR="001361EA" w:rsidRPr="00AF5A50">
        <w:t>three</w:t>
      </w:r>
      <w:r w:rsidR="007E3664" w:rsidRPr="00AF5A50">
        <w:t xml:space="preserve"> audiences</w:t>
      </w:r>
      <w:r w:rsidR="001F4562" w:rsidRPr="00AF5A50">
        <w:t xml:space="preserve">) </w:t>
      </w:r>
      <w:r w:rsidRPr="00AF5A50">
        <w:t xml:space="preserve">lacked a means of evaluating the piece to determine overall campaign success.  </w:t>
      </w:r>
    </w:p>
    <w:p w14:paraId="0B80E36B" w14:textId="60CB62D6" w:rsidR="00194DF2" w:rsidRPr="00CB09BC" w:rsidRDefault="004C4086">
      <w:pPr>
        <w:ind w:firstLine="720"/>
      </w:pPr>
      <w:r w:rsidRPr="00AF5A50">
        <w:t xml:space="preserve">The agriculture industry </w:t>
      </w:r>
      <w:r w:rsidR="00CB09BC">
        <w:t>must realize the</w:t>
      </w:r>
      <w:r w:rsidRPr="00CB09BC">
        <w:t xml:space="preserve"> importance of analyzing images used in marketing and should use semiotic analysis to determine the audiences’ perception of their communications efforts (Edgar &amp; Rutherford, 2012).  An expert in the field is often used as a “gatekeeper” for communications efforts (</w:t>
      </w:r>
      <w:proofErr w:type="spellStart"/>
      <w:r w:rsidRPr="00CB09BC">
        <w:t>Weinreich</w:t>
      </w:r>
      <w:proofErr w:type="spellEnd"/>
      <w:r w:rsidRPr="00CB09BC">
        <w:t xml:space="preserve">, 2011).  This individual would be responsible for reviewing materials </w:t>
      </w:r>
      <w:r w:rsidR="00C513F0">
        <w:t xml:space="preserve">for accuracy </w:t>
      </w:r>
      <w:r w:rsidRPr="00CB09BC">
        <w:t xml:space="preserve">before promotional materials are distributed to </w:t>
      </w:r>
      <w:r w:rsidR="00C513F0">
        <w:t xml:space="preserve">target </w:t>
      </w:r>
      <w:r w:rsidRPr="00CB09BC">
        <w:t>audience members.  Advancement should continue to progress in visual analysis in the marketing sector (Tolbert &amp; Rutherford, 2009).  Marketing companies should train designer</w:t>
      </w:r>
      <w:r w:rsidR="00DD2C02" w:rsidRPr="00AF5A50">
        <w:t>s and photographers</w:t>
      </w:r>
      <w:r w:rsidRPr="00AF5A50">
        <w:t xml:space="preserve"> </w:t>
      </w:r>
      <w:r w:rsidR="00C513F0">
        <w:t>to increase</w:t>
      </w:r>
      <w:r w:rsidR="002757E2" w:rsidRPr="00AF5A50">
        <w:t xml:space="preserve"> </w:t>
      </w:r>
      <w:r w:rsidRPr="00AF5A50">
        <w:t>aware</w:t>
      </w:r>
      <w:r w:rsidR="002757E2" w:rsidRPr="00AF5A50">
        <w:t>ness</w:t>
      </w:r>
      <w:r w:rsidRPr="00AF5A50">
        <w:t xml:space="preserve"> of how signs and themes </w:t>
      </w:r>
      <w:r w:rsidR="00C513F0">
        <w:t>c</w:t>
      </w:r>
      <w:r w:rsidRPr="00AF5A50">
        <w:t>an be interpreted by different audience members, and designers</w:t>
      </w:r>
      <w:r w:rsidRPr="00AF5A50">
        <w:rPr>
          <w:iCs/>
        </w:rPr>
        <w:t xml:space="preserve"> should possess extensive</w:t>
      </w:r>
      <w:r w:rsidRPr="00AF5A50">
        <w:t xml:space="preserve"> knowledge about the company they are representing (Tolbert &amp; Rutherford, 2009; Edgar &amp; Rutherford, 2012).</w:t>
      </w:r>
      <w:r w:rsidR="00CB09BC">
        <w:t xml:space="preserve">  Most importantly campaign assessment and evaluation should be holistic and ongoing.</w:t>
      </w:r>
    </w:p>
    <w:p w14:paraId="579A10C3" w14:textId="77777777" w:rsidR="002757E2" w:rsidRPr="00582AC1" w:rsidRDefault="002757E2">
      <w:pPr>
        <w:ind w:firstLine="720"/>
        <w:rPr>
          <w:sz w:val="16"/>
          <w:szCs w:val="16"/>
        </w:rPr>
      </w:pPr>
    </w:p>
    <w:p w14:paraId="6AA12A34" w14:textId="77777777" w:rsidR="00194DF2" w:rsidRPr="00AF5A50" w:rsidRDefault="00194DF2">
      <w:pPr>
        <w:jc w:val="center"/>
        <w:rPr>
          <w:b/>
        </w:rPr>
      </w:pPr>
      <w:r w:rsidRPr="00AF5A50">
        <w:rPr>
          <w:b/>
        </w:rPr>
        <w:t>References</w:t>
      </w:r>
    </w:p>
    <w:p w14:paraId="50642B12" w14:textId="77777777" w:rsidR="006E0D45" w:rsidRPr="00AF5A50" w:rsidRDefault="006E0D45">
      <w:pPr>
        <w:ind w:left="720" w:hanging="720"/>
      </w:pPr>
      <w:r w:rsidRPr="00AF5A50">
        <w:rPr>
          <w:color w:val="000000" w:themeColor="text1"/>
        </w:rPr>
        <w:t>Arkansas Farm Bureau. (</w:t>
      </w:r>
      <w:proofErr w:type="spellStart"/>
      <w:r w:rsidRPr="00AF5A50">
        <w:rPr>
          <w:color w:val="000000" w:themeColor="text1"/>
        </w:rPr>
        <w:t>n.d.</w:t>
      </w:r>
      <w:proofErr w:type="spellEnd"/>
      <w:r w:rsidRPr="00AF5A50">
        <w:rPr>
          <w:color w:val="000000" w:themeColor="text1"/>
        </w:rPr>
        <w:t xml:space="preserve">). Arkansas Farm Bureau - The Voice of Agriculture for Arkansas. Retrieved September 19, 2013, retrieved from </w:t>
      </w:r>
      <w:hyperlink r:id="rId7" w:history="1">
        <w:r w:rsidRPr="00AF5A50">
          <w:t>http://www.arfb.com/education-youth/ag-classroom/default.aspx</w:t>
        </w:r>
      </w:hyperlink>
    </w:p>
    <w:p w14:paraId="43DCFEC8" w14:textId="77777777" w:rsidR="00194DF2" w:rsidRPr="00582AC1" w:rsidRDefault="00194DF2">
      <w:pPr>
        <w:rPr>
          <w:sz w:val="16"/>
          <w:szCs w:val="16"/>
        </w:rPr>
      </w:pPr>
    </w:p>
    <w:p w14:paraId="0D459045" w14:textId="77777777" w:rsidR="006E0D45" w:rsidRPr="00AF5A50" w:rsidRDefault="006E0D45">
      <w:pPr>
        <w:widowControl w:val="0"/>
        <w:autoSpaceDE w:val="0"/>
        <w:autoSpaceDN w:val="0"/>
        <w:adjustRightInd w:val="0"/>
        <w:ind w:left="720" w:hanging="720"/>
      </w:pPr>
      <w:r w:rsidRPr="00AF5A50">
        <w:t xml:space="preserve">Boone, K., </w:t>
      </w:r>
      <w:proofErr w:type="spellStart"/>
      <w:r w:rsidRPr="00AF5A50">
        <w:t>Meisenbach</w:t>
      </w:r>
      <w:proofErr w:type="spellEnd"/>
      <w:r w:rsidRPr="00AF5A50">
        <w:t xml:space="preserve">, T., &amp; Tucker, M. (2003). </w:t>
      </w:r>
      <w:r w:rsidRPr="00AF5A50">
        <w:rPr>
          <w:i/>
        </w:rPr>
        <w:t>Agricultural Communications: Changes and Challenges.</w:t>
      </w:r>
      <w:r w:rsidRPr="00AF5A50">
        <w:t xml:space="preserve"> Ames, Iowa: Blackwell Publishing.</w:t>
      </w:r>
    </w:p>
    <w:p w14:paraId="40BC6794" w14:textId="77777777" w:rsidR="006E0D45" w:rsidRPr="00582AC1" w:rsidRDefault="006E0D45">
      <w:pPr>
        <w:ind w:left="720" w:hanging="720"/>
        <w:rPr>
          <w:sz w:val="16"/>
          <w:szCs w:val="16"/>
        </w:rPr>
      </w:pPr>
    </w:p>
    <w:p w14:paraId="16DE81AB" w14:textId="77777777" w:rsidR="006E0D45" w:rsidRPr="00CB09BC" w:rsidRDefault="006E0D45">
      <w:pPr>
        <w:ind w:left="720" w:hanging="720"/>
      </w:pPr>
      <w:proofErr w:type="spellStart"/>
      <w:r w:rsidRPr="00AF5A50">
        <w:t>Caywood</w:t>
      </w:r>
      <w:proofErr w:type="spellEnd"/>
      <w:r w:rsidRPr="00AF5A50">
        <w:t xml:space="preserve">, C. L., &amp; </w:t>
      </w:r>
      <w:proofErr w:type="spellStart"/>
      <w:r w:rsidRPr="00AF5A50">
        <w:t>Langrehr</w:t>
      </w:r>
      <w:proofErr w:type="spellEnd"/>
      <w:r w:rsidRPr="00AF5A50">
        <w:t xml:space="preserve">, F. W. (1995). A semiotic approach to determining the sins and virtues portrayed in advertising. </w:t>
      </w:r>
      <w:r w:rsidRPr="00AF5A50">
        <w:rPr>
          <w:i/>
        </w:rPr>
        <w:t>Journal of Current Issues and Research in Advertising</w:t>
      </w:r>
      <w:r w:rsidRPr="00CB09BC">
        <w:t xml:space="preserve">. </w:t>
      </w:r>
      <w:r w:rsidRPr="00CB09BC">
        <w:rPr>
          <w:i/>
        </w:rPr>
        <w:t>17</w:t>
      </w:r>
      <w:r w:rsidRPr="00CB09BC">
        <w:t>(1), 33-47.</w:t>
      </w:r>
    </w:p>
    <w:p w14:paraId="2DD5412F" w14:textId="77777777" w:rsidR="006E0D45" w:rsidRPr="00582AC1" w:rsidRDefault="006E0D45">
      <w:pPr>
        <w:rPr>
          <w:sz w:val="16"/>
          <w:szCs w:val="16"/>
        </w:rPr>
      </w:pPr>
    </w:p>
    <w:p w14:paraId="5D14A8D5" w14:textId="77777777" w:rsidR="006E0D45" w:rsidRPr="00CB09BC" w:rsidRDefault="006E0D45">
      <w:pPr>
        <w:widowControl w:val="0"/>
        <w:autoSpaceDE w:val="0"/>
        <w:autoSpaceDN w:val="0"/>
        <w:adjustRightInd w:val="0"/>
        <w:ind w:left="720" w:hanging="720"/>
        <w:rPr>
          <w:i/>
        </w:rPr>
      </w:pPr>
      <w:r w:rsidRPr="00CB09BC">
        <w:t xml:space="preserve">Doerfert, D. L. (Ed.) (2011). </w:t>
      </w:r>
      <w:r w:rsidRPr="00CB09BC">
        <w:rPr>
          <w:i/>
        </w:rPr>
        <w:t xml:space="preserve">National research agenda: American Association for Agricultural </w:t>
      </w:r>
    </w:p>
    <w:p w14:paraId="7C9DDD66" w14:textId="77777777" w:rsidR="006E0D45" w:rsidRPr="00CB09BC" w:rsidRDefault="006E0D45">
      <w:pPr>
        <w:widowControl w:val="0"/>
        <w:autoSpaceDE w:val="0"/>
        <w:autoSpaceDN w:val="0"/>
        <w:adjustRightInd w:val="0"/>
        <w:ind w:left="720"/>
      </w:pPr>
      <w:r w:rsidRPr="00CB09BC">
        <w:rPr>
          <w:i/>
        </w:rPr>
        <w:t>Education’s research priority areas for 2011-2015</w:t>
      </w:r>
      <w:r w:rsidRPr="00CB09BC">
        <w:t>. Lubbock, TX: Texas Tech University, Department of Agricultural Education and Communications.</w:t>
      </w:r>
    </w:p>
    <w:p w14:paraId="4F439315" w14:textId="77777777" w:rsidR="006E0D45" w:rsidRPr="00582AC1" w:rsidRDefault="006E0D45">
      <w:pPr>
        <w:widowControl w:val="0"/>
        <w:autoSpaceDE w:val="0"/>
        <w:autoSpaceDN w:val="0"/>
        <w:adjustRightInd w:val="0"/>
        <w:ind w:left="720" w:hanging="720"/>
        <w:rPr>
          <w:sz w:val="16"/>
          <w:szCs w:val="16"/>
        </w:rPr>
      </w:pPr>
    </w:p>
    <w:p w14:paraId="6E6E5E60" w14:textId="77777777" w:rsidR="006E0D45" w:rsidRPr="00AF5A50" w:rsidRDefault="006E0D45">
      <w:pPr>
        <w:widowControl w:val="0"/>
        <w:autoSpaceDE w:val="0"/>
        <w:autoSpaceDN w:val="0"/>
        <w:adjustRightInd w:val="0"/>
        <w:ind w:left="720" w:hanging="720"/>
      </w:pPr>
      <w:r w:rsidRPr="00AF5A50">
        <w:t xml:space="preserve">Edgar, L., &amp; Rutherford, T. (2012). A semiotic analysis of a Texas Cooperative Extension marketing packet. </w:t>
      </w:r>
      <w:r w:rsidRPr="00AF5A50">
        <w:rPr>
          <w:i/>
        </w:rPr>
        <w:t>Journal of Applied Communication,</w:t>
      </w:r>
      <w:r w:rsidRPr="00AF5A50">
        <w:t xml:space="preserve"> </w:t>
      </w:r>
      <w:r w:rsidRPr="00AF5A50">
        <w:rPr>
          <w:i/>
        </w:rPr>
        <w:t>96</w:t>
      </w:r>
      <w:r w:rsidRPr="00AF5A50">
        <w:t xml:space="preserve">(1), 15-28. </w:t>
      </w:r>
    </w:p>
    <w:p w14:paraId="71213BFC" w14:textId="77777777" w:rsidR="006E0D45" w:rsidRPr="00582AC1" w:rsidRDefault="006E0D45">
      <w:pPr>
        <w:rPr>
          <w:sz w:val="16"/>
          <w:szCs w:val="16"/>
        </w:rPr>
      </w:pPr>
    </w:p>
    <w:p w14:paraId="0F62369A" w14:textId="77777777" w:rsidR="006E0D45" w:rsidRPr="00AF5A50" w:rsidRDefault="006E0D45">
      <w:pPr>
        <w:rPr>
          <w:rFonts w:eastAsia="Times New Roman"/>
        </w:rPr>
      </w:pPr>
      <w:r w:rsidRPr="00AF5A50">
        <w:rPr>
          <w:rFonts w:eastAsia="Times New Roman"/>
        </w:rPr>
        <w:t xml:space="preserve">Gall, M. D., Gall, J. P., &amp; Borg, W. R. (2006). </w:t>
      </w:r>
      <w:r w:rsidRPr="00AF5A50">
        <w:rPr>
          <w:rFonts w:eastAsia="Times New Roman"/>
          <w:i/>
          <w:iCs/>
        </w:rPr>
        <w:t xml:space="preserve">Educational research </w:t>
      </w:r>
      <w:r w:rsidRPr="00AF5A50">
        <w:rPr>
          <w:rFonts w:eastAsia="Times New Roman"/>
        </w:rPr>
        <w:t xml:space="preserve">(8th </w:t>
      </w:r>
      <w:proofErr w:type="gramStart"/>
      <w:r w:rsidRPr="00AF5A50">
        <w:rPr>
          <w:rFonts w:eastAsia="Times New Roman"/>
        </w:rPr>
        <w:t>ed</w:t>
      </w:r>
      <w:proofErr w:type="gramEnd"/>
      <w:r w:rsidRPr="00AF5A50">
        <w:rPr>
          <w:rFonts w:eastAsia="Times New Roman"/>
        </w:rPr>
        <w:t>.). Upper Saddle</w:t>
      </w:r>
    </w:p>
    <w:p w14:paraId="45D558AF" w14:textId="77777777" w:rsidR="006E0D45" w:rsidRPr="00AF5A50" w:rsidRDefault="006E0D45">
      <w:pPr>
        <w:ind w:firstLine="360"/>
        <w:rPr>
          <w:rFonts w:eastAsia="Times New Roman"/>
        </w:rPr>
      </w:pPr>
      <w:r w:rsidRPr="00AF5A50">
        <w:rPr>
          <w:rFonts w:eastAsia="Times New Roman"/>
        </w:rPr>
        <w:t>River, NJ: Pearson Education, Inc.</w:t>
      </w:r>
    </w:p>
    <w:p w14:paraId="6F1EE5C9" w14:textId="77777777" w:rsidR="006E0D45" w:rsidRPr="00582AC1" w:rsidRDefault="006E0D45">
      <w:pPr>
        <w:rPr>
          <w:sz w:val="16"/>
          <w:szCs w:val="16"/>
        </w:rPr>
      </w:pPr>
    </w:p>
    <w:p w14:paraId="01E5BBE6" w14:textId="77777777" w:rsidR="001361EA" w:rsidRPr="00AF5A50" w:rsidRDefault="001361EA">
      <w:pPr>
        <w:autoSpaceDE w:val="0"/>
        <w:autoSpaceDN w:val="0"/>
        <w:adjustRightInd w:val="0"/>
        <w:ind w:left="720" w:hanging="720"/>
      </w:pPr>
      <w:proofErr w:type="spellStart"/>
      <w:r w:rsidRPr="00AF5A50">
        <w:t>Hanstén</w:t>
      </w:r>
      <w:proofErr w:type="spellEnd"/>
      <w:r w:rsidRPr="00AF5A50">
        <w:t xml:space="preserve">, S. (2009). </w:t>
      </w:r>
      <w:r w:rsidRPr="00AF5A50">
        <w:rPr>
          <w:iCs/>
        </w:rPr>
        <w:t>Defining successful marketing communication: A follow-up of a global campaign</w:t>
      </w:r>
      <w:r w:rsidRPr="00AF5A50">
        <w:rPr>
          <w:i/>
          <w:iCs/>
        </w:rPr>
        <w:t xml:space="preserve">. </w:t>
      </w:r>
      <w:r w:rsidRPr="00AF5A50">
        <w:t>University of Applied Sciences. Retrieved on January 31, 2013 from http://publications.theseus.fi/bitstream/handle/10024/6324/Hansten_Susanna.pdf?sequence=1</w:t>
      </w:r>
    </w:p>
    <w:p w14:paraId="1C0B8B25" w14:textId="77777777" w:rsidR="001361EA" w:rsidRPr="00582AC1" w:rsidRDefault="001361EA">
      <w:pPr>
        <w:rPr>
          <w:sz w:val="16"/>
          <w:szCs w:val="16"/>
        </w:rPr>
      </w:pPr>
    </w:p>
    <w:p w14:paraId="0FAE2AB9" w14:textId="77777777" w:rsidR="001361EA" w:rsidRPr="00AF5A50" w:rsidRDefault="001361EA">
      <w:pPr>
        <w:ind w:left="720" w:hanging="720"/>
      </w:pPr>
      <w:proofErr w:type="spellStart"/>
      <w:r w:rsidRPr="00AF5A50">
        <w:t>Laczniak</w:t>
      </w:r>
      <w:proofErr w:type="spellEnd"/>
      <w:r w:rsidRPr="00AF5A50">
        <w:t xml:space="preserve">, R. N., &amp; </w:t>
      </w:r>
      <w:proofErr w:type="spellStart"/>
      <w:r w:rsidRPr="00AF5A50">
        <w:t>Muehling</w:t>
      </w:r>
      <w:proofErr w:type="spellEnd"/>
      <w:r w:rsidRPr="00AF5A50">
        <w:t xml:space="preserve">, D. D. (1993). Toward a better understanding of the role of advertising message involvement in ad processing. </w:t>
      </w:r>
      <w:r w:rsidRPr="00AF5A50">
        <w:rPr>
          <w:i/>
        </w:rPr>
        <w:t>Journal of Psychology and Marketing. 10(4), 301-319.</w:t>
      </w:r>
    </w:p>
    <w:p w14:paraId="65661588" w14:textId="77777777" w:rsidR="001361EA" w:rsidRPr="00582AC1" w:rsidRDefault="001361EA">
      <w:pPr>
        <w:rPr>
          <w:sz w:val="16"/>
          <w:szCs w:val="16"/>
        </w:rPr>
      </w:pPr>
    </w:p>
    <w:p w14:paraId="6DFC6E45" w14:textId="77777777" w:rsidR="001361EA" w:rsidRPr="00AF5A50" w:rsidRDefault="001361EA">
      <w:pPr>
        <w:widowControl w:val="0"/>
        <w:autoSpaceDE w:val="0"/>
        <w:autoSpaceDN w:val="0"/>
        <w:adjustRightInd w:val="0"/>
        <w:ind w:left="720" w:hanging="720"/>
      </w:pPr>
      <w:r w:rsidRPr="00AF5A50">
        <w:t xml:space="preserve">Lincoln, Y. S., &amp; </w:t>
      </w:r>
      <w:proofErr w:type="spellStart"/>
      <w:r w:rsidRPr="00AF5A50">
        <w:t>Guba</w:t>
      </w:r>
      <w:proofErr w:type="spellEnd"/>
      <w:r w:rsidRPr="00AF5A50">
        <w:t xml:space="preserve">, E. G. (1985). </w:t>
      </w:r>
      <w:r w:rsidRPr="00AF5A50">
        <w:rPr>
          <w:i/>
        </w:rPr>
        <w:t>Naturalistic Inquiry</w:t>
      </w:r>
      <w:r w:rsidRPr="00AF5A50">
        <w:t>. Newbury, Park, CA: Sage Publications.</w:t>
      </w:r>
    </w:p>
    <w:p w14:paraId="32E74986" w14:textId="77777777" w:rsidR="001361EA" w:rsidRPr="00582AC1" w:rsidRDefault="001361EA">
      <w:pPr>
        <w:rPr>
          <w:sz w:val="16"/>
          <w:szCs w:val="16"/>
        </w:rPr>
      </w:pPr>
    </w:p>
    <w:p w14:paraId="125847B0" w14:textId="77777777" w:rsidR="001361EA" w:rsidRPr="00AF5A50" w:rsidRDefault="001361EA">
      <w:pPr>
        <w:widowControl w:val="0"/>
        <w:autoSpaceDE w:val="0"/>
        <w:autoSpaceDN w:val="0"/>
        <w:adjustRightInd w:val="0"/>
        <w:ind w:left="720" w:hanging="720"/>
      </w:pPr>
      <w:proofErr w:type="spellStart"/>
      <w:r w:rsidRPr="00AF5A50">
        <w:t>Manghani</w:t>
      </w:r>
      <w:proofErr w:type="spellEnd"/>
      <w:r w:rsidRPr="00AF5A50">
        <w:t xml:space="preserve">, S. (2013). </w:t>
      </w:r>
      <w:r w:rsidRPr="00AF5A50">
        <w:rPr>
          <w:i/>
        </w:rPr>
        <w:t>Image Studies: Theory and Practice</w:t>
      </w:r>
      <w:r w:rsidRPr="00AF5A50">
        <w:t xml:space="preserve">. New York, NY: Routledge Publishing. </w:t>
      </w:r>
    </w:p>
    <w:p w14:paraId="5FC2D56C" w14:textId="77777777" w:rsidR="001361EA" w:rsidRPr="00582AC1" w:rsidRDefault="001361EA">
      <w:pPr>
        <w:widowControl w:val="0"/>
        <w:autoSpaceDE w:val="0"/>
        <w:autoSpaceDN w:val="0"/>
        <w:adjustRightInd w:val="0"/>
        <w:ind w:left="720" w:hanging="720"/>
        <w:rPr>
          <w:sz w:val="16"/>
          <w:szCs w:val="16"/>
        </w:rPr>
      </w:pPr>
    </w:p>
    <w:p w14:paraId="590E3D73" w14:textId="4636585D" w:rsidR="001361EA" w:rsidRPr="00AF5A50" w:rsidRDefault="001361EA">
      <w:r w:rsidRPr="00AF5A50">
        <w:t xml:space="preserve">Marshall, G., &amp; Johnston, M. (2010). </w:t>
      </w:r>
      <w:r w:rsidRPr="00AF5A50">
        <w:rPr>
          <w:i/>
        </w:rPr>
        <w:t>Marketing Management.</w:t>
      </w:r>
      <w:r w:rsidRPr="00AF5A50">
        <w:t xml:space="preserve"> Boston, MA: McGraw-Hill Irwin.</w:t>
      </w:r>
    </w:p>
    <w:p w14:paraId="0CC394F6" w14:textId="77777777" w:rsidR="001361EA" w:rsidRPr="00582AC1" w:rsidRDefault="001361EA">
      <w:pPr>
        <w:rPr>
          <w:sz w:val="16"/>
          <w:szCs w:val="16"/>
        </w:rPr>
      </w:pPr>
    </w:p>
    <w:p w14:paraId="36248748" w14:textId="77777777" w:rsidR="00AF5A50" w:rsidRPr="00AF5A50" w:rsidRDefault="00AF5A50">
      <w:pPr>
        <w:widowControl w:val="0"/>
        <w:autoSpaceDE w:val="0"/>
        <w:autoSpaceDN w:val="0"/>
        <w:adjustRightInd w:val="0"/>
        <w:ind w:left="720" w:hanging="720"/>
      </w:pPr>
      <w:r w:rsidRPr="00AF5A50">
        <w:t xml:space="preserve">McMillan, J., &amp; Schumacher, S. (2010). </w:t>
      </w:r>
      <w:r w:rsidRPr="00AF5A50">
        <w:rPr>
          <w:i/>
        </w:rPr>
        <w:t>Research in Education</w:t>
      </w:r>
      <w:r w:rsidRPr="00AF5A50">
        <w:t>. Upper Saddle River, NJ: Pearson.</w:t>
      </w:r>
    </w:p>
    <w:p w14:paraId="3266A255" w14:textId="77777777" w:rsidR="00AF5A50" w:rsidRPr="00582AC1" w:rsidRDefault="00AF5A50">
      <w:pPr>
        <w:widowControl w:val="0"/>
        <w:autoSpaceDE w:val="0"/>
        <w:autoSpaceDN w:val="0"/>
        <w:adjustRightInd w:val="0"/>
        <w:ind w:left="720" w:hanging="720"/>
        <w:rPr>
          <w:sz w:val="16"/>
          <w:szCs w:val="16"/>
        </w:rPr>
      </w:pPr>
    </w:p>
    <w:p w14:paraId="57361354" w14:textId="77777777" w:rsidR="001361EA" w:rsidRPr="00AF5A50" w:rsidRDefault="001361EA">
      <w:pPr>
        <w:widowControl w:val="0"/>
        <w:autoSpaceDE w:val="0"/>
        <w:autoSpaceDN w:val="0"/>
        <w:adjustRightInd w:val="0"/>
        <w:ind w:left="720" w:hanging="720"/>
      </w:pPr>
      <w:proofErr w:type="spellStart"/>
      <w:r w:rsidRPr="00AF5A50">
        <w:t>McQuail</w:t>
      </w:r>
      <w:proofErr w:type="spellEnd"/>
      <w:r w:rsidRPr="00AF5A50">
        <w:t xml:space="preserve">, D. (2005). </w:t>
      </w:r>
      <w:r w:rsidRPr="00AF5A50">
        <w:rPr>
          <w:i/>
        </w:rPr>
        <w:t>Mass Communication Theory</w:t>
      </w:r>
      <w:r w:rsidRPr="00AF5A50">
        <w:t>. Thousand Oaks, CA: Sage Publications.</w:t>
      </w:r>
    </w:p>
    <w:p w14:paraId="2DE8CE10" w14:textId="77777777" w:rsidR="001361EA" w:rsidRPr="00582AC1" w:rsidRDefault="001361EA">
      <w:pPr>
        <w:rPr>
          <w:sz w:val="16"/>
          <w:szCs w:val="16"/>
        </w:rPr>
      </w:pPr>
    </w:p>
    <w:p w14:paraId="118D6994" w14:textId="77777777" w:rsidR="001361EA" w:rsidRPr="00AF5A50" w:rsidRDefault="001361EA">
      <w:pPr>
        <w:ind w:left="720" w:hanging="720"/>
      </w:pPr>
      <w:r w:rsidRPr="00AF5A50">
        <w:t xml:space="preserve">Rice, R. E., &amp; </w:t>
      </w:r>
      <w:proofErr w:type="spellStart"/>
      <w:r w:rsidRPr="00AF5A50">
        <w:t>Atkin</w:t>
      </w:r>
      <w:proofErr w:type="spellEnd"/>
      <w:r w:rsidRPr="00AF5A50">
        <w:t xml:space="preserve">, C. K. (Eds.). (2013). </w:t>
      </w:r>
      <w:r w:rsidRPr="00AF5A50">
        <w:rPr>
          <w:i/>
          <w:iCs/>
        </w:rPr>
        <w:t>Public Communication Campaigns</w:t>
      </w:r>
      <w:r w:rsidRPr="00AF5A50">
        <w:t>. Thousand Oaks, CA: Sage.</w:t>
      </w:r>
    </w:p>
    <w:p w14:paraId="5E3C938F" w14:textId="77777777" w:rsidR="001361EA" w:rsidRPr="00582AC1" w:rsidRDefault="001361EA">
      <w:pPr>
        <w:ind w:left="720" w:hanging="720"/>
        <w:rPr>
          <w:sz w:val="16"/>
          <w:szCs w:val="16"/>
        </w:rPr>
      </w:pPr>
    </w:p>
    <w:p w14:paraId="54F5AE30" w14:textId="77777777" w:rsidR="001361EA" w:rsidRPr="00AF5A50" w:rsidRDefault="001361EA">
      <w:pPr>
        <w:ind w:left="720" w:hanging="720"/>
      </w:pPr>
      <w:r w:rsidRPr="00AF5A50">
        <w:t xml:space="preserve">Tolbert, J., &amp; Rutherford, T. (2009). A semiotic analysis of biotechnology and food safety images in Time, Newsweek and U.S. News &amp; World Report. </w:t>
      </w:r>
      <w:r w:rsidRPr="00AF5A50">
        <w:rPr>
          <w:i/>
        </w:rPr>
        <w:t>Journal of Applied Communication</w:t>
      </w:r>
      <w:r w:rsidRPr="00AF5A50">
        <w:t xml:space="preserve">, </w:t>
      </w:r>
      <w:r w:rsidRPr="00AF5A50">
        <w:rPr>
          <w:i/>
        </w:rPr>
        <w:t>93</w:t>
      </w:r>
      <w:r w:rsidRPr="00AF5A50">
        <w:t xml:space="preserve">(1-2), 6-20. </w:t>
      </w:r>
    </w:p>
    <w:p w14:paraId="70284E16" w14:textId="77777777" w:rsidR="001361EA" w:rsidRPr="00582AC1" w:rsidRDefault="001361EA">
      <w:pPr>
        <w:rPr>
          <w:sz w:val="16"/>
          <w:szCs w:val="16"/>
        </w:rPr>
      </w:pPr>
    </w:p>
    <w:p w14:paraId="55489C59" w14:textId="77777777" w:rsidR="001361EA" w:rsidRPr="00AF5A50" w:rsidRDefault="001361EA">
      <w:pPr>
        <w:ind w:left="720" w:hanging="720"/>
      </w:pPr>
      <w:proofErr w:type="spellStart"/>
      <w:r w:rsidRPr="00AF5A50">
        <w:lastRenderedPageBreak/>
        <w:t>Weinreich</w:t>
      </w:r>
      <w:proofErr w:type="spellEnd"/>
      <w:r w:rsidRPr="00AF5A50">
        <w:t xml:space="preserve">, N. K. (2010). </w:t>
      </w:r>
      <w:r w:rsidRPr="00AF5A50">
        <w:rPr>
          <w:i/>
          <w:iCs/>
        </w:rPr>
        <w:t>Hands-on social marketing: A step-by-step guide to designing change for good</w:t>
      </w:r>
      <w:r w:rsidRPr="00AF5A50">
        <w:t>. SAGE Publications, Incorporated.</w:t>
      </w:r>
    </w:p>
    <w:p w14:paraId="667D9CAF" w14:textId="77777777" w:rsidR="001361EA" w:rsidRPr="00582AC1" w:rsidRDefault="001361EA">
      <w:pPr>
        <w:rPr>
          <w:sz w:val="16"/>
          <w:szCs w:val="16"/>
        </w:rPr>
      </w:pPr>
    </w:p>
    <w:sectPr w:rsidR="001361EA" w:rsidRPr="00582AC1" w:rsidSect="003E6DE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343DFA" w14:textId="77777777" w:rsidR="00796E76" w:rsidRDefault="00796E76" w:rsidP="00FF5A5E">
      <w:r>
        <w:separator/>
      </w:r>
    </w:p>
  </w:endnote>
  <w:endnote w:type="continuationSeparator" w:id="0">
    <w:p w14:paraId="38157431" w14:textId="77777777" w:rsidR="00796E76" w:rsidRDefault="00796E76" w:rsidP="00FF5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3434CC" w14:textId="77777777" w:rsidR="00796E76" w:rsidRDefault="00796E76" w:rsidP="00FF5A5E">
      <w:r>
        <w:separator/>
      </w:r>
    </w:p>
  </w:footnote>
  <w:footnote w:type="continuationSeparator" w:id="0">
    <w:p w14:paraId="1778271F" w14:textId="77777777" w:rsidR="00796E76" w:rsidRDefault="00796E76" w:rsidP="00FF5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3E21B" w14:textId="77777777" w:rsidR="006E0D45" w:rsidRPr="00FF5A5E" w:rsidRDefault="006E0D45" w:rsidP="00FF5A5E">
    <w:pPr>
      <w:pStyle w:val="Header"/>
      <w:jc w:val="right"/>
      <w:rPr>
        <w:b/>
      </w:rPr>
    </w:pPr>
    <w:r>
      <w:rPr>
        <w:b/>
      </w:rPr>
      <w:t>Research Poster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0B9"/>
    <w:rsid w:val="0001677B"/>
    <w:rsid w:val="000629AB"/>
    <w:rsid w:val="00062B7E"/>
    <w:rsid w:val="001361EA"/>
    <w:rsid w:val="00150664"/>
    <w:rsid w:val="00154820"/>
    <w:rsid w:val="00194DF2"/>
    <w:rsid w:val="001F4562"/>
    <w:rsid w:val="00223E7E"/>
    <w:rsid w:val="00226F2A"/>
    <w:rsid w:val="00267AEE"/>
    <w:rsid w:val="002757E2"/>
    <w:rsid w:val="003100B9"/>
    <w:rsid w:val="00320B9E"/>
    <w:rsid w:val="00325E32"/>
    <w:rsid w:val="003869B4"/>
    <w:rsid w:val="003E16D3"/>
    <w:rsid w:val="003E31CD"/>
    <w:rsid w:val="003E6DE0"/>
    <w:rsid w:val="00452EC3"/>
    <w:rsid w:val="00455FD9"/>
    <w:rsid w:val="004C4086"/>
    <w:rsid w:val="00547A89"/>
    <w:rsid w:val="0056084A"/>
    <w:rsid w:val="00582AC1"/>
    <w:rsid w:val="005A09CC"/>
    <w:rsid w:val="005D16BA"/>
    <w:rsid w:val="00605E3F"/>
    <w:rsid w:val="006470BD"/>
    <w:rsid w:val="0066177D"/>
    <w:rsid w:val="006B55AF"/>
    <w:rsid w:val="006E0D45"/>
    <w:rsid w:val="0073112B"/>
    <w:rsid w:val="00751663"/>
    <w:rsid w:val="00786B9D"/>
    <w:rsid w:val="00796E76"/>
    <w:rsid w:val="007D50CE"/>
    <w:rsid w:val="007E3664"/>
    <w:rsid w:val="008012F9"/>
    <w:rsid w:val="00822621"/>
    <w:rsid w:val="008269FE"/>
    <w:rsid w:val="0083051C"/>
    <w:rsid w:val="008D54F3"/>
    <w:rsid w:val="008E7581"/>
    <w:rsid w:val="008F28A6"/>
    <w:rsid w:val="0095094B"/>
    <w:rsid w:val="00A909B9"/>
    <w:rsid w:val="00AF1AE9"/>
    <w:rsid w:val="00AF5A50"/>
    <w:rsid w:val="00B51723"/>
    <w:rsid w:val="00B853E6"/>
    <w:rsid w:val="00BC344F"/>
    <w:rsid w:val="00C0216C"/>
    <w:rsid w:val="00C31284"/>
    <w:rsid w:val="00C3785F"/>
    <w:rsid w:val="00C513F0"/>
    <w:rsid w:val="00C76129"/>
    <w:rsid w:val="00CB09BC"/>
    <w:rsid w:val="00D547AF"/>
    <w:rsid w:val="00DD2C02"/>
    <w:rsid w:val="00EB28C5"/>
    <w:rsid w:val="00F35F7B"/>
    <w:rsid w:val="00FF5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F02768"/>
  <w15:docId w15:val="{0C06F73D-333F-41CF-9124-6DA7E3361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0B9"/>
    <w:pPr>
      <w:spacing w:after="0" w:line="240" w:lineRule="auto"/>
    </w:pPr>
    <w:rPr>
      <w:rFonts w:eastAsiaTheme="minorEastAsia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5A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5A5E"/>
    <w:rPr>
      <w:rFonts w:eastAsiaTheme="minorEastAsia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FF5A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5A5E"/>
    <w:rPr>
      <w:rFonts w:eastAsiaTheme="minorEastAsia" w:cs="Times New Roman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312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128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1284"/>
    <w:rPr>
      <w:rFonts w:eastAsiaTheme="minorEastAsia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12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1284"/>
    <w:rPr>
      <w:rFonts w:eastAsiaTheme="minorEastAsia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2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284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rfb.com/education-youth/ag-classroom/default.asp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B12E5-AA64-4F68-B73A-FD4A5A0EA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1570</Words>
  <Characters>8953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Hughes</dc:creator>
  <cp:keywords/>
  <dc:description/>
  <cp:lastModifiedBy>Leslie Dawn Edgar</cp:lastModifiedBy>
  <cp:revision>3</cp:revision>
  <cp:lastPrinted>2013-10-21T18:30:00Z</cp:lastPrinted>
  <dcterms:created xsi:type="dcterms:W3CDTF">2013-10-22T03:39:00Z</dcterms:created>
  <dcterms:modified xsi:type="dcterms:W3CDTF">2013-10-22T03:43:00Z</dcterms:modified>
</cp:coreProperties>
</file>