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8D7" w:rsidRDefault="00F308D7" w:rsidP="00F308D7">
      <w:pPr>
        <w:jc w:val="right"/>
        <w:rPr>
          <w:rFonts w:ascii="Times" w:hAnsi="Times" w:cs="Times"/>
          <w:b/>
          <w:color w:val="000000"/>
        </w:rPr>
      </w:pPr>
      <w:r>
        <w:rPr>
          <w:rFonts w:ascii="Times" w:hAnsi="Times" w:cs="Times"/>
          <w:b/>
          <w:color w:val="000000"/>
        </w:rPr>
        <w:t>Research Poster</w:t>
      </w:r>
    </w:p>
    <w:p w:rsidR="00F308D7" w:rsidRDefault="00F308D7" w:rsidP="00F308D7">
      <w:pPr>
        <w:jc w:val="right"/>
        <w:rPr>
          <w:rFonts w:ascii="Times" w:hAnsi="Times" w:cs="Times"/>
          <w:b/>
          <w:color w:val="000000"/>
        </w:rPr>
      </w:pPr>
    </w:p>
    <w:p w:rsidR="00F308D7" w:rsidRDefault="00F308D7" w:rsidP="00F308D7">
      <w:pPr>
        <w:jc w:val="right"/>
        <w:rPr>
          <w:rFonts w:ascii="Times" w:hAnsi="Times" w:cs="Times"/>
          <w:b/>
          <w:color w:val="000000"/>
        </w:rPr>
      </w:pPr>
    </w:p>
    <w:p w:rsidR="00F308D7" w:rsidRDefault="00F308D7" w:rsidP="00F308D7">
      <w:pPr>
        <w:jc w:val="right"/>
        <w:rPr>
          <w:rFonts w:ascii="Times" w:hAnsi="Times" w:cs="Times"/>
          <w:b/>
          <w:color w:val="000000"/>
        </w:rPr>
      </w:pPr>
    </w:p>
    <w:p w:rsidR="00726DDD" w:rsidRDefault="00726DDD" w:rsidP="00F308D7">
      <w:pPr>
        <w:jc w:val="center"/>
        <w:rPr>
          <w:rFonts w:ascii="Times" w:hAnsi="Times" w:cs="Times"/>
          <w:b/>
          <w:color w:val="000000"/>
        </w:rPr>
      </w:pPr>
      <w:r>
        <w:rPr>
          <w:rFonts w:ascii="Times" w:hAnsi="Times" w:cs="Times"/>
          <w:b/>
          <w:color w:val="000000"/>
        </w:rPr>
        <w:t>Increasing Student Engagement through a Career Academy Program</w:t>
      </w:r>
    </w:p>
    <w:p w:rsidR="00726DDD" w:rsidRDefault="00726DDD" w:rsidP="00F308D7">
      <w:pPr>
        <w:jc w:val="center"/>
        <w:rPr>
          <w:rFonts w:ascii="Times" w:hAnsi="Times" w:cs="Times"/>
          <w:b/>
          <w:color w:val="000000"/>
        </w:rPr>
      </w:pPr>
    </w:p>
    <w:p w:rsidR="00726DDD" w:rsidRDefault="00726DDD" w:rsidP="00F308D7">
      <w:pPr>
        <w:jc w:val="center"/>
        <w:rPr>
          <w:rFonts w:ascii="Times" w:hAnsi="Times" w:cs="Times"/>
          <w:color w:val="000000"/>
        </w:rPr>
      </w:pPr>
      <w:r>
        <w:rPr>
          <w:rFonts w:ascii="Times" w:hAnsi="Times" w:cs="Times"/>
          <w:color w:val="000000"/>
        </w:rPr>
        <w:t>Dr. Cory Epler</w:t>
      </w:r>
    </w:p>
    <w:p w:rsidR="00726DDD" w:rsidRDefault="00726DDD" w:rsidP="00F308D7">
      <w:pPr>
        <w:jc w:val="center"/>
        <w:rPr>
          <w:rFonts w:ascii="Times" w:hAnsi="Times" w:cs="Times"/>
          <w:color w:val="000000"/>
        </w:rPr>
      </w:pPr>
      <w:r>
        <w:rPr>
          <w:rFonts w:ascii="Times" w:hAnsi="Times" w:cs="Times"/>
          <w:color w:val="000000"/>
        </w:rPr>
        <w:t>Nebraska Department of Education</w:t>
      </w:r>
    </w:p>
    <w:p w:rsidR="00726DDD" w:rsidRDefault="00726DDD" w:rsidP="00F308D7">
      <w:pPr>
        <w:jc w:val="center"/>
        <w:rPr>
          <w:rFonts w:ascii="Times" w:hAnsi="Times" w:cs="Times"/>
          <w:color w:val="000000"/>
        </w:rPr>
      </w:pPr>
    </w:p>
    <w:p w:rsidR="00726DDD" w:rsidRDefault="00726DDD" w:rsidP="00F308D7">
      <w:pPr>
        <w:jc w:val="center"/>
        <w:rPr>
          <w:rFonts w:ascii="Times" w:hAnsi="Times" w:cs="Times"/>
          <w:color w:val="000000"/>
        </w:rPr>
      </w:pPr>
      <w:r>
        <w:rPr>
          <w:rFonts w:ascii="Times" w:hAnsi="Times" w:cs="Times"/>
          <w:color w:val="000000"/>
        </w:rPr>
        <w:t>Mr. Matt Kreifels</w:t>
      </w:r>
    </w:p>
    <w:p w:rsidR="00726DDD" w:rsidRDefault="00726DDD" w:rsidP="00F308D7">
      <w:pPr>
        <w:jc w:val="center"/>
        <w:rPr>
          <w:rFonts w:ascii="Times" w:hAnsi="Times" w:cs="Times"/>
          <w:color w:val="000000"/>
        </w:rPr>
      </w:pPr>
      <w:r>
        <w:rPr>
          <w:rFonts w:ascii="Times" w:hAnsi="Times" w:cs="Times"/>
          <w:color w:val="000000"/>
        </w:rPr>
        <w:t xml:space="preserve">Dr. Mark </w:t>
      </w:r>
      <w:proofErr w:type="spellStart"/>
      <w:r>
        <w:rPr>
          <w:rFonts w:ascii="Times" w:hAnsi="Times" w:cs="Times"/>
          <w:color w:val="000000"/>
        </w:rPr>
        <w:t>Balschweid</w:t>
      </w:r>
      <w:proofErr w:type="spellEnd"/>
    </w:p>
    <w:p w:rsidR="00726DDD" w:rsidRDefault="00726DDD" w:rsidP="00F308D7">
      <w:pPr>
        <w:jc w:val="center"/>
        <w:rPr>
          <w:rFonts w:ascii="Times" w:hAnsi="Times" w:cs="Times"/>
          <w:color w:val="000000"/>
        </w:rPr>
      </w:pPr>
      <w:r>
        <w:rPr>
          <w:rFonts w:ascii="Times" w:hAnsi="Times" w:cs="Times"/>
          <w:color w:val="000000"/>
        </w:rPr>
        <w:t>University of Nebraska-Lincoln</w:t>
      </w:r>
    </w:p>
    <w:p w:rsidR="00726DDD" w:rsidRDefault="00726DDD" w:rsidP="00F308D7">
      <w:pPr>
        <w:jc w:val="center"/>
        <w:rPr>
          <w:rFonts w:ascii="Times" w:hAnsi="Times" w:cs="Times"/>
          <w:color w:val="000000"/>
        </w:rPr>
      </w:pPr>
    </w:p>
    <w:p w:rsidR="00726DDD" w:rsidRDefault="00726DDD" w:rsidP="00F308D7">
      <w:pPr>
        <w:jc w:val="center"/>
        <w:rPr>
          <w:rFonts w:ascii="Times" w:hAnsi="Times" w:cs="Times"/>
          <w:color w:val="000000"/>
        </w:rPr>
      </w:pPr>
    </w:p>
    <w:p w:rsidR="00726DDD" w:rsidRDefault="00726DDD" w:rsidP="00F308D7">
      <w:pPr>
        <w:jc w:val="center"/>
        <w:rPr>
          <w:rFonts w:ascii="Times" w:hAnsi="Times" w:cs="Times"/>
          <w:color w:val="000000"/>
        </w:rPr>
      </w:pPr>
    </w:p>
    <w:p w:rsidR="00726DDD" w:rsidRPr="00726DDD" w:rsidRDefault="00726DDD" w:rsidP="00726DDD">
      <w:pPr>
        <w:jc w:val="center"/>
        <w:rPr>
          <w:rFonts w:ascii="Times" w:hAnsi="Times" w:cs="Times"/>
          <w:color w:val="000000"/>
        </w:rPr>
      </w:pPr>
      <w:r w:rsidRPr="00726DDD">
        <w:rPr>
          <w:rFonts w:ascii="Times" w:hAnsi="Times" w:cs="Times"/>
          <w:color w:val="000000"/>
        </w:rPr>
        <w:t>301 Centennial Mall South - P.O. Box 94987</w:t>
      </w:r>
    </w:p>
    <w:p w:rsidR="00726DDD" w:rsidRPr="00726DDD" w:rsidRDefault="00726DDD" w:rsidP="00726DDD">
      <w:pPr>
        <w:jc w:val="center"/>
        <w:rPr>
          <w:rFonts w:ascii="Times" w:hAnsi="Times" w:cs="Times"/>
          <w:color w:val="000000"/>
        </w:rPr>
      </w:pPr>
      <w:r w:rsidRPr="00726DDD">
        <w:rPr>
          <w:rFonts w:ascii="Times" w:hAnsi="Times" w:cs="Times"/>
          <w:color w:val="000000"/>
        </w:rPr>
        <w:t>Lincoln, NE 68509-4987</w:t>
      </w:r>
    </w:p>
    <w:p w:rsidR="00726DDD" w:rsidRPr="00726DDD" w:rsidRDefault="00726DDD" w:rsidP="00726DDD">
      <w:pPr>
        <w:jc w:val="center"/>
        <w:rPr>
          <w:rFonts w:ascii="Times" w:hAnsi="Times" w:cs="Times"/>
          <w:color w:val="000000"/>
        </w:rPr>
      </w:pPr>
      <w:r w:rsidRPr="00726DDD">
        <w:rPr>
          <w:rFonts w:ascii="Times" w:hAnsi="Times" w:cs="Times"/>
          <w:color w:val="000000"/>
        </w:rPr>
        <w:t>(402) 471-2494</w:t>
      </w:r>
    </w:p>
    <w:p w:rsidR="00F308D7" w:rsidRDefault="00DC1982" w:rsidP="00726DDD">
      <w:pPr>
        <w:jc w:val="center"/>
        <w:rPr>
          <w:rFonts w:ascii="Times" w:eastAsia="Times New Roman" w:hAnsi="Times" w:cs="Times"/>
          <w:b/>
          <w:color w:val="000000"/>
          <w:sz w:val="24"/>
          <w:szCs w:val="24"/>
        </w:rPr>
      </w:pPr>
      <w:hyperlink r:id="rId5" w:history="1">
        <w:r w:rsidR="00726DDD" w:rsidRPr="00726DDD">
          <w:rPr>
            <w:rStyle w:val="Hyperlink"/>
            <w:rFonts w:ascii="Times" w:hAnsi="Times" w:cs="Times"/>
          </w:rPr>
          <w:t>cory.epler@nebraska.gov</w:t>
        </w:r>
      </w:hyperlink>
      <w:r w:rsidR="00726DDD">
        <w:rPr>
          <w:rFonts w:ascii="Times" w:hAnsi="Times" w:cs="Times"/>
          <w:b/>
          <w:color w:val="000000"/>
        </w:rPr>
        <w:t xml:space="preserve">  </w:t>
      </w:r>
      <w:r w:rsidR="00F308D7">
        <w:rPr>
          <w:rFonts w:ascii="Times" w:hAnsi="Times" w:cs="Times"/>
          <w:b/>
          <w:color w:val="000000"/>
        </w:rPr>
        <w:br w:type="page"/>
      </w:r>
    </w:p>
    <w:p w:rsidR="00C7498C" w:rsidRDefault="00C7498C" w:rsidP="00C7498C">
      <w:pPr>
        <w:jc w:val="center"/>
        <w:rPr>
          <w:rFonts w:ascii="Times" w:hAnsi="Times" w:cs="Times"/>
          <w:b/>
          <w:color w:val="000000"/>
        </w:rPr>
      </w:pPr>
      <w:bookmarkStart w:id="0" w:name="_GoBack"/>
      <w:r>
        <w:rPr>
          <w:rFonts w:ascii="Times" w:hAnsi="Times" w:cs="Times"/>
          <w:b/>
          <w:color w:val="000000"/>
        </w:rPr>
        <w:lastRenderedPageBreak/>
        <w:t>Increasing Student Engagement through a Career Academy Program</w:t>
      </w:r>
    </w:p>
    <w:bookmarkEnd w:id="0"/>
    <w:p w:rsidR="0067045C" w:rsidRDefault="0076651E" w:rsidP="0067045C">
      <w:pPr>
        <w:pStyle w:val="nospacing1"/>
        <w:spacing w:after="0" w:afterAutospacing="0"/>
        <w:jc w:val="center"/>
        <w:rPr>
          <w:rFonts w:ascii="Times" w:hAnsi="Times" w:cs="Times"/>
          <w:b/>
          <w:color w:val="000000"/>
        </w:rPr>
      </w:pPr>
      <w:r>
        <w:rPr>
          <w:rFonts w:ascii="Times" w:hAnsi="Times" w:cs="Times"/>
          <w:b/>
          <w:color w:val="000000"/>
        </w:rPr>
        <w:t>Introduction</w:t>
      </w:r>
    </w:p>
    <w:p w:rsidR="00916C0F" w:rsidRPr="0067045C" w:rsidRDefault="0076651E" w:rsidP="0067045C">
      <w:pPr>
        <w:pStyle w:val="nospacing1"/>
        <w:spacing w:before="0" w:beforeAutospacing="0"/>
        <w:ind w:firstLine="720"/>
        <w:rPr>
          <w:rFonts w:ascii="Times" w:hAnsi="Times" w:cs="Times"/>
          <w:b/>
          <w:color w:val="000000"/>
        </w:rPr>
      </w:pPr>
      <w:r w:rsidRPr="0076651E">
        <w:rPr>
          <w:rFonts w:eastAsia="Cambria"/>
        </w:rPr>
        <w:t xml:space="preserve">Student engagement is often seen as an indicator of quality teaching and learning and has been identified as primary construct within many school reform efforts (Appleton, Christenson, Kim, &amp; </w:t>
      </w:r>
      <w:proofErr w:type="spellStart"/>
      <w:r w:rsidRPr="0076651E">
        <w:rPr>
          <w:rFonts w:eastAsia="Cambria"/>
        </w:rPr>
        <w:t>Reschly</w:t>
      </w:r>
      <w:proofErr w:type="spellEnd"/>
      <w:r w:rsidRPr="0076651E">
        <w:rPr>
          <w:rFonts w:eastAsia="Cambria"/>
        </w:rPr>
        <w:t xml:space="preserve">, 2006; </w:t>
      </w:r>
      <w:proofErr w:type="spellStart"/>
      <w:r w:rsidRPr="0076651E">
        <w:rPr>
          <w:rFonts w:eastAsia="Cambria"/>
        </w:rPr>
        <w:t>Klem</w:t>
      </w:r>
      <w:proofErr w:type="spellEnd"/>
      <w:r w:rsidRPr="0076651E">
        <w:rPr>
          <w:rFonts w:eastAsia="Cambria"/>
        </w:rPr>
        <w:t xml:space="preserve"> &amp; Connell, 2004).  More recently, in light of federal educational policy approaches, student engagement has re</w:t>
      </w:r>
      <w:r w:rsidR="000D2CFA">
        <w:rPr>
          <w:rFonts w:eastAsia="Cambria"/>
        </w:rPr>
        <w:t xml:space="preserve">ceived even greater attention.  </w:t>
      </w:r>
      <w:r w:rsidRPr="0076651E">
        <w:rPr>
          <w:rFonts w:eastAsia="Cambria"/>
        </w:rPr>
        <w:t>The linkage of student engagement to the completion of high school and entering into postsecondary education has led many schools to consider student engagement as a critical school outcome (Appleton et a</w:t>
      </w:r>
      <w:r w:rsidR="00105FEB">
        <w:rPr>
          <w:rFonts w:eastAsia="Cambria"/>
        </w:rPr>
        <w:t>l., 2006; Lawson &amp; Lawson, 2013)</w:t>
      </w:r>
      <w:r>
        <w:rPr>
          <w:rFonts w:eastAsia="Cambria"/>
        </w:rPr>
        <w:t>.</w:t>
      </w:r>
      <w:r w:rsidR="00916C0F">
        <w:rPr>
          <w:rFonts w:eastAsia="Cambria"/>
        </w:rPr>
        <w:t xml:space="preserve">  </w:t>
      </w:r>
      <w:r w:rsidR="00916C0F" w:rsidRPr="00916C0F">
        <w:rPr>
          <w:rFonts w:eastAsia="Cambria"/>
        </w:rPr>
        <w:t>When students view their education as relevant, purposeful, and directly linked to their career aspirations, they are more likely to be engaged in school, thus reducing the likelihood of dropping out of school.</w:t>
      </w:r>
    </w:p>
    <w:p w:rsidR="007F7CC6" w:rsidRDefault="00916C0F" w:rsidP="00916C0F">
      <w:pPr>
        <w:spacing w:after="0" w:line="240" w:lineRule="auto"/>
        <w:ind w:firstLine="720"/>
        <w:rPr>
          <w:rFonts w:ascii="Times New Roman" w:eastAsia="Cambria" w:hAnsi="Times New Roman" w:cs="Times New Roman"/>
          <w:sz w:val="24"/>
          <w:szCs w:val="24"/>
        </w:rPr>
      </w:pPr>
      <w:r w:rsidRPr="00916C0F">
        <w:rPr>
          <w:rFonts w:ascii="Times New Roman" w:eastAsia="Cambria" w:hAnsi="Times New Roman" w:cs="Times New Roman"/>
          <w:sz w:val="24"/>
          <w:szCs w:val="24"/>
        </w:rPr>
        <w:t>One approach to creating more relevant, purposeful and career-focused learning experiences is through the implementation of a career academy program.  In a career academy program, a small group of students experience core academic and technical courses within the context of a career-themed curriculum (</w:t>
      </w:r>
      <w:proofErr w:type="spellStart"/>
      <w:r w:rsidRPr="00916C0F">
        <w:rPr>
          <w:rFonts w:ascii="Times New Roman" w:eastAsia="Cambria" w:hAnsi="Times New Roman" w:cs="Times New Roman"/>
          <w:sz w:val="24"/>
          <w:szCs w:val="24"/>
        </w:rPr>
        <w:t>Kemple</w:t>
      </w:r>
      <w:proofErr w:type="spellEnd"/>
      <w:r w:rsidRPr="00916C0F">
        <w:rPr>
          <w:rFonts w:ascii="Times New Roman" w:eastAsia="Cambria" w:hAnsi="Times New Roman" w:cs="Times New Roman"/>
          <w:sz w:val="24"/>
          <w:szCs w:val="24"/>
        </w:rPr>
        <w:t xml:space="preserve"> &amp; Snipes, 2000).</w:t>
      </w:r>
      <w:r>
        <w:rPr>
          <w:rFonts w:ascii="Times New Roman" w:eastAsia="Cambria" w:hAnsi="Times New Roman" w:cs="Times New Roman"/>
          <w:sz w:val="24"/>
          <w:szCs w:val="24"/>
        </w:rPr>
        <w:t xml:space="preserve"> </w:t>
      </w:r>
      <w:r w:rsidRPr="00916C0F">
        <w:rPr>
          <w:rFonts w:ascii="Times New Roman" w:eastAsia="Cambria" w:hAnsi="Times New Roman" w:cs="Times New Roman"/>
          <w:sz w:val="24"/>
          <w:szCs w:val="24"/>
        </w:rPr>
        <w:t xml:space="preserve">Career academy programs </w:t>
      </w:r>
      <w:r>
        <w:rPr>
          <w:rFonts w:ascii="Times New Roman" w:eastAsia="Cambria" w:hAnsi="Times New Roman" w:cs="Times New Roman"/>
          <w:sz w:val="24"/>
          <w:szCs w:val="24"/>
        </w:rPr>
        <w:t>showcase</w:t>
      </w:r>
      <w:r w:rsidRPr="00916C0F">
        <w:rPr>
          <w:rFonts w:ascii="Times New Roman" w:eastAsia="Cambria" w:hAnsi="Times New Roman" w:cs="Times New Roman"/>
          <w:sz w:val="24"/>
          <w:szCs w:val="24"/>
        </w:rPr>
        <w:t xml:space="preserve"> the linkage of core academics and technical knowledge through the context of a student’s </w:t>
      </w:r>
      <w:r w:rsidR="00364C52">
        <w:rPr>
          <w:rFonts w:ascii="Times New Roman" w:eastAsia="Cambria" w:hAnsi="Times New Roman" w:cs="Times New Roman"/>
          <w:sz w:val="24"/>
          <w:szCs w:val="24"/>
        </w:rPr>
        <w:t>career interest.  C</w:t>
      </w:r>
      <w:r w:rsidRPr="00916C0F">
        <w:rPr>
          <w:rFonts w:ascii="Times New Roman" w:eastAsia="Cambria" w:hAnsi="Times New Roman" w:cs="Times New Roman"/>
          <w:sz w:val="24"/>
          <w:szCs w:val="24"/>
        </w:rPr>
        <w:t xml:space="preserve">areer academy programs </w:t>
      </w:r>
      <w:r w:rsidR="00364C52">
        <w:rPr>
          <w:rFonts w:ascii="Times New Roman" w:eastAsia="Cambria" w:hAnsi="Times New Roman" w:cs="Times New Roman"/>
          <w:sz w:val="24"/>
          <w:szCs w:val="24"/>
        </w:rPr>
        <w:t xml:space="preserve">also </w:t>
      </w:r>
      <w:r w:rsidRPr="00916C0F">
        <w:rPr>
          <w:rFonts w:ascii="Times New Roman" w:eastAsia="Cambria" w:hAnsi="Times New Roman" w:cs="Times New Roman"/>
          <w:sz w:val="24"/>
          <w:szCs w:val="24"/>
        </w:rPr>
        <w:t>provide students with work-based learning and career development experiences.  As a result, students experience what “work” is really like within their intended career.  While career academy programs were initially developed as a dropout prevention strategy (</w:t>
      </w:r>
      <w:proofErr w:type="spellStart"/>
      <w:r w:rsidRPr="00916C0F">
        <w:rPr>
          <w:rFonts w:ascii="Times New Roman" w:eastAsia="Cambria" w:hAnsi="Times New Roman" w:cs="Times New Roman"/>
          <w:sz w:val="24"/>
          <w:szCs w:val="24"/>
        </w:rPr>
        <w:t>Kemple</w:t>
      </w:r>
      <w:proofErr w:type="spellEnd"/>
      <w:r w:rsidRPr="00916C0F">
        <w:rPr>
          <w:rFonts w:ascii="Times New Roman" w:eastAsia="Cambria" w:hAnsi="Times New Roman" w:cs="Times New Roman"/>
          <w:sz w:val="24"/>
          <w:szCs w:val="24"/>
        </w:rPr>
        <w:t xml:space="preserve"> &amp; Snipes, 2000; </w:t>
      </w:r>
      <w:proofErr w:type="spellStart"/>
      <w:r w:rsidRPr="00916C0F">
        <w:rPr>
          <w:rFonts w:ascii="Times New Roman" w:eastAsia="Cambria" w:hAnsi="Times New Roman" w:cs="Times New Roman"/>
          <w:sz w:val="24"/>
          <w:szCs w:val="24"/>
        </w:rPr>
        <w:t>Rojewski</w:t>
      </w:r>
      <w:proofErr w:type="spellEnd"/>
      <w:r w:rsidRPr="00916C0F">
        <w:rPr>
          <w:rFonts w:ascii="Times New Roman" w:eastAsia="Cambria" w:hAnsi="Times New Roman" w:cs="Times New Roman"/>
          <w:sz w:val="24"/>
          <w:szCs w:val="24"/>
        </w:rPr>
        <w:t xml:space="preserve">, Lee, &amp; </w:t>
      </w:r>
      <w:proofErr w:type="spellStart"/>
      <w:r w:rsidRPr="00916C0F">
        <w:rPr>
          <w:rFonts w:ascii="Times New Roman" w:eastAsia="Cambria" w:hAnsi="Times New Roman" w:cs="Times New Roman"/>
          <w:sz w:val="24"/>
          <w:szCs w:val="24"/>
        </w:rPr>
        <w:t>Gemici</w:t>
      </w:r>
      <w:proofErr w:type="spellEnd"/>
      <w:r w:rsidRPr="00916C0F">
        <w:rPr>
          <w:rFonts w:ascii="Times New Roman" w:eastAsia="Cambria" w:hAnsi="Times New Roman" w:cs="Times New Roman"/>
          <w:sz w:val="24"/>
          <w:szCs w:val="24"/>
        </w:rPr>
        <w:t xml:space="preserve">, 2010), today’s career academies prepare students for a seamless transition into postsecondary education or direct entry into high demand areas within </w:t>
      </w:r>
      <w:r w:rsidR="00A67C87">
        <w:rPr>
          <w:rFonts w:ascii="Times New Roman" w:eastAsia="Cambria" w:hAnsi="Times New Roman" w:cs="Times New Roman"/>
          <w:sz w:val="24"/>
          <w:szCs w:val="24"/>
        </w:rPr>
        <w:t xml:space="preserve">the </w:t>
      </w:r>
      <w:r w:rsidRPr="00916C0F">
        <w:rPr>
          <w:rFonts w:ascii="Times New Roman" w:eastAsia="Cambria" w:hAnsi="Times New Roman" w:cs="Times New Roman"/>
          <w:sz w:val="24"/>
          <w:szCs w:val="24"/>
        </w:rPr>
        <w:t xml:space="preserve">workforce (Dixon, </w:t>
      </w:r>
      <w:proofErr w:type="spellStart"/>
      <w:r w:rsidRPr="00916C0F">
        <w:rPr>
          <w:rFonts w:ascii="Times New Roman" w:eastAsia="Cambria" w:hAnsi="Times New Roman" w:cs="Times New Roman"/>
          <w:sz w:val="24"/>
          <w:szCs w:val="24"/>
        </w:rPr>
        <w:t>Cotner</w:t>
      </w:r>
      <w:proofErr w:type="spellEnd"/>
      <w:r w:rsidRPr="00916C0F">
        <w:rPr>
          <w:rFonts w:ascii="Times New Roman" w:eastAsia="Cambria" w:hAnsi="Times New Roman" w:cs="Times New Roman"/>
          <w:sz w:val="24"/>
          <w:szCs w:val="24"/>
        </w:rPr>
        <w:t xml:space="preserve">, Wilson, &amp; </w:t>
      </w:r>
      <w:proofErr w:type="spellStart"/>
      <w:r w:rsidRPr="00916C0F">
        <w:rPr>
          <w:rFonts w:ascii="Times New Roman" w:eastAsia="Cambria" w:hAnsi="Times New Roman" w:cs="Times New Roman"/>
          <w:sz w:val="24"/>
          <w:szCs w:val="24"/>
        </w:rPr>
        <w:t>Borman</w:t>
      </w:r>
      <w:proofErr w:type="spellEnd"/>
      <w:r w:rsidRPr="00916C0F">
        <w:rPr>
          <w:rFonts w:ascii="Times New Roman" w:eastAsia="Cambria" w:hAnsi="Times New Roman" w:cs="Times New Roman"/>
          <w:sz w:val="24"/>
          <w:szCs w:val="24"/>
        </w:rPr>
        <w:t>, 2011).  As a result, career academy students have “improved student engagement, achievement, and post-high school outcomes” (Orr, 2005, p. 456).</w:t>
      </w:r>
      <w:r w:rsidR="007F7CC6">
        <w:rPr>
          <w:rFonts w:ascii="Times New Roman" w:eastAsia="Cambria" w:hAnsi="Times New Roman" w:cs="Times New Roman"/>
          <w:sz w:val="24"/>
          <w:szCs w:val="24"/>
        </w:rPr>
        <w:t xml:space="preserve">  </w:t>
      </w:r>
      <w:r w:rsidR="0052715F">
        <w:rPr>
          <w:rFonts w:ascii="Times New Roman" w:eastAsia="Cambria" w:hAnsi="Times New Roman" w:cs="Times New Roman"/>
          <w:sz w:val="24"/>
          <w:szCs w:val="24"/>
        </w:rPr>
        <w:t xml:space="preserve">In the National Research Agenda, </w:t>
      </w:r>
      <w:proofErr w:type="spellStart"/>
      <w:r w:rsidR="007F7CC6">
        <w:rPr>
          <w:rFonts w:ascii="Times New Roman" w:eastAsia="Cambria" w:hAnsi="Times New Roman" w:cs="Times New Roman"/>
          <w:sz w:val="24"/>
          <w:szCs w:val="24"/>
        </w:rPr>
        <w:t>Doerfert</w:t>
      </w:r>
      <w:proofErr w:type="spellEnd"/>
      <w:r w:rsidR="007F7CC6">
        <w:rPr>
          <w:rFonts w:ascii="Times New Roman" w:eastAsia="Cambria" w:hAnsi="Times New Roman" w:cs="Times New Roman"/>
          <w:sz w:val="24"/>
          <w:szCs w:val="24"/>
        </w:rPr>
        <w:t xml:space="preserve"> (2011) emphasized the need for educators to create meaningful learning in authentic environments.  Career academies are </w:t>
      </w:r>
      <w:r w:rsidR="0052715F">
        <w:rPr>
          <w:rFonts w:ascii="Times New Roman" w:eastAsia="Cambria" w:hAnsi="Times New Roman" w:cs="Times New Roman"/>
          <w:sz w:val="24"/>
          <w:szCs w:val="24"/>
        </w:rPr>
        <w:t>one</w:t>
      </w:r>
      <w:r w:rsidR="007F7CC6">
        <w:rPr>
          <w:rFonts w:ascii="Times New Roman" w:eastAsia="Cambria" w:hAnsi="Times New Roman" w:cs="Times New Roman"/>
          <w:sz w:val="24"/>
          <w:szCs w:val="24"/>
        </w:rPr>
        <w:t xml:space="preserve"> approach that meets that need.</w:t>
      </w:r>
    </w:p>
    <w:p w:rsidR="00841C44" w:rsidRDefault="00A67C87" w:rsidP="007F7CC6">
      <w:pPr>
        <w:pStyle w:val="nospacing1"/>
        <w:spacing w:after="0" w:afterAutospacing="0"/>
        <w:jc w:val="center"/>
        <w:rPr>
          <w:rFonts w:ascii="Times" w:hAnsi="Times" w:cs="Times"/>
          <w:b/>
          <w:color w:val="000000"/>
        </w:rPr>
      </w:pPr>
      <w:r>
        <w:rPr>
          <w:rFonts w:ascii="Times" w:hAnsi="Times" w:cs="Times"/>
          <w:b/>
          <w:color w:val="000000"/>
        </w:rPr>
        <w:t>Theoretical</w:t>
      </w:r>
      <w:r w:rsidR="00207E0E" w:rsidRPr="00207E0E">
        <w:rPr>
          <w:rFonts w:ascii="Times" w:hAnsi="Times" w:cs="Times"/>
          <w:b/>
          <w:color w:val="000000"/>
        </w:rPr>
        <w:t xml:space="preserve"> F</w:t>
      </w:r>
      <w:r w:rsidR="00841C44" w:rsidRPr="00207E0E">
        <w:rPr>
          <w:rFonts w:ascii="Times" w:hAnsi="Times" w:cs="Times"/>
          <w:b/>
          <w:color w:val="000000"/>
        </w:rPr>
        <w:t>ramework</w:t>
      </w:r>
    </w:p>
    <w:p w:rsidR="00207E0E" w:rsidRPr="00207E0E" w:rsidRDefault="0052715F" w:rsidP="00916C0F">
      <w:pPr>
        <w:spacing w:after="0" w:line="240" w:lineRule="auto"/>
        <w:ind w:firstLine="720"/>
        <w:rPr>
          <w:rFonts w:ascii="Times New Roman" w:eastAsia="Cambria" w:hAnsi="Times New Roman" w:cs="Times New Roman"/>
          <w:sz w:val="24"/>
          <w:szCs w:val="24"/>
        </w:rPr>
      </w:pPr>
      <w:r>
        <w:rPr>
          <w:rFonts w:ascii="Times New Roman" w:eastAsia="Cambria" w:hAnsi="Times New Roman" w:cs="Times New Roman"/>
          <w:sz w:val="24"/>
          <w:szCs w:val="24"/>
        </w:rPr>
        <w:t>Student e</w:t>
      </w:r>
      <w:r w:rsidR="00207E0E" w:rsidRPr="00207E0E">
        <w:rPr>
          <w:rFonts w:ascii="Times New Roman" w:eastAsia="Cambria" w:hAnsi="Times New Roman" w:cs="Times New Roman"/>
          <w:sz w:val="24"/>
          <w:szCs w:val="24"/>
        </w:rPr>
        <w:t>ngagement is a multidimensional construct (Appleton et al., 2006) involving emotion, behavior, and cognition (</w:t>
      </w:r>
      <w:proofErr w:type="spellStart"/>
      <w:r w:rsidR="00207E0E" w:rsidRPr="00207E0E">
        <w:rPr>
          <w:rFonts w:ascii="Times New Roman" w:eastAsia="Cambria" w:hAnsi="Times New Roman" w:cs="Times New Roman"/>
          <w:sz w:val="24"/>
          <w:szCs w:val="24"/>
        </w:rPr>
        <w:t>Reschly</w:t>
      </w:r>
      <w:proofErr w:type="spellEnd"/>
      <w:r w:rsidR="00207E0E" w:rsidRPr="00207E0E">
        <w:rPr>
          <w:rFonts w:ascii="Times New Roman" w:eastAsia="Cambria" w:hAnsi="Times New Roman" w:cs="Times New Roman"/>
          <w:sz w:val="24"/>
          <w:szCs w:val="24"/>
        </w:rPr>
        <w:t xml:space="preserve"> &amp; Christenson, 2012).  While agreement on the multidimensionality exists, agreement on the number and types of dimension varies.  Despite the different conceptualization of </w:t>
      </w:r>
      <w:r>
        <w:rPr>
          <w:rFonts w:ascii="Times New Roman" w:eastAsia="Cambria" w:hAnsi="Times New Roman" w:cs="Times New Roman"/>
          <w:sz w:val="24"/>
          <w:szCs w:val="24"/>
        </w:rPr>
        <w:t xml:space="preserve">student </w:t>
      </w:r>
      <w:r w:rsidR="00207E0E" w:rsidRPr="00207E0E">
        <w:rPr>
          <w:rFonts w:ascii="Times New Roman" w:eastAsia="Cambria" w:hAnsi="Times New Roman" w:cs="Times New Roman"/>
          <w:sz w:val="24"/>
          <w:szCs w:val="24"/>
        </w:rPr>
        <w:t xml:space="preserve">engagement, three primary </w:t>
      </w:r>
      <w:r w:rsidR="00830A26">
        <w:rPr>
          <w:rFonts w:ascii="Times New Roman" w:eastAsia="Cambria" w:hAnsi="Times New Roman" w:cs="Times New Roman"/>
          <w:sz w:val="24"/>
          <w:szCs w:val="24"/>
        </w:rPr>
        <w:t xml:space="preserve">theoretical </w:t>
      </w:r>
      <w:r w:rsidR="00207E0E" w:rsidRPr="00207E0E">
        <w:rPr>
          <w:rFonts w:ascii="Times New Roman" w:eastAsia="Cambria" w:hAnsi="Times New Roman" w:cs="Times New Roman"/>
          <w:sz w:val="24"/>
          <w:szCs w:val="24"/>
        </w:rPr>
        <w:t>assumptio</w:t>
      </w:r>
      <w:r w:rsidR="00212212">
        <w:rPr>
          <w:rFonts w:ascii="Times New Roman" w:eastAsia="Cambria" w:hAnsi="Times New Roman" w:cs="Times New Roman"/>
          <w:sz w:val="24"/>
          <w:szCs w:val="24"/>
        </w:rPr>
        <w:t>ns exist (Lawson &amp; Lawson, 2013</w:t>
      </w:r>
      <w:r w:rsidR="00207E0E" w:rsidRPr="00207E0E">
        <w:rPr>
          <w:rFonts w:ascii="Times New Roman" w:eastAsia="Cambria" w:hAnsi="Times New Roman" w:cs="Times New Roman"/>
          <w:sz w:val="24"/>
          <w:szCs w:val="24"/>
        </w:rPr>
        <w:t xml:space="preserve">).  First, engagement is not a fixed variable.  In other words, engagement can be changed or manipulated.  Secondly, a direct connection exists between student engagement and student learning.  </w:t>
      </w:r>
      <w:proofErr w:type="gramStart"/>
      <w:r w:rsidR="00207E0E" w:rsidRPr="00207E0E">
        <w:rPr>
          <w:rFonts w:ascii="Times New Roman" w:eastAsia="Cambria" w:hAnsi="Times New Roman" w:cs="Times New Roman"/>
          <w:sz w:val="24"/>
          <w:szCs w:val="24"/>
        </w:rPr>
        <w:t>“The relationship between engagement and academic performance is confirmed repeatedly by empirical research” (Finn &amp; Zimmer, 2012, p. 99).</w:t>
      </w:r>
      <w:proofErr w:type="gramEnd"/>
      <w:r w:rsidR="00207E0E" w:rsidRPr="00207E0E">
        <w:rPr>
          <w:rFonts w:ascii="Times New Roman" w:eastAsia="Cambria" w:hAnsi="Times New Roman" w:cs="Times New Roman"/>
          <w:sz w:val="24"/>
          <w:szCs w:val="24"/>
        </w:rPr>
        <w:t xml:space="preserve">  Finally, student engagement and motivation are theoretically different.  Engagement reflects “energy in action” (Appleton et al., 2006, p. 428) or a person’s active </w:t>
      </w:r>
      <w:r w:rsidR="0067045C">
        <w:rPr>
          <w:rFonts w:ascii="Times New Roman" w:eastAsia="Cambria" w:hAnsi="Times New Roman" w:cs="Times New Roman"/>
          <w:sz w:val="24"/>
          <w:szCs w:val="24"/>
        </w:rPr>
        <w:t xml:space="preserve">involvement in task or action, while </w:t>
      </w:r>
      <w:r w:rsidR="00207E0E" w:rsidRPr="00207E0E">
        <w:rPr>
          <w:rFonts w:ascii="Times New Roman" w:eastAsia="Cambria" w:hAnsi="Times New Roman" w:cs="Times New Roman"/>
          <w:sz w:val="24"/>
          <w:szCs w:val="24"/>
        </w:rPr>
        <w:t>motivation helps us understand the “why” a person behaves in a particular way.</w:t>
      </w:r>
      <w:r w:rsidR="00A67C87">
        <w:rPr>
          <w:rFonts w:ascii="Times New Roman" w:eastAsia="Cambria" w:hAnsi="Times New Roman" w:cs="Times New Roman"/>
          <w:sz w:val="24"/>
          <w:szCs w:val="24"/>
        </w:rPr>
        <w:t xml:space="preserve">  </w:t>
      </w:r>
      <w:r w:rsidR="00830A26">
        <w:rPr>
          <w:rFonts w:ascii="Times New Roman" w:eastAsia="Cambria" w:hAnsi="Times New Roman" w:cs="Times New Roman"/>
          <w:sz w:val="24"/>
          <w:szCs w:val="24"/>
        </w:rPr>
        <w:t xml:space="preserve">The theoretical perspective </w:t>
      </w:r>
      <w:r w:rsidR="00A67C87">
        <w:rPr>
          <w:rFonts w:ascii="Times New Roman" w:eastAsia="Cambria" w:hAnsi="Times New Roman" w:cs="Times New Roman"/>
          <w:sz w:val="24"/>
          <w:szCs w:val="24"/>
        </w:rPr>
        <w:t>Appleton et al. (</w:t>
      </w:r>
      <w:r w:rsidR="00A67C87" w:rsidRPr="00207E0E">
        <w:rPr>
          <w:rFonts w:ascii="Times New Roman" w:eastAsia="Cambria" w:hAnsi="Times New Roman" w:cs="Times New Roman"/>
          <w:sz w:val="24"/>
          <w:szCs w:val="24"/>
        </w:rPr>
        <w:t>2006</w:t>
      </w:r>
      <w:r w:rsidR="00A67C87">
        <w:rPr>
          <w:rFonts w:ascii="Times New Roman" w:eastAsia="Cambria" w:hAnsi="Times New Roman" w:cs="Times New Roman"/>
          <w:sz w:val="24"/>
          <w:szCs w:val="24"/>
        </w:rPr>
        <w:t xml:space="preserve">) </w:t>
      </w:r>
      <w:r w:rsidR="00830A26">
        <w:rPr>
          <w:rFonts w:ascii="Times New Roman" w:eastAsia="Cambria" w:hAnsi="Times New Roman" w:cs="Times New Roman"/>
          <w:sz w:val="24"/>
          <w:szCs w:val="24"/>
        </w:rPr>
        <w:t>provide specifies</w:t>
      </w:r>
      <w:r w:rsidR="00A67C87">
        <w:rPr>
          <w:rFonts w:ascii="Times New Roman" w:eastAsia="Cambria" w:hAnsi="Times New Roman" w:cs="Times New Roman"/>
          <w:sz w:val="24"/>
          <w:szCs w:val="24"/>
        </w:rPr>
        <w:t xml:space="preserve"> four </w:t>
      </w:r>
      <w:r>
        <w:rPr>
          <w:rFonts w:ascii="Times New Roman" w:eastAsia="Cambria" w:hAnsi="Times New Roman" w:cs="Times New Roman"/>
          <w:sz w:val="24"/>
          <w:szCs w:val="24"/>
        </w:rPr>
        <w:t xml:space="preserve">student </w:t>
      </w:r>
      <w:r w:rsidR="00A67C87">
        <w:rPr>
          <w:rFonts w:ascii="Times New Roman" w:eastAsia="Cambria" w:hAnsi="Times New Roman" w:cs="Times New Roman"/>
          <w:sz w:val="24"/>
          <w:szCs w:val="24"/>
        </w:rPr>
        <w:t>engagement subtypes: (1) academic, (2) behavioral, (3) cognitive, and (4) psychological.</w:t>
      </w:r>
      <w:r w:rsidR="002B590D">
        <w:rPr>
          <w:rFonts w:ascii="Times New Roman" w:eastAsia="Cambria" w:hAnsi="Times New Roman" w:cs="Times New Roman"/>
          <w:sz w:val="24"/>
          <w:szCs w:val="24"/>
        </w:rPr>
        <w:t xml:space="preserve">  </w:t>
      </w:r>
      <w:r w:rsidR="00F10417">
        <w:rPr>
          <w:rFonts w:ascii="Times New Roman" w:eastAsia="Cambria" w:hAnsi="Times New Roman" w:cs="Times New Roman"/>
          <w:sz w:val="24"/>
          <w:szCs w:val="24"/>
        </w:rPr>
        <w:t>The indicators for a</w:t>
      </w:r>
      <w:r w:rsidR="002B590D">
        <w:rPr>
          <w:rFonts w:ascii="Times New Roman" w:eastAsia="Cambria" w:hAnsi="Times New Roman" w:cs="Times New Roman"/>
          <w:sz w:val="24"/>
          <w:szCs w:val="24"/>
        </w:rPr>
        <w:t xml:space="preserve">cademic and behavioral engagement </w:t>
      </w:r>
      <w:r w:rsidR="00F10417">
        <w:rPr>
          <w:rFonts w:ascii="Times New Roman" w:eastAsia="Cambria" w:hAnsi="Times New Roman" w:cs="Times New Roman"/>
          <w:sz w:val="24"/>
          <w:szCs w:val="24"/>
        </w:rPr>
        <w:t>are more</w:t>
      </w:r>
      <w:r w:rsidR="002B590D">
        <w:rPr>
          <w:rFonts w:ascii="Times New Roman" w:eastAsia="Cambria" w:hAnsi="Times New Roman" w:cs="Times New Roman"/>
          <w:sz w:val="24"/>
          <w:szCs w:val="24"/>
        </w:rPr>
        <w:t xml:space="preserve"> observable (grade point average, attendance, credits earned, etc.), while </w:t>
      </w:r>
      <w:r w:rsidR="00F10417">
        <w:rPr>
          <w:rFonts w:ascii="Times New Roman" w:eastAsia="Cambria" w:hAnsi="Times New Roman" w:cs="Times New Roman"/>
          <w:sz w:val="24"/>
          <w:szCs w:val="24"/>
        </w:rPr>
        <w:t xml:space="preserve">the </w:t>
      </w:r>
      <w:r w:rsidR="002B590D">
        <w:rPr>
          <w:rFonts w:ascii="Times New Roman" w:eastAsia="Cambria" w:hAnsi="Times New Roman" w:cs="Times New Roman"/>
          <w:sz w:val="24"/>
          <w:szCs w:val="24"/>
        </w:rPr>
        <w:t>cognitive and psychological engagement indicators are less observable (perceived relevance of school, value of learning</w:t>
      </w:r>
      <w:r w:rsidR="00830A26">
        <w:rPr>
          <w:rFonts w:ascii="Times New Roman" w:eastAsia="Cambria" w:hAnsi="Times New Roman" w:cs="Times New Roman"/>
          <w:sz w:val="24"/>
          <w:szCs w:val="24"/>
        </w:rPr>
        <w:t xml:space="preserve">, feelings of belonging, </w:t>
      </w:r>
      <w:r w:rsidR="00F10417">
        <w:rPr>
          <w:rFonts w:ascii="Times New Roman" w:eastAsia="Cambria" w:hAnsi="Times New Roman" w:cs="Times New Roman"/>
          <w:sz w:val="24"/>
          <w:szCs w:val="24"/>
        </w:rPr>
        <w:t>etc.).</w:t>
      </w:r>
    </w:p>
    <w:p w:rsidR="00841C44" w:rsidRDefault="00841C44" w:rsidP="0067045C">
      <w:pPr>
        <w:pStyle w:val="nospacing1"/>
        <w:spacing w:after="0" w:afterAutospacing="0"/>
        <w:jc w:val="center"/>
        <w:rPr>
          <w:rFonts w:ascii="Times" w:hAnsi="Times" w:cs="Times"/>
          <w:b/>
          <w:color w:val="000000"/>
        </w:rPr>
      </w:pPr>
      <w:r w:rsidRPr="00916C0F">
        <w:rPr>
          <w:rFonts w:ascii="Times" w:hAnsi="Times" w:cs="Times"/>
          <w:b/>
          <w:color w:val="000000"/>
        </w:rPr>
        <w:lastRenderedPageBreak/>
        <w:t>Methodology</w:t>
      </w:r>
    </w:p>
    <w:p w:rsidR="004C564A" w:rsidRPr="004C564A" w:rsidRDefault="004C564A" w:rsidP="0067045C">
      <w:pPr>
        <w:pStyle w:val="nospacing1"/>
        <w:spacing w:before="0" w:beforeAutospacing="0"/>
        <w:rPr>
          <w:rFonts w:ascii="Arial" w:hAnsi="Arial" w:cs="Arial"/>
          <w:color w:val="000000"/>
          <w:sz w:val="27"/>
          <w:szCs w:val="27"/>
        </w:rPr>
      </w:pPr>
      <w:r>
        <w:rPr>
          <w:rFonts w:ascii="Times" w:hAnsi="Times" w:cs="Times"/>
          <w:b/>
          <w:color w:val="000000"/>
        </w:rPr>
        <w:tab/>
      </w:r>
      <w:r>
        <w:rPr>
          <w:rFonts w:ascii="Times" w:hAnsi="Times" w:cs="Times"/>
          <w:color w:val="000000"/>
        </w:rPr>
        <w:t>The Urban Agriculture Career Academy at [Name] High School in [City, State] was develop</w:t>
      </w:r>
      <w:r w:rsidR="00BC2902">
        <w:rPr>
          <w:rFonts w:ascii="Times" w:hAnsi="Times" w:cs="Times"/>
          <w:color w:val="000000"/>
        </w:rPr>
        <w:t xml:space="preserve">ed </w:t>
      </w:r>
      <w:r w:rsidR="00830A26">
        <w:rPr>
          <w:rFonts w:ascii="Times" w:hAnsi="Times" w:cs="Times"/>
          <w:color w:val="000000"/>
        </w:rPr>
        <w:t xml:space="preserve">to introduce students to high wage, high demand, and high skill careers </w:t>
      </w:r>
      <w:r w:rsidR="00BC2902">
        <w:rPr>
          <w:rFonts w:ascii="Times" w:hAnsi="Times" w:cs="Times"/>
          <w:color w:val="000000"/>
        </w:rPr>
        <w:t>within Agriculture, Food, and Natural R</w:t>
      </w:r>
      <w:r>
        <w:rPr>
          <w:rFonts w:ascii="Times" w:hAnsi="Times" w:cs="Times"/>
          <w:color w:val="000000"/>
        </w:rPr>
        <w:t>esources</w:t>
      </w:r>
      <w:r w:rsidR="00BC2902">
        <w:rPr>
          <w:rFonts w:ascii="Times" w:hAnsi="Times" w:cs="Times"/>
          <w:color w:val="000000"/>
        </w:rPr>
        <w:t xml:space="preserve"> (AFNR)</w:t>
      </w:r>
      <w:r w:rsidR="00830A26">
        <w:rPr>
          <w:rFonts w:ascii="Times" w:hAnsi="Times" w:cs="Times"/>
          <w:color w:val="000000"/>
        </w:rPr>
        <w:t xml:space="preserve">.  </w:t>
      </w:r>
      <w:r w:rsidR="00600567">
        <w:rPr>
          <w:rFonts w:ascii="Times" w:hAnsi="Times" w:cs="Times"/>
          <w:color w:val="000000"/>
        </w:rPr>
        <w:t xml:space="preserve">Additional goals include </w:t>
      </w:r>
      <w:r w:rsidR="009A1B84">
        <w:rPr>
          <w:rFonts w:ascii="Times" w:hAnsi="Times" w:cs="Times"/>
          <w:color w:val="000000"/>
        </w:rPr>
        <w:t xml:space="preserve">increasing student engagement and </w:t>
      </w:r>
      <w:r w:rsidR="00600567">
        <w:rPr>
          <w:rFonts w:ascii="Times" w:hAnsi="Times" w:cs="Times"/>
          <w:color w:val="000000"/>
        </w:rPr>
        <w:t>school attendance rat</w:t>
      </w:r>
      <w:r w:rsidR="009A1B84">
        <w:rPr>
          <w:rFonts w:ascii="Times" w:hAnsi="Times" w:cs="Times"/>
          <w:color w:val="000000"/>
        </w:rPr>
        <w:t>es</w:t>
      </w:r>
      <w:r w:rsidR="00600567">
        <w:rPr>
          <w:rFonts w:ascii="Times" w:hAnsi="Times" w:cs="Times"/>
          <w:color w:val="000000"/>
        </w:rPr>
        <w:t xml:space="preserve">.  In the spring of 2013, a student engagement survey was administered to 43 career academy students and 664 non-career academy students.  The student engagement survey used is a modified version of the </w:t>
      </w:r>
      <w:r w:rsidR="00A67C87">
        <w:rPr>
          <w:rFonts w:ascii="Times" w:hAnsi="Times" w:cs="Times"/>
          <w:color w:val="000000"/>
        </w:rPr>
        <w:t>Student Engagement Instrument (Appleton &amp; Christenson, 2004).  Independent sample t-tests were</w:t>
      </w:r>
      <w:r w:rsidR="002B590D">
        <w:rPr>
          <w:rFonts w:ascii="Times" w:hAnsi="Times" w:cs="Times"/>
          <w:color w:val="000000"/>
        </w:rPr>
        <w:t xml:space="preserve"> conducted to determine if significant differences exist between the </w:t>
      </w:r>
      <w:r w:rsidR="0059381C">
        <w:rPr>
          <w:rFonts w:ascii="Times" w:hAnsi="Times" w:cs="Times"/>
          <w:color w:val="000000"/>
        </w:rPr>
        <w:t xml:space="preserve">self-reported levels </w:t>
      </w:r>
      <w:r w:rsidR="00F10417">
        <w:rPr>
          <w:rFonts w:ascii="Times" w:hAnsi="Times" w:cs="Times"/>
          <w:color w:val="000000"/>
        </w:rPr>
        <w:t xml:space="preserve">of psychological and cognitive </w:t>
      </w:r>
      <w:r w:rsidR="0059381C">
        <w:rPr>
          <w:rFonts w:ascii="Times" w:hAnsi="Times" w:cs="Times"/>
          <w:color w:val="000000"/>
        </w:rPr>
        <w:t xml:space="preserve">engagement of career academy students and non-career academy students. </w:t>
      </w:r>
    </w:p>
    <w:p w:rsidR="00841C44" w:rsidRDefault="00F46E2B" w:rsidP="0067045C">
      <w:pPr>
        <w:pStyle w:val="nospacing1"/>
        <w:spacing w:after="0" w:afterAutospacing="0"/>
        <w:jc w:val="center"/>
        <w:rPr>
          <w:rFonts w:ascii="Times" w:hAnsi="Times" w:cs="Times"/>
          <w:b/>
          <w:color w:val="000000"/>
        </w:rPr>
      </w:pPr>
      <w:r>
        <w:rPr>
          <w:rFonts w:ascii="Times" w:hAnsi="Times" w:cs="Times"/>
          <w:b/>
          <w:color w:val="000000"/>
        </w:rPr>
        <w:t>Findings</w:t>
      </w:r>
    </w:p>
    <w:p w:rsidR="00A67C87" w:rsidRPr="0067045C" w:rsidRDefault="0059381C" w:rsidP="00C7498C">
      <w:pPr>
        <w:pStyle w:val="nospacing1"/>
        <w:spacing w:before="0" w:beforeAutospacing="0" w:after="0" w:afterAutospacing="0"/>
        <w:rPr>
          <w:rFonts w:ascii="Times" w:hAnsi="Times" w:cs="Times"/>
          <w:color w:val="000000"/>
        </w:rPr>
      </w:pPr>
      <w:r>
        <w:rPr>
          <w:rFonts w:ascii="Times" w:hAnsi="Times" w:cs="Times"/>
          <w:b/>
          <w:color w:val="000000"/>
        </w:rPr>
        <w:tab/>
      </w:r>
      <w:r w:rsidR="006075A5">
        <w:rPr>
          <w:rFonts w:ascii="Times" w:hAnsi="Times" w:cs="Times"/>
          <w:color w:val="000000"/>
        </w:rPr>
        <w:t>The results from independent sample t-tests indicated that career academy students reporte</w:t>
      </w:r>
      <w:r w:rsidR="0067045C">
        <w:rPr>
          <w:rFonts w:ascii="Times" w:hAnsi="Times" w:cs="Times"/>
          <w:color w:val="000000"/>
        </w:rPr>
        <w:t>d</w:t>
      </w:r>
      <w:r w:rsidR="006075A5">
        <w:rPr>
          <w:rFonts w:ascii="Times" w:hAnsi="Times" w:cs="Times"/>
          <w:color w:val="000000"/>
        </w:rPr>
        <w:t xml:space="preserve"> higher levels of psychological engagement and cognitive engagement than non-career academy students</w:t>
      </w:r>
      <w:r w:rsidR="0067045C">
        <w:rPr>
          <w:rFonts w:ascii="Times" w:hAnsi="Times" w:cs="Times"/>
          <w:color w:val="000000"/>
        </w:rPr>
        <w:t xml:space="preserve">.  The table below provides a more detailed explanation of the findings.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3"/>
        <w:gridCol w:w="1038"/>
        <w:gridCol w:w="1057"/>
        <w:gridCol w:w="1038"/>
        <w:gridCol w:w="997"/>
        <w:gridCol w:w="1473"/>
        <w:gridCol w:w="1300"/>
      </w:tblGrid>
      <w:tr w:rsidR="00A67C87" w:rsidRPr="00FF1B21" w:rsidTr="00C60A15">
        <w:tc>
          <w:tcPr>
            <w:tcW w:w="2673" w:type="dxa"/>
            <w:tcBorders>
              <w:top w:val="single" w:sz="4" w:space="0" w:color="auto"/>
            </w:tcBorders>
          </w:tcPr>
          <w:p w:rsidR="00A67C87" w:rsidRPr="00FF1B21" w:rsidRDefault="00A67C87" w:rsidP="00916C0F">
            <w:pPr>
              <w:pStyle w:val="nospacing1"/>
              <w:rPr>
                <w:color w:val="000000"/>
              </w:rPr>
            </w:pPr>
          </w:p>
        </w:tc>
        <w:tc>
          <w:tcPr>
            <w:tcW w:w="2095" w:type="dxa"/>
            <w:gridSpan w:val="2"/>
            <w:tcBorders>
              <w:top w:val="single" w:sz="4" w:space="0" w:color="auto"/>
              <w:bottom w:val="single" w:sz="4" w:space="0" w:color="auto"/>
            </w:tcBorders>
          </w:tcPr>
          <w:p w:rsidR="00A67C87" w:rsidRPr="00FF1B21" w:rsidRDefault="00A67C87" w:rsidP="00FF1B21">
            <w:pPr>
              <w:pStyle w:val="nospacing1"/>
              <w:jc w:val="center"/>
              <w:rPr>
                <w:color w:val="000000"/>
              </w:rPr>
            </w:pPr>
            <w:r>
              <w:rPr>
                <w:color w:val="000000"/>
              </w:rPr>
              <w:t>Academy</w:t>
            </w:r>
          </w:p>
        </w:tc>
        <w:tc>
          <w:tcPr>
            <w:tcW w:w="2035" w:type="dxa"/>
            <w:gridSpan w:val="2"/>
            <w:tcBorders>
              <w:top w:val="single" w:sz="4" w:space="0" w:color="auto"/>
              <w:bottom w:val="single" w:sz="4" w:space="0" w:color="auto"/>
            </w:tcBorders>
          </w:tcPr>
          <w:p w:rsidR="00A67C87" w:rsidRPr="00FF1B21" w:rsidRDefault="00A67C87" w:rsidP="00FF1B21">
            <w:pPr>
              <w:pStyle w:val="nospacing1"/>
              <w:jc w:val="center"/>
              <w:rPr>
                <w:color w:val="000000"/>
              </w:rPr>
            </w:pPr>
            <w:r>
              <w:rPr>
                <w:color w:val="000000"/>
              </w:rPr>
              <w:t>Non-Academy</w:t>
            </w:r>
          </w:p>
        </w:tc>
        <w:tc>
          <w:tcPr>
            <w:tcW w:w="1473" w:type="dxa"/>
            <w:tcBorders>
              <w:top w:val="single" w:sz="4" w:space="0" w:color="auto"/>
            </w:tcBorders>
          </w:tcPr>
          <w:p w:rsidR="00A67C87" w:rsidRPr="00FF1B21" w:rsidRDefault="00A67C87" w:rsidP="00916C0F">
            <w:pPr>
              <w:pStyle w:val="nospacing1"/>
              <w:rPr>
                <w:color w:val="000000"/>
              </w:rPr>
            </w:pPr>
          </w:p>
        </w:tc>
        <w:tc>
          <w:tcPr>
            <w:tcW w:w="1300" w:type="dxa"/>
            <w:tcBorders>
              <w:top w:val="single" w:sz="4" w:space="0" w:color="auto"/>
            </w:tcBorders>
          </w:tcPr>
          <w:p w:rsidR="00A67C87" w:rsidRPr="00FF1B21" w:rsidRDefault="00A67C87" w:rsidP="00916C0F">
            <w:pPr>
              <w:pStyle w:val="nospacing1"/>
              <w:rPr>
                <w:color w:val="000000"/>
              </w:rPr>
            </w:pPr>
          </w:p>
        </w:tc>
      </w:tr>
      <w:tr w:rsidR="00A67C87" w:rsidRPr="00FF1B21" w:rsidTr="00C60A15">
        <w:tc>
          <w:tcPr>
            <w:tcW w:w="2673" w:type="dxa"/>
            <w:tcBorders>
              <w:bottom w:val="single" w:sz="4" w:space="0" w:color="auto"/>
            </w:tcBorders>
          </w:tcPr>
          <w:p w:rsidR="00A67C87" w:rsidRPr="00FF1B21" w:rsidRDefault="00A67C87" w:rsidP="00F77290">
            <w:pPr>
              <w:pStyle w:val="nospacing1"/>
              <w:rPr>
                <w:color w:val="000000"/>
              </w:rPr>
            </w:pPr>
            <w:r>
              <w:rPr>
                <w:color w:val="000000"/>
              </w:rPr>
              <w:t>Subscale</w:t>
            </w:r>
          </w:p>
        </w:tc>
        <w:tc>
          <w:tcPr>
            <w:tcW w:w="1038" w:type="dxa"/>
            <w:tcBorders>
              <w:top w:val="single" w:sz="4" w:space="0" w:color="auto"/>
              <w:bottom w:val="single" w:sz="4" w:space="0" w:color="auto"/>
            </w:tcBorders>
          </w:tcPr>
          <w:p w:rsidR="00A67C87" w:rsidRPr="00FF1B21" w:rsidRDefault="00A67C87" w:rsidP="00F77290">
            <w:pPr>
              <w:pStyle w:val="nospacing1"/>
              <w:rPr>
                <w:color w:val="000000"/>
              </w:rPr>
            </w:pPr>
            <w:r>
              <w:rPr>
                <w:color w:val="000000"/>
              </w:rPr>
              <w:t>Mean</w:t>
            </w:r>
          </w:p>
        </w:tc>
        <w:tc>
          <w:tcPr>
            <w:tcW w:w="1057" w:type="dxa"/>
            <w:tcBorders>
              <w:top w:val="single" w:sz="4" w:space="0" w:color="auto"/>
              <w:bottom w:val="single" w:sz="4" w:space="0" w:color="auto"/>
            </w:tcBorders>
          </w:tcPr>
          <w:p w:rsidR="00A67C87" w:rsidRPr="00FF1B21" w:rsidRDefault="00A67C87" w:rsidP="00F77290">
            <w:pPr>
              <w:pStyle w:val="nospacing1"/>
              <w:rPr>
                <w:color w:val="000000"/>
              </w:rPr>
            </w:pPr>
            <w:r>
              <w:rPr>
                <w:color w:val="000000"/>
              </w:rPr>
              <w:t>SD</w:t>
            </w:r>
          </w:p>
        </w:tc>
        <w:tc>
          <w:tcPr>
            <w:tcW w:w="1038" w:type="dxa"/>
            <w:tcBorders>
              <w:top w:val="single" w:sz="4" w:space="0" w:color="auto"/>
              <w:bottom w:val="single" w:sz="4" w:space="0" w:color="auto"/>
            </w:tcBorders>
          </w:tcPr>
          <w:p w:rsidR="00A67C87" w:rsidRPr="00FF1B21" w:rsidRDefault="00A67C87" w:rsidP="00F77290">
            <w:pPr>
              <w:pStyle w:val="nospacing1"/>
              <w:rPr>
                <w:color w:val="000000"/>
              </w:rPr>
            </w:pPr>
            <w:r>
              <w:rPr>
                <w:color w:val="000000"/>
              </w:rPr>
              <w:t>Mean</w:t>
            </w:r>
          </w:p>
        </w:tc>
        <w:tc>
          <w:tcPr>
            <w:tcW w:w="997" w:type="dxa"/>
            <w:tcBorders>
              <w:top w:val="single" w:sz="4" w:space="0" w:color="auto"/>
              <w:bottom w:val="single" w:sz="4" w:space="0" w:color="auto"/>
            </w:tcBorders>
          </w:tcPr>
          <w:p w:rsidR="00A67C87" w:rsidRPr="00FF1B21" w:rsidRDefault="00A67C87" w:rsidP="00F77290">
            <w:pPr>
              <w:pStyle w:val="nospacing1"/>
              <w:rPr>
                <w:color w:val="000000"/>
              </w:rPr>
            </w:pPr>
            <w:r>
              <w:rPr>
                <w:color w:val="000000"/>
              </w:rPr>
              <w:t>SD</w:t>
            </w:r>
          </w:p>
        </w:tc>
        <w:tc>
          <w:tcPr>
            <w:tcW w:w="1473" w:type="dxa"/>
            <w:tcBorders>
              <w:bottom w:val="single" w:sz="4" w:space="0" w:color="auto"/>
            </w:tcBorders>
          </w:tcPr>
          <w:p w:rsidR="00A67C87" w:rsidRPr="00FF1B21" w:rsidRDefault="00A67C87" w:rsidP="00F77290">
            <w:pPr>
              <w:pStyle w:val="nospacing1"/>
              <w:rPr>
                <w:color w:val="000000"/>
              </w:rPr>
            </w:pPr>
            <w:r>
              <w:rPr>
                <w:color w:val="000000"/>
              </w:rPr>
              <w:t>t-value</w:t>
            </w:r>
          </w:p>
        </w:tc>
        <w:tc>
          <w:tcPr>
            <w:tcW w:w="1300" w:type="dxa"/>
            <w:tcBorders>
              <w:bottom w:val="single" w:sz="4" w:space="0" w:color="auto"/>
            </w:tcBorders>
          </w:tcPr>
          <w:p w:rsidR="00A67C87" w:rsidRPr="00A67C87" w:rsidRDefault="00A67C87" w:rsidP="00F77290">
            <w:pPr>
              <w:pStyle w:val="nospacing1"/>
              <w:rPr>
                <w:i/>
                <w:color w:val="000000"/>
              </w:rPr>
            </w:pPr>
            <w:r>
              <w:rPr>
                <w:color w:val="000000"/>
              </w:rPr>
              <w:t xml:space="preserve">Cohen’s </w:t>
            </w:r>
            <w:r>
              <w:rPr>
                <w:i/>
                <w:color w:val="000000"/>
              </w:rPr>
              <w:t>d</w:t>
            </w:r>
          </w:p>
        </w:tc>
      </w:tr>
      <w:tr w:rsidR="00A67C87" w:rsidRPr="00FF1B21" w:rsidTr="00C60A15">
        <w:tc>
          <w:tcPr>
            <w:tcW w:w="2673" w:type="dxa"/>
            <w:tcBorders>
              <w:top w:val="single" w:sz="4" w:space="0" w:color="auto"/>
            </w:tcBorders>
          </w:tcPr>
          <w:p w:rsidR="00A67C87" w:rsidRPr="0059381C" w:rsidRDefault="00A67C87" w:rsidP="00916C0F">
            <w:pPr>
              <w:pStyle w:val="nospacing1"/>
              <w:rPr>
                <w:color w:val="000000"/>
                <w:vertAlign w:val="superscript"/>
              </w:rPr>
            </w:pPr>
            <w:r>
              <w:rPr>
                <w:color w:val="000000"/>
              </w:rPr>
              <w:t xml:space="preserve">Teacher </w:t>
            </w:r>
            <w:proofErr w:type="spellStart"/>
            <w:r>
              <w:rPr>
                <w:color w:val="000000"/>
              </w:rPr>
              <w:t>Relationship</w:t>
            </w:r>
            <w:r w:rsidR="0059381C">
              <w:rPr>
                <w:color w:val="000000"/>
                <w:vertAlign w:val="superscript"/>
              </w:rPr>
              <w:t>a</w:t>
            </w:r>
            <w:proofErr w:type="spellEnd"/>
          </w:p>
        </w:tc>
        <w:tc>
          <w:tcPr>
            <w:tcW w:w="1038" w:type="dxa"/>
            <w:tcBorders>
              <w:top w:val="single" w:sz="4" w:space="0" w:color="auto"/>
            </w:tcBorders>
          </w:tcPr>
          <w:p w:rsidR="00A67C87" w:rsidRPr="00FF1B21" w:rsidRDefault="00A67C87" w:rsidP="00916C0F">
            <w:pPr>
              <w:pStyle w:val="nospacing1"/>
              <w:rPr>
                <w:color w:val="000000"/>
              </w:rPr>
            </w:pPr>
            <w:r>
              <w:rPr>
                <w:color w:val="000000"/>
              </w:rPr>
              <w:t>3.74</w:t>
            </w:r>
          </w:p>
        </w:tc>
        <w:tc>
          <w:tcPr>
            <w:tcW w:w="1057" w:type="dxa"/>
            <w:tcBorders>
              <w:top w:val="single" w:sz="4" w:space="0" w:color="auto"/>
            </w:tcBorders>
          </w:tcPr>
          <w:p w:rsidR="00A67C87" w:rsidRPr="00FF1B21" w:rsidRDefault="00A67C87" w:rsidP="00916C0F">
            <w:pPr>
              <w:pStyle w:val="nospacing1"/>
              <w:rPr>
                <w:color w:val="000000"/>
              </w:rPr>
            </w:pPr>
            <w:r>
              <w:rPr>
                <w:color w:val="000000"/>
              </w:rPr>
              <w:t>0.74</w:t>
            </w:r>
          </w:p>
        </w:tc>
        <w:tc>
          <w:tcPr>
            <w:tcW w:w="1038" w:type="dxa"/>
            <w:tcBorders>
              <w:top w:val="single" w:sz="4" w:space="0" w:color="auto"/>
            </w:tcBorders>
          </w:tcPr>
          <w:p w:rsidR="00A67C87" w:rsidRPr="00FF1B21" w:rsidRDefault="00A67C87" w:rsidP="00916C0F">
            <w:pPr>
              <w:pStyle w:val="nospacing1"/>
              <w:rPr>
                <w:color w:val="000000"/>
              </w:rPr>
            </w:pPr>
            <w:r>
              <w:rPr>
                <w:color w:val="000000"/>
              </w:rPr>
              <w:t>3.25</w:t>
            </w:r>
          </w:p>
        </w:tc>
        <w:tc>
          <w:tcPr>
            <w:tcW w:w="997" w:type="dxa"/>
            <w:tcBorders>
              <w:top w:val="single" w:sz="4" w:space="0" w:color="auto"/>
            </w:tcBorders>
          </w:tcPr>
          <w:p w:rsidR="00A67C87" w:rsidRPr="00FF1B21" w:rsidRDefault="00A67C87" w:rsidP="00916C0F">
            <w:pPr>
              <w:pStyle w:val="nospacing1"/>
              <w:rPr>
                <w:color w:val="000000"/>
              </w:rPr>
            </w:pPr>
            <w:r>
              <w:rPr>
                <w:color w:val="000000"/>
              </w:rPr>
              <w:t>0.83</w:t>
            </w:r>
          </w:p>
        </w:tc>
        <w:tc>
          <w:tcPr>
            <w:tcW w:w="1473" w:type="dxa"/>
            <w:tcBorders>
              <w:top w:val="single" w:sz="4" w:space="0" w:color="auto"/>
            </w:tcBorders>
          </w:tcPr>
          <w:p w:rsidR="00A67C87" w:rsidRPr="00FF1B21" w:rsidRDefault="00A67C87" w:rsidP="00916C0F">
            <w:pPr>
              <w:pStyle w:val="nospacing1"/>
              <w:rPr>
                <w:color w:val="000000"/>
              </w:rPr>
            </w:pPr>
            <w:r>
              <w:rPr>
                <w:color w:val="000000"/>
              </w:rPr>
              <w:t>-3.44*</w:t>
            </w:r>
          </w:p>
        </w:tc>
        <w:tc>
          <w:tcPr>
            <w:tcW w:w="1300" w:type="dxa"/>
            <w:tcBorders>
              <w:top w:val="single" w:sz="4" w:space="0" w:color="auto"/>
            </w:tcBorders>
          </w:tcPr>
          <w:p w:rsidR="00A67C87" w:rsidRDefault="00A67C87" w:rsidP="00916C0F">
            <w:pPr>
              <w:pStyle w:val="nospacing1"/>
              <w:rPr>
                <w:color w:val="000000"/>
              </w:rPr>
            </w:pPr>
            <w:r>
              <w:rPr>
                <w:color w:val="000000"/>
              </w:rPr>
              <w:t>0.28</w:t>
            </w:r>
          </w:p>
        </w:tc>
      </w:tr>
      <w:tr w:rsidR="00A67C87" w:rsidRPr="00FF1B21" w:rsidTr="00C60A15">
        <w:tc>
          <w:tcPr>
            <w:tcW w:w="2673" w:type="dxa"/>
          </w:tcPr>
          <w:p w:rsidR="00A67C87" w:rsidRPr="0059381C" w:rsidRDefault="00A67C87" w:rsidP="00916C0F">
            <w:pPr>
              <w:pStyle w:val="nospacing1"/>
              <w:rPr>
                <w:color w:val="000000"/>
                <w:vertAlign w:val="superscript"/>
              </w:rPr>
            </w:pPr>
            <w:r>
              <w:rPr>
                <w:color w:val="000000"/>
              </w:rPr>
              <w:t xml:space="preserve">Peer </w:t>
            </w:r>
            <w:proofErr w:type="spellStart"/>
            <w:r>
              <w:rPr>
                <w:color w:val="000000"/>
              </w:rPr>
              <w:t>Support</w:t>
            </w:r>
            <w:r w:rsidR="0059381C">
              <w:rPr>
                <w:color w:val="000000"/>
                <w:vertAlign w:val="superscript"/>
              </w:rPr>
              <w:t>a</w:t>
            </w:r>
            <w:proofErr w:type="spellEnd"/>
          </w:p>
        </w:tc>
        <w:tc>
          <w:tcPr>
            <w:tcW w:w="1038" w:type="dxa"/>
          </w:tcPr>
          <w:p w:rsidR="00A67C87" w:rsidRPr="00FF1B21" w:rsidRDefault="00A67C87" w:rsidP="00916C0F">
            <w:pPr>
              <w:pStyle w:val="nospacing1"/>
              <w:rPr>
                <w:color w:val="000000"/>
              </w:rPr>
            </w:pPr>
            <w:r>
              <w:rPr>
                <w:color w:val="000000"/>
              </w:rPr>
              <w:t>3.65</w:t>
            </w:r>
          </w:p>
        </w:tc>
        <w:tc>
          <w:tcPr>
            <w:tcW w:w="1057" w:type="dxa"/>
          </w:tcPr>
          <w:p w:rsidR="00A67C87" w:rsidRPr="00FF1B21" w:rsidRDefault="00A67C87" w:rsidP="00916C0F">
            <w:pPr>
              <w:pStyle w:val="nospacing1"/>
              <w:rPr>
                <w:color w:val="000000"/>
              </w:rPr>
            </w:pPr>
            <w:r>
              <w:rPr>
                <w:color w:val="000000"/>
              </w:rPr>
              <w:t>0.73</w:t>
            </w:r>
          </w:p>
        </w:tc>
        <w:tc>
          <w:tcPr>
            <w:tcW w:w="1038" w:type="dxa"/>
          </w:tcPr>
          <w:p w:rsidR="00A67C87" w:rsidRPr="00FF1B21" w:rsidRDefault="00A67C87" w:rsidP="00916C0F">
            <w:pPr>
              <w:pStyle w:val="nospacing1"/>
              <w:rPr>
                <w:color w:val="000000"/>
              </w:rPr>
            </w:pPr>
            <w:r>
              <w:rPr>
                <w:color w:val="000000"/>
              </w:rPr>
              <w:t>3.37</w:t>
            </w:r>
          </w:p>
        </w:tc>
        <w:tc>
          <w:tcPr>
            <w:tcW w:w="997" w:type="dxa"/>
          </w:tcPr>
          <w:p w:rsidR="00A67C87" w:rsidRPr="00FF1B21" w:rsidRDefault="00A67C87" w:rsidP="00916C0F">
            <w:pPr>
              <w:pStyle w:val="nospacing1"/>
              <w:rPr>
                <w:color w:val="000000"/>
              </w:rPr>
            </w:pPr>
            <w:r>
              <w:rPr>
                <w:color w:val="000000"/>
              </w:rPr>
              <w:t>0.79</w:t>
            </w:r>
          </w:p>
        </w:tc>
        <w:tc>
          <w:tcPr>
            <w:tcW w:w="1473" w:type="dxa"/>
          </w:tcPr>
          <w:p w:rsidR="00A67C87" w:rsidRPr="00FF1B21" w:rsidRDefault="00A67C87" w:rsidP="00916C0F">
            <w:pPr>
              <w:pStyle w:val="nospacing1"/>
              <w:rPr>
                <w:color w:val="000000"/>
              </w:rPr>
            </w:pPr>
            <w:r>
              <w:rPr>
                <w:color w:val="000000"/>
              </w:rPr>
              <w:t>-2.07*</w:t>
            </w:r>
          </w:p>
        </w:tc>
        <w:tc>
          <w:tcPr>
            <w:tcW w:w="1300" w:type="dxa"/>
          </w:tcPr>
          <w:p w:rsidR="00A67C87" w:rsidRDefault="00A67C87" w:rsidP="00916C0F">
            <w:pPr>
              <w:pStyle w:val="nospacing1"/>
              <w:rPr>
                <w:color w:val="000000"/>
              </w:rPr>
            </w:pPr>
            <w:r>
              <w:rPr>
                <w:color w:val="000000"/>
              </w:rPr>
              <w:t>0.17</w:t>
            </w:r>
          </w:p>
        </w:tc>
      </w:tr>
      <w:tr w:rsidR="00A67C87" w:rsidRPr="00FF1B21" w:rsidTr="00C60A15">
        <w:tc>
          <w:tcPr>
            <w:tcW w:w="2673" w:type="dxa"/>
          </w:tcPr>
          <w:p w:rsidR="00A67C87" w:rsidRPr="0059381C" w:rsidRDefault="00A67C87" w:rsidP="00916C0F">
            <w:pPr>
              <w:pStyle w:val="nospacing1"/>
              <w:rPr>
                <w:color w:val="000000"/>
                <w:vertAlign w:val="superscript"/>
              </w:rPr>
            </w:pPr>
            <w:r>
              <w:rPr>
                <w:color w:val="000000"/>
              </w:rPr>
              <w:t xml:space="preserve">Family </w:t>
            </w:r>
            <w:proofErr w:type="spellStart"/>
            <w:r>
              <w:rPr>
                <w:color w:val="000000"/>
              </w:rPr>
              <w:t>Support</w:t>
            </w:r>
            <w:r w:rsidR="0059381C">
              <w:rPr>
                <w:color w:val="000000"/>
                <w:vertAlign w:val="superscript"/>
              </w:rPr>
              <w:t>a</w:t>
            </w:r>
            <w:proofErr w:type="spellEnd"/>
          </w:p>
        </w:tc>
        <w:tc>
          <w:tcPr>
            <w:tcW w:w="1038" w:type="dxa"/>
          </w:tcPr>
          <w:p w:rsidR="00A67C87" w:rsidRPr="00FF1B21" w:rsidRDefault="00A67C87" w:rsidP="00916C0F">
            <w:pPr>
              <w:pStyle w:val="nospacing1"/>
              <w:rPr>
                <w:color w:val="000000"/>
              </w:rPr>
            </w:pPr>
            <w:r>
              <w:rPr>
                <w:color w:val="000000"/>
              </w:rPr>
              <w:t>4.31</w:t>
            </w:r>
          </w:p>
        </w:tc>
        <w:tc>
          <w:tcPr>
            <w:tcW w:w="1057" w:type="dxa"/>
          </w:tcPr>
          <w:p w:rsidR="00A67C87" w:rsidRPr="00FF1B21" w:rsidRDefault="00A67C87" w:rsidP="00916C0F">
            <w:pPr>
              <w:pStyle w:val="nospacing1"/>
              <w:rPr>
                <w:color w:val="000000"/>
              </w:rPr>
            </w:pPr>
            <w:r>
              <w:rPr>
                <w:color w:val="000000"/>
              </w:rPr>
              <w:t>0.76</w:t>
            </w:r>
          </w:p>
        </w:tc>
        <w:tc>
          <w:tcPr>
            <w:tcW w:w="1038" w:type="dxa"/>
          </w:tcPr>
          <w:p w:rsidR="00A67C87" w:rsidRPr="00FF1B21" w:rsidRDefault="00A67C87" w:rsidP="00916C0F">
            <w:pPr>
              <w:pStyle w:val="nospacing1"/>
              <w:rPr>
                <w:color w:val="000000"/>
              </w:rPr>
            </w:pPr>
            <w:r>
              <w:rPr>
                <w:color w:val="000000"/>
              </w:rPr>
              <w:t>3.96</w:t>
            </w:r>
          </w:p>
        </w:tc>
        <w:tc>
          <w:tcPr>
            <w:tcW w:w="997" w:type="dxa"/>
          </w:tcPr>
          <w:p w:rsidR="00A67C87" w:rsidRPr="00FF1B21" w:rsidRDefault="00A67C87" w:rsidP="00916C0F">
            <w:pPr>
              <w:pStyle w:val="nospacing1"/>
              <w:rPr>
                <w:color w:val="000000"/>
              </w:rPr>
            </w:pPr>
            <w:r>
              <w:rPr>
                <w:color w:val="000000"/>
              </w:rPr>
              <w:t>0.93</w:t>
            </w:r>
          </w:p>
        </w:tc>
        <w:tc>
          <w:tcPr>
            <w:tcW w:w="1473" w:type="dxa"/>
          </w:tcPr>
          <w:p w:rsidR="00A67C87" w:rsidRPr="00FF1B21" w:rsidRDefault="00A67C87" w:rsidP="00916C0F">
            <w:pPr>
              <w:pStyle w:val="nospacing1"/>
              <w:rPr>
                <w:color w:val="000000"/>
              </w:rPr>
            </w:pPr>
            <w:r>
              <w:rPr>
                <w:color w:val="000000"/>
              </w:rPr>
              <w:t>-2.41*</w:t>
            </w:r>
          </w:p>
        </w:tc>
        <w:tc>
          <w:tcPr>
            <w:tcW w:w="1300" w:type="dxa"/>
          </w:tcPr>
          <w:p w:rsidR="00A67C87" w:rsidRDefault="00A67C87" w:rsidP="00916C0F">
            <w:pPr>
              <w:pStyle w:val="nospacing1"/>
              <w:rPr>
                <w:color w:val="000000"/>
              </w:rPr>
            </w:pPr>
            <w:r>
              <w:rPr>
                <w:color w:val="000000"/>
              </w:rPr>
              <w:t>0.19</w:t>
            </w:r>
          </w:p>
        </w:tc>
      </w:tr>
      <w:tr w:rsidR="00A67C87" w:rsidRPr="00FF1B21" w:rsidTr="00C60A15">
        <w:tc>
          <w:tcPr>
            <w:tcW w:w="2673" w:type="dxa"/>
          </w:tcPr>
          <w:p w:rsidR="00A67C87" w:rsidRPr="0059381C" w:rsidRDefault="00A67C87" w:rsidP="00916C0F">
            <w:pPr>
              <w:pStyle w:val="nospacing1"/>
              <w:rPr>
                <w:color w:val="000000"/>
                <w:vertAlign w:val="superscript"/>
              </w:rPr>
            </w:pPr>
            <w:r>
              <w:rPr>
                <w:color w:val="000000"/>
              </w:rPr>
              <w:t xml:space="preserve">Relevance of </w:t>
            </w:r>
            <w:proofErr w:type="spellStart"/>
            <w:r>
              <w:rPr>
                <w:color w:val="000000"/>
              </w:rPr>
              <w:t>Work</w:t>
            </w:r>
            <w:r w:rsidR="0059381C">
              <w:rPr>
                <w:color w:val="000000"/>
                <w:vertAlign w:val="superscript"/>
              </w:rPr>
              <w:t>b</w:t>
            </w:r>
            <w:proofErr w:type="spellEnd"/>
          </w:p>
        </w:tc>
        <w:tc>
          <w:tcPr>
            <w:tcW w:w="1038" w:type="dxa"/>
          </w:tcPr>
          <w:p w:rsidR="00A67C87" w:rsidRDefault="00A67C87" w:rsidP="00916C0F">
            <w:pPr>
              <w:pStyle w:val="nospacing1"/>
              <w:rPr>
                <w:color w:val="000000"/>
              </w:rPr>
            </w:pPr>
            <w:r>
              <w:rPr>
                <w:color w:val="000000"/>
              </w:rPr>
              <w:t>3.64</w:t>
            </w:r>
          </w:p>
        </w:tc>
        <w:tc>
          <w:tcPr>
            <w:tcW w:w="1057" w:type="dxa"/>
          </w:tcPr>
          <w:p w:rsidR="00A67C87" w:rsidRDefault="00A67C87" w:rsidP="00916C0F">
            <w:pPr>
              <w:pStyle w:val="nospacing1"/>
              <w:rPr>
                <w:color w:val="000000"/>
              </w:rPr>
            </w:pPr>
            <w:r>
              <w:rPr>
                <w:color w:val="000000"/>
              </w:rPr>
              <w:t>0.64</w:t>
            </w:r>
          </w:p>
        </w:tc>
        <w:tc>
          <w:tcPr>
            <w:tcW w:w="1038" w:type="dxa"/>
          </w:tcPr>
          <w:p w:rsidR="00A67C87" w:rsidRDefault="00A67C87" w:rsidP="00916C0F">
            <w:pPr>
              <w:pStyle w:val="nospacing1"/>
              <w:rPr>
                <w:color w:val="000000"/>
              </w:rPr>
            </w:pPr>
            <w:r>
              <w:rPr>
                <w:color w:val="000000"/>
              </w:rPr>
              <w:t>3.21</w:t>
            </w:r>
          </w:p>
        </w:tc>
        <w:tc>
          <w:tcPr>
            <w:tcW w:w="997" w:type="dxa"/>
          </w:tcPr>
          <w:p w:rsidR="00A67C87" w:rsidRDefault="00A67C87" w:rsidP="00916C0F">
            <w:pPr>
              <w:pStyle w:val="nospacing1"/>
              <w:rPr>
                <w:color w:val="000000"/>
              </w:rPr>
            </w:pPr>
            <w:r>
              <w:rPr>
                <w:color w:val="000000"/>
              </w:rPr>
              <w:t>0.81</w:t>
            </w:r>
          </w:p>
        </w:tc>
        <w:tc>
          <w:tcPr>
            <w:tcW w:w="1473" w:type="dxa"/>
          </w:tcPr>
          <w:p w:rsidR="00A67C87" w:rsidRPr="00FF1B21" w:rsidRDefault="00A67C87" w:rsidP="00916C0F">
            <w:pPr>
              <w:pStyle w:val="nospacing1"/>
              <w:rPr>
                <w:color w:val="000000"/>
              </w:rPr>
            </w:pPr>
            <w:r>
              <w:rPr>
                <w:color w:val="000000"/>
              </w:rPr>
              <w:t>-3.19*</w:t>
            </w:r>
          </w:p>
        </w:tc>
        <w:tc>
          <w:tcPr>
            <w:tcW w:w="1300" w:type="dxa"/>
          </w:tcPr>
          <w:p w:rsidR="00A67C87" w:rsidRDefault="00A67C87" w:rsidP="00916C0F">
            <w:pPr>
              <w:pStyle w:val="nospacing1"/>
              <w:rPr>
                <w:color w:val="000000"/>
              </w:rPr>
            </w:pPr>
            <w:r>
              <w:rPr>
                <w:color w:val="000000"/>
              </w:rPr>
              <w:t>0.28</w:t>
            </w:r>
          </w:p>
        </w:tc>
      </w:tr>
      <w:tr w:rsidR="00A67C87" w:rsidRPr="00FF1B21" w:rsidTr="00C60A15">
        <w:tc>
          <w:tcPr>
            <w:tcW w:w="2673" w:type="dxa"/>
            <w:tcBorders>
              <w:bottom w:val="single" w:sz="4" w:space="0" w:color="auto"/>
            </w:tcBorders>
          </w:tcPr>
          <w:p w:rsidR="00A67C87" w:rsidRPr="0059381C" w:rsidRDefault="00A67C87" w:rsidP="00916C0F">
            <w:pPr>
              <w:pStyle w:val="nospacing1"/>
              <w:rPr>
                <w:color w:val="000000"/>
                <w:vertAlign w:val="superscript"/>
              </w:rPr>
            </w:pPr>
            <w:r>
              <w:rPr>
                <w:color w:val="000000"/>
              </w:rPr>
              <w:t xml:space="preserve">Real-World </w:t>
            </w:r>
            <w:proofErr w:type="spellStart"/>
            <w:r>
              <w:rPr>
                <w:color w:val="000000"/>
              </w:rPr>
              <w:t>Application</w:t>
            </w:r>
            <w:r w:rsidR="0059381C">
              <w:rPr>
                <w:color w:val="000000"/>
                <w:vertAlign w:val="superscript"/>
              </w:rPr>
              <w:t>b</w:t>
            </w:r>
            <w:proofErr w:type="spellEnd"/>
          </w:p>
        </w:tc>
        <w:tc>
          <w:tcPr>
            <w:tcW w:w="1038" w:type="dxa"/>
            <w:tcBorders>
              <w:bottom w:val="single" w:sz="4" w:space="0" w:color="auto"/>
            </w:tcBorders>
          </w:tcPr>
          <w:p w:rsidR="00A67C87" w:rsidRDefault="00A67C87" w:rsidP="00916C0F">
            <w:pPr>
              <w:pStyle w:val="nospacing1"/>
              <w:rPr>
                <w:color w:val="000000"/>
              </w:rPr>
            </w:pPr>
            <w:r>
              <w:rPr>
                <w:color w:val="000000"/>
              </w:rPr>
              <w:t>4.50</w:t>
            </w:r>
          </w:p>
        </w:tc>
        <w:tc>
          <w:tcPr>
            <w:tcW w:w="1057" w:type="dxa"/>
            <w:tcBorders>
              <w:bottom w:val="single" w:sz="4" w:space="0" w:color="auto"/>
            </w:tcBorders>
          </w:tcPr>
          <w:p w:rsidR="00A67C87" w:rsidRDefault="00A67C87" w:rsidP="00916C0F">
            <w:pPr>
              <w:pStyle w:val="nospacing1"/>
              <w:rPr>
                <w:color w:val="000000"/>
              </w:rPr>
            </w:pPr>
            <w:r>
              <w:rPr>
                <w:color w:val="000000"/>
              </w:rPr>
              <w:t>0.65</w:t>
            </w:r>
          </w:p>
        </w:tc>
        <w:tc>
          <w:tcPr>
            <w:tcW w:w="1038" w:type="dxa"/>
            <w:tcBorders>
              <w:bottom w:val="single" w:sz="4" w:space="0" w:color="auto"/>
            </w:tcBorders>
          </w:tcPr>
          <w:p w:rsidR="00A67C87" w:rsidRDefault="00A67C87" w:rsidP="00916C0F">
            <w:pPr>
              <w:pStyle w:val="nospacing1"/>
              <w:rPr>
                <w:color w:val="000000"/>
              </w:rPr>
            </w:pPr>
            <w:r>
              <w:rPr>
                <w:color w:val="000000"/>
              </w:rPr>
              <w:t>4.06</w:t>
            </w:r>
          </w:p>
        </w:tc>
        <w:tc>
          <w:tcPr>
            <w:tcW w:w="997" w:type="dxa"/>
            <w:tcBorders>
              <w:bottom w:val="single" w:sz="4" w:space="0" w:color="auto"/>
            </w:tcBorders>
          </w:tcPr>
          <w:p w:rsidR="00A67C87" w:rsidRDefault="00A67C87" w:rsidP="00916C0F">
            <w:pPr>
              <w:pStyle w:val="nospacing1"/>
              <w:rPr>
                <w:color w:val="000000"/>
              </w:rPr>
            </w:pPr>
            <w:r>
              <w:rPr>
                <w:color w:val="000000"/>
              </w:rPr>
              <w:t>0.96</w:t>
            </w:r>
          </w:p>
        </w:tc>
        <w:tc>
          <w:tcPr>
            <w:tcW w:w="1473" w:type="dxa"/>
            <w:tcBorders>
              <w:bottom w:val="single" w:sz="4" w:space="0" w:color="auto"/>
            </w:tcBorders>
          </w:tcPr>
          <w:p w:rsidR="00A67C87" w:rsidRPr="00FF1B21" w:rsidRDefault="00A67C87" w:rsidP="00916C0F">
            <w:pPr>
              <w:pStyle w:val="nospacing1"/>
              <w:rPr>
                <w:color w:val="000000"/>
              </w:rPr>
            </w:pPr>
            <w:r>
              <w:rPr>
                <w:color w:val="000000"/>
              </w:rPr>
              <w:t>-4.09*</w:t>
            </w:r>
          </w:p>
        </w:tc>
        <w:tc>
          <w:tcPr>
            <w:tcW w:w="1300" w:type="dxa"/>
            <w:tcBorders>
              <w:bottom w:val="single" w:sz="4" w:space="0" w:color="auto"/>
            </w:tcBorders>
          </w:tcPr>
          <w:p w:rsidR="00A67C87" w:rsidRDefault="00A67C87" w:rsidP="00916C0F">
            <w:pPr>
              <w:pStyle w:val="nospacing1"/>
              <w:rPr>
                <w:color w:val="000000"/>
              </w:rPr>
            </w:pPr>
            <w:r>
              <w:rPr>
                <w:color w:val="000000"/>
              </w:rPr>
              <w:t>0.33</w:t>
            </w:r>
          </w:p>
        </w:tc>
      </w:tr>
    </w:tbl>
    <w:p w:rsidR="0059381C" w:rsidRPr="0059381C" w:rsidRDefault="0059381C" w:rsidP="0059381C">
      <w:pPr>
        <w:pStyle w:val="nospacing1"/>
        <w:spacing w:before="0" w:beforeAutospacing="0" w:after="0" w:afterAutospacing="0"/>
        <w:rPr>
          <w:color w:val="000000"/>
        </w:rPr>
      </w:pPr>
      <w:r>
        <w:rPr>
          <w:color w:val="000000"/>
        </w:rPr>
        <w:t xml:space="preserve">Note: </w:t>
      </w:r>
      <w:r w:rsidR="00C60A15">
        <w:rPr>
          <w:color w:val="000000"/>
        </w:rPr>
        <w:t xml:space="preserve">*p&lt;0.05. </w:t>
      </w:r>
      <w:proofErr w:type="spellStart"/>
      <w:proofErr w:type="gramStart"/>
      <w:r>
        <w:rPr>
          <w:color w:val="000000"/>
          <w:vertAlign w:val="superscript"/>
        </w:rPr>
        <w:t>a</w:t>
      </w:r>
      <w:r>
        <w:rPr>
          <w:color w:val="000000"/>
        </w:rPr>
        <w:t>Psychological</w:t>
      </w:r>
      <w:proofErr w:type="spellEnd"/>
      <w:proofErr w:type="gramEnd"/>
      <w:r>
        <w:rPr>
          <w:color w:val="000000"/>
        </w:rPr>
        <w:t xml:space="preserve"> </w:t>
      </w:r>
      <w:r w:rsidR="00E043DF">
        <w:rPr>
          <w:color w:val="000000"/>
        </w:rPr>
        <w:t>engagement subtype</w:t>
      </w:r>
      <w:r>
        <w:rPr>
          <w:color w:val="000000"/>
        </w:rPr>
        <w:t xml:space="preserve">. </w:t>
      </w:r>
      <w:proofErr w:type="spellStart"/>
      <w:proofErr w:type="gramStart"/>
      <w:r>
        <w:rPr>
          <w:color w:val="000000"/>
          <w:vertAlign w:val="superscript"/>
        </w:rPr>
        <w:t>b</w:t>
      </w:r>
      <w:r w:rsidR="00E043DF">
        <w:rPr>
          <w:color w:val="000000"/>
        </w:rPr>
        <w:t>Cognitive</w:t>
      </w:r>
      <w:proofErr w:type="spellEnd"/>
      <w:proofErr w:type="gramEnd"/>
      <w:r w:rsidR="00E043DF">
        <w:rPr>
          <w:color w:val="000000"/>
        </w:rPr>
        <w:t xml:space="preserve"> engagement subtype</w:t>
      </w:r>
    </w:p>
    <w:p w:rsidR="00841C44" w:rsidRDefault="00841C44" w:rsidP="0067045C">
      <w:pPr>
        <w:pStyle w:val="nospacing1"/>
        <w:spacing w:after="0" w:afterAutospacing="0"/>
        <w:jc w:val="center"/>
        <w:rPr>
          <w:rFonts w:ascii="Times" w:hAnsi="Times" w:cs="Times"/>
          <w:b/>
          <w:color w:val="000000"/>
        </w:rPr>
      </w:pPr>
      <w:r w:rsidRPr="0067045C">
        <w:rPr>
          <w:rFonts w:ascii="Times" w:hAnsi="Times" w:cs="Times"/>
          <w:b/>
          <w:color w:val="000000"/>
        </w:rPr>
        <w:t>Conclusions</w:t>
      </w:r>
    </w:p>
    <w:p w:rsidR="00364C52" w:rsidRPr="00C01CE2" w:rsidRDefault="0067045C" w:rsidP="00C01CE2">
      <w:pPr>
        <w:pStyle w:val="nospacing1"/>
        <w:spacing w:before="0" w:beforeAutospacing="0" w:after="0" w:afterAutospacing="0"/>
        <w:ind w:firstLine="720"/>
        <w:rPr>
          <w:rFonts w:ascii="Times" w:hAnsi="Times" w:cs="Times"/>
          <w:color w:val="000000"/>
        </w:rPr>
      </w:pPr>
      <w:r>
        <w:rPr>
          <w:rFonts w:ascii="Times" w:hAnsi="Times" w:cs="Times"/>
          <w:color w:val="000000"/>
        </w:rPr>
        <w:t>The findings illustrate that participation in a career</w:t>
      </w:r>
      <w:r w:rsidR="0043219B">
        <w:rPr>
          <w:rFonts w:ascii="Times" w:hAnsi="Times" w:cs="Times"/>
          <w:color w:val="000000"/>
        </w:rPr>
        <w:t xml:space="preserve"> academy may influence students</w:t>
      </w:r>
      <w:r>
        <w:rPr>
          <w:rFonts w:ascii="Times" w:hAnsi="Times" w:cs="Times"/>
          <w:color w:val="000000"/>
        </w:rPr>
        <w:t xml:space="preserve"> engagement.</w:t>
      </w:r>
      <w:r w:rsidR="00176087">
        <w:rPr>
          <w:rFonts w:ascii="Times" w:hAnsi="Times" w:cs="Times"/>
          <w:color w:val="000000"/>
        </w:rPr>
        <w:t xml:space="preserve">  More specifically, the findings provide insight into the potential value of a career academy program.  </w:t>
      </w:r>
      <w:r w:rsidR="00E043DF">
        <w:rPr>
          <w:rFonts w:ascii="Times" w:hAnsi="Times" w:cs="Times"/>
          <w:color w:val="000000"/>
        </w:rPr>
        <w:t>In this example, students reported higher levels of psychological and cognitive engagement.  A defining characteristic of a career academy program is that students experience the program as a cohort.  This creates an environment where relationships thrive, thus impacting psychological engagement.  Furthermore, career academy programs link core academics, technical knowledge,</w:t>
      </w:r>
      <w:r w:rsidR="00830A26">
        <w:rPr>
          <w:rFonts w:ascii="Times" w:hAnsi="Times" w:cs="Times"/>
          <w:color w:val="000000"/>
        </w:rPr>
        <w:t xml:space="preserve"> and career interests.  </w:t>
      </w:r>
      <w:r w:rsidR="00650F55">
        <w:rPr>
          <w:rFonts w:ascii="Times" w:hAnsi="Times" w:cs="Times"/>
          <w:color w:val="000000"/>
        </w:rPr>
        <w:t xml:space="preserve">In </w:t>
      </w:r>
      <w:r w:rsidR="002419C0">
        <w:rPr>
          <w:rFonts w:ascii="Times" w:hAnsi="Times" w:cs="Times"/>
          <w:color w:val="000000"/>
        </w:rPr>
        <w:t xml:space="preserve">the </w:t>
      </w:r>
      <w:r w:rsidR="002F338D">
        <w:rPr>
          <w:rFonts w:ascii="Times" w:hAnsi="Times" w:cs="Times"/>
          <w:color w:val="000000"/>
        </w:rPr>
        <w:t>Urban Agriculture</w:t>
      </w:r>
      <w:r w:rsidR="002419C0">
        <w:rPr>
          <w:rFonts w:ascii="Times" w:hAnsi="Times" w:cs="Times"/>
          <w:color w:val="000000"/>
        </w:rPr>
        <w:t xml:space="preserve"> Career Academy, students’ core academic classes are set within the context of AFNR.  </w:t>
      </w:r>
      <w:r w:rsidR="00C01CE2">
        <w:rPr>
          <w:rFonts w:ascii="Times" w:hAnsi="Times" w:cs="Times"/>
          <w:color w:val="000000"/>
        </w:rPr>
        <w:t xml:space="preserve">This </w:t>
      </w:r>
      <w:r w:rsidR="002419C0">
        <w:rPr>
          <w:rFonts w:ascii="Times" w:hAnsi="Times" w:cs="Times"/>
          <w:color w:val="000000"/>
        </w:rPr>
        <w:t xml:space="preserve">linkage creates relevance </w:t>
      </w:r>
      <w:r w:rsidR="002F338D">
        <w:rPr>
          <w:rFonts w:ascii="Times" w:hAnsi="Times" w:cs="Times"/>
          <w:color w:val="000000"/>
        </w:rPr>
        <w:t>and purpose for students, leading to increased cognitive engagement.</w:t>
      </w:r>
      <w:r w:rsidR="00364C52">
        <w:rPr>
          <w:rFonts w:ascii="Times" w:hAnsi="Times" w:cs="Times"/>
          <w:color w:val="000000"/>
        </w:rPr>
        <w:t xml:space="preserve">  </w:t>
      </w:r>
      <w:r w:rsidR="002F338D">
        <w:rPr>
          <w:rFonts w:ascii="Times" w:hAnsi="Times" w:cs="Times"/>
          <w:color w:val="000000"/>
        </w:rPr>
        <w:t xml:space="preserve"> </w:t>
      </w:r>
      <w:r w:rsidR="002419C0">
        <w:rPr>
          <w:rFonts w:ascii="Times" w:hAnsi="Times" w:cs="Times"/>
          <w:color w:val="000000"/>
        </w:rPr>
        <w:t xml:space="preserve">  </w:t>
      </w:r>
      <w:r w:rsidR="00E043DF">
        <w:rPr>
          <w:rFonts w:ascii="Times" w:hAnsi="Times" w:cs="Times"/>
          <w:color w:val="000000"/>
        </w:rPr>
        <w:t xml:space="preserve">   </w:t>
      </w:r>
      <w:r w:rsidR="00176087">
        <w:rPr>
          <w:rFonts w:ascii="Times" w:hAnsi="Times" w:cs="Times"/>
          <w:color w:val="000000"/>
        </w:rPr>
        <w:t xml:space="preserve">   </w:t>
      </w:r>
      <w:r>
        <w:rPr>
          <w:rFonts w:ascii="Times" w:hAnsi="Times" w:cs="Times"/>
          <w:color w:val="000000"/>
        </w:rPr>
        <w:t xml:space="preserve">  </w:t>
      </w:r>
    </w:p>
    <w:p w:rsidR="00841C44" w:rsidRPr="002419C0" w:rsidRDefault="002419C0" w:rsidP="002419C0">
      <w:pPr>
        <w:pStyle w:val="nospacing1"/>
        <w:spacing w:after="0" w:afterAutospacing="0"/>
        <w:jc w:val="center"/>
        <w:rPr>
          <w:rFonts w:ascii="Times" w:hAnsi="Times" w:cs="Times"/>
          <w:b/>
          <w:color w:val="000000"/>
        </w:rPr>
      </w:pPr>
      <w:r>
        <w:rPr>
          <w:rFonts w:ascii="Times" w:hAnsi="Times" w:cs="Times"/>
          <w:b/>
          <w:color w:val="000000"/>
        </w:rPr>
        <w:t>Implications</w:t>
      </w:r>
      <w:r w:rsidR="00DD4138">
        <w:rPr>
          <w:rFonts w:ascii="Times" w:hAnsi="Times" w:cs="Times"/>
          <w:b/>
          <w:color w:val="000000"/>
        </w:rPr>
        <w:t xml:space="preserve"> </w:t>
      </w:r>
      <w:r>
        <w:rPr>
          <w:rFonts w:ascii="Times" w:hAnsi="Times" w:cs="Times"/>
          <w:b/>
          <w:color w:val="000000"/>
        </w:rPr>
        <w:t>&amp; R</w:t>
      </w:r>
      <w:r w:rsidR="00841C44" w:rsidRPr="002419C0">
        <w:rPr>
          <w:rFonts w:ascii="Times" w:hAnsi="Times" w:cs="Times"/>
          <w:b/>
          <w:color w:val="000000"/>
        </w:rPr>
        <w:t>ecommendations</w:t>
      </w:r>
    </w:p>
    <w:p w:rsidR="00212212" w:rsidRPr="007F7CC6" w:rsidRDefault="002F338D" w:rsidP="007F7CC6">
      <w:pPr>
        <w:pStyle w:val="nospacing1"/>
        <w:spacing w:before="0" w:beforeAutospacing="0"/>
        <w:ind w:firstLine="720"/>
        <w:rPr>
          <w:rFonts w:ascii="Times" w:hAnsi="Times" w:cs="Times"/>
          <w:color w:val="000000"/>
        </w:rPr>
      </w:pPr>
      <w:r>
        <w:rPr>
          <w:rFonts w:ascii="Times" w:hAnsi="Times" w:cs="Times"/>
          <w:color w:val="000000"/>
        </w:rPr>
        <w:t>Between</w:t>
      </w:r>
      <w:r w:rsidR="00DD4138">
        <w:rPr>
          <w:rFonts w:ascii="Times" w:hAnsi="Times" w:cs="Times"/>
          <w:color w:val="000000"/>
        </w:rPr>
        <w:t xml:space="preserve"> 20 </w:t>
      </w:r>
      <w:r>
        <w:rPr>
          <w:rFonts w:ascii="Times" w:hAnsi="Times" w:cs="Times"/>
          <w:color w:val="000000"/>
        </w:rPr>
        <w:t>-</w:t>
      </w:r>
      <w:r w:rsidR="00DD4138">
        <w:rPr>
          <w:rFonts w:ascii="Times" w:hAnsi="Times" w:cs="Times"/>
          <w:color w:val="000000"/>
        </w:rPr>
        <w:t xml:space="preserve"> 30 percent of </w:t>
      </w:r>
      <w:r w:rsidR="00623FD5">
        <w:rPr>
          <w:rFonts w:ascii="Times" w:hAnsi="Times" w:cs="Times"/>
          <w:color w:val="000000"/>
        </w:rPr>
        <w:t>students</w:t>
      </w:r>
      <w:r w:rsidR="00DD4138">
        <w:rPr>
          <w:rFonts w:ascii="Times" w:hAnsi="Times" w:cs="Times"/>
          <w:color w:val="000000"/>
        </w:rPr>
        <w:t xml:space="preserve"> do not graduate from high school or do not finish on a normal four-year schedule (Stone &amp; Lewis, 2012)</w:t>
      </w:r>
      <w:r w:rsidR="00623FD5">
        <w:rPr>
          <w:rFonts w:ascii="Times" w:hAnsi="Times" w:cs="Times"/>
          <w:color w:val="000000"/>
        </w:rPr>
        <w:t xml:space="preserve">.  </w:t>
      </w:r>
      <w:r w:rsidR="00386548">
        <w:rPr>
          <w:rFonts w:ascii="Times" w:hAnsi="Times" w:cs="Times"/>
          <w:color w:val="000000"/>
        </w:rPr>
        <w:t>While t</w:t>
      </w:r>
      <w:r w:rsidR="00623FD5">
        <w:rPr>
          <w:rFonts w:ascii="Times" w:hAnsi="Times" w:cs="Times"/>
          <w:color w:val="000000"/>
        </w:rPr>
        <w:t xml:space="preserve">here is not </w:t>
      </w:r>
      <w:r w:rsidR="00F0126E">
        <w:rPr>
          <w:rFonts w:ascii="Times" w:hAnsi="Times" w:cs="Times"/>
          <w:color w:val="000000"/>
        </w:rPr>
        <w:t>a singular</w:t>
      </w:r>
      <w:r w:rsidR="00623FD5">
        <w:rPr>
          <w:rFonts w:ascii="Times" w:hAnsi="Times" w:cs="Times"/>
          <w:color w:val="000000"/>
        </w:rPr>
        <w:t xml:space="preserve"> factor attribute</w:t>
      </w:r>
      <w:r>
        <w:rPr>
          <w:rFonts w:ascii="Times" w:hAnsi="Times" w:cs="Times"/>
          <w:color w:val="000000"/>
        </w:rPr>
        <w:t>d to this</w:t>
      </w:r>
      <w:r w:rsidR="00386548">
        <w:rPr>
          <w:rFonts w:ascii="Times" w:hAnsi="Times" w:cs="Times"/>
          <w:color w:val="000000"/>
        </w:rPr>
        <w:t xml:space="preserve">, </w:t>
      </w:r>
      <w:r w:rsidR="00623FD5">
        <w:rPr>
          <w:rFonts w:ascii="Times" w:hAnsi="Times" w:cs="Times"/>
          <w:color w:val="000000"/>
        </w:rPr>
        <w:t xml:space="preserve">dropping out is </w:t>
      </w:r>
      <w:r>
        <w:rPr>
          <w:rFonts w:ascii="Times" w:hAnsi="Times" w:cs="Times"/>
          <w:color w:val="000000"/>
        </w:rPr>
        <w:t xml:space="preserve">often </w:t>
      </w:r>
      <w:r w:rsidR="00623FD5">
        <w:rPr>
          <w:rFonts w:ascii="Times" w:hAnsi="Times" w:cs="Times"/>
          <w:color w:val="000000"/>
        </w:rPr>
        <w:t>the culminating event in a lon</w:t>
      </w:r>
      <w:r w:rsidR="00F308D7">
        <w:rPr>
          <w:rFonts w:ascii="Times" w:hAnsi="Times" w:cs="Times"/>
          <w:color w:val="000000"/>
        </w:rPr>
        <w:t xml:space="preserve">g-term disengagement </w:t>
      </w:r>
      <w:r w:rsidR="00623FD5">
        <w:rPr>
          <w:rFonts w:ascii="Times" w:hAnsi="Times" w:cs="Times"/>
          <w:color w:val="000000"/>
        </w:rPr>
        <w:t xml:space="preserve">(Plank, DeLuca, &amp; </w:t>
      </w:r>
      <w:proofErr w:type="spellStart"/>
      <w:r w:rsidR="00623FD5">
        <w:rPr>
          <w:rFonts w:ascii="Times" w:hAnsi="Times" w:cs="Times"/>
          <w:color w:val="000000"/>
        </w:rPr>
        <w:t>Estacion</w:t>
      </w:r>
      <w:proofErr w:type="spellEnd"/>
      <w:r w:rsidR="00623FD5">
        <w:rPr>
          <w:rFonts w:ascii="Times" w:hAnsi="Times" w:cs="Times"/>
          <w:color w:val="000000"/>
        </w:rPr>
        <w:t xml:space="preserve">, 2008; </w:t>
      </w:r>
      <w:proofErr w:type="spellStart"/>
      <w:r w:rsidR="00623FD5">
        <w:rPr>
          <w:rFonts w:ascii="Times" w:hAnsi="Times" w:cs="Times"/>
          <w:color w:val="000000"/>
        </w:rPr>
        <w:t>Reschly</w:t>
      </w:r>
      <w:proofErr w:type="spellEnd"/>
      <w:r w:rsidR="00623FD5">
        <w:rPr>
          <w:rFonts w:ascii="Times" w:hAnsi="Times" w:cs="Times"/>
          <w:color w:val="000000"/>
        </w:rPr>
        <w:t xml:space="preserve"> &amp; Christenson, 2012).</w:t>
      </w:r>
      <w:r>
        <w:rPr>
          <w:rFonts w:ascii="Times" w:hAnsi="Times" w:cs="Times"/>
          <w:color w:val="000000"/>
        </w:rPr>
        <w:t xml:space="preserve">  </w:t>
      </w:r>
      <w:r w:rsidR="00F0126E">
        <w:rPr>
          <w:rFonts w:ascii="Times" w:hAnsi="Times" w:cs="Times"/>
          <w:color w:val="000000"/>
        </w:rPr>
        <w:t>Because of the connection b</w:t>
      </w:r>
      <w:r>
        <w:rPr>
          <w:rFonts w:ascii="Times" w:hAnsi="Times" w:cs="Times"/>
          <w:color w:val="000000"/>
        </w:rPr>
        <w:t xml:space="preserve">etween student engagement </w:t>
      </w:r>
      <w:r w:rsidR="00F0126E">
        <w:rPr>
          <w:rFonts w:ascii="Times" w:hAnsi="Times" w:cs="Times"/>
          <w:color w:val="000000"/>
        </w:rPr>
        <w:t>and</w:t>
      </w:r>
      <w:r>
        <w:rPr>
          <w:rFonts w:ascii="Times" w:hAnsi="Times" w:cs="Times"/>
          <w:color w:val="000000"/>
        </w:rPr>
        <w:t xml:space="preserve"> the completion of high school</w:t>
      </w:r>
      <w:r w:rsidR="00F0126E">
        <w:rPr>
          <w:rFonts w:ascii="Times" w:hAnsi="Times" w:cs="Times"/>
          <w:color w:val="000000"/>
        </w:rPr>
        <w:t xml:space="preserve">, educational approaches that </w:t>
      </w:r>
      <w:r w:rsidR="00F308D7">
        <w:rPr>
          <w:rFonts w:ascii="Times" w:hAnsi="Times" w:cs="Times"/>
          <w:color w:val="000000"/>
        </w:rPr>
        <w:t>enhance student engagement</w:t>
      </w:r>
      <w:r w:rsidR="00F0126E">
        <w:rPr>
          <w:rFonts w:ascii="Times" w:hAnsi="Times" w:cs="Times"/>
          <w:color w:val="000000"/>
        </w:rPr>
        <w:t xml:space="preserve"> have the potential to increase high school graduation rates.</w:t>
      </w:r>
      <w:r w:rsidR="00F308D7">
        <w:rPr>
          <w:rFonts w:ascii="Times" w:hAnsi="Times" w:cs="Times"/>
          <w:color w:val="000000"/>
        </w:rPr>
        <w:t xml:space="preserve">  </w:t>
      </w:r>
      <w:r w:rsidR="00623FD5">
        <w:rPr>
          <w:rFonts w:ascii="Times" w:hAnsi="Times" w:cs="Times"/>
          <w:color w:val="000000"/>
        </w:rPr>
        <w:t xml:space="preserve">Because career academy programs promote student engagement, the potential exists </w:t>
      </w:r>
      <w:r w:rsidR="00F308D7">
        <w:rPr>
          <w:rFonts w:ascii="Times" w:hAnsi="Times" w:cs="Times"/>
          <w:color w:val="000000"/>
        </w:rPr>
        <w:t xml:space="preserve">to utilize career academies as a strategy to prevent students from dropping out.  Within this </w:t>
      </w:r>
      <w:r w:rsidR="00830A26">
        <w:rPr>
          <w:rFonts w:ascii="Times" w:hAnsi="Times" w:cs="Times"/>
          <w:color w:val="000000"/>
        </w:rPr>
        <w:t>Urban Agriculture</w:t>
      </w:r>
      <w:r w:rsidR="00F308D7">
        <w:rPr>
          <w:rFonts w:ascii="Times" w:hAnsi="Times" w:cs="Times"/>
          <w:color w:val="000000"/>
        </w:rPr>
        <w:t xml:space="preserve"> career academy program, additional research can highlight the influence participation in a career academy program has on high school graduation rates, school attendance rates, matriculation into </w:t>
      </w:r>
      <w:r w:rsidR="00830A26">
        <w:rPr>
          <w:rFonts w:ascii="Times" w:hAnsi="Times" w:cs="Times"/>
          <w:color w:val="000000"/>
        </w:rPr>
        <w:t xml:space="preserve">a postsecondary institution, and entrance into AFNR careers.   </w:t>
      </w:r>
    </w:p>
    <w:p w:rsidR="00841C44" w:rsidRPr="00DB3FF0" w:rsidRDefault="00841C44" w:rsidP="00DB3FF0">
      <w:pPr>
        <w:pStyle w:val="nospacing1"/>
        <w:spacing w:before="0" w:beforeAutospacing="0"/>
        <w:jc w:val="center"/>
        <w:rPr>
          <w:rFonts w:ascii="Arial" w:hAnsi="Arial" w:cs="Arial"/>
          <w:b/>
          <w:color w:val="000000"/>
          <w:sz w:val="27"/>
          <w:szCs w:val="27"/>
        </w:rPr>
      </w:pPr>
      <w:r w:rsidRPr="00DB3FF0">
        <w:rPr>
          <w:rFonts w:ascii="Times" w:hAnsi="Times" w:cs="Times"/>
          <w:b/>
          <w:color w:val="000000"/>
        </w:rPr>
        <w:lastRenderedPageBreak/>
        <w:t>References</w:t>
      </w:r>
    </w:p>
    <w:p w:rsidR="00DB3FF0" w:rsidRDefault="00DB3FF0" w:rsidP="00DB3FF0">
      <w:pPr>
        <w:spacing w:after="0" w:line="240" w:lineRule="auto"/>
        <w:ind w:left="720" w:hanging="720"/>
        <w:rPr>
          <w:rFonts w:ascii="Times New Roman" w:eastAsia="Cambria" w:hAnsi="Times New Roman" w:cs="Times New Roman"/>
          <w:sz w:val="24"/>
          <w:szCs w:val="24"/>
        </w:rPr>
      </w:pPr>
      <w:proofErr w:type="gramStart"/>
      <w:r w:rsidRPr="009416EA">
        <w:rPr>
          <w:rFonts w:ascii="Times New Roman" w:eastAsia="Cambria" w:hAnsi="Times New Roman" w:cs="Times New Roman"/>
          <w:sz w:val="24"/>
          <w:szCs w:val="24"/>
        </w:rPr>
        <w:t xml:space="preserve">Appleton, J., Christenson, S., Kim, D., &amp; </w:t>
      </w:r>
      <w:proofErr w:type="spellStart"/>
      <w:r w:rsidRPr="009416EA">
        <w:rPr>
          <w:rFonts w:ascii="Times New Roman" w:eastAsia="Cambria" w:hAnsi="Times New Roman" w:cs="Times New Roman"/>
          <w:sz w:val="24"/>
          <w:szCs w:val="24"/>
        </w:rPr>
        <w:t>Reschly</w:t>
      </w:r>
      <w:proofErr w:type="spellEnd"/>
      <w:r w:rsidRPr="009416EA">
        <w:rPr>
          <w:rFonts w:ascii="Times New Roman" w:eastAsia="Cambria" w:hAnsi="Times New Roman" w:cs="Times New Roman"/>
          <w:sz w:val="24"/>
          <w:szCs w:val="24"/>
        </w:rPr>
        <w:t>, A. (2006).</w:t>
      </w:r>
      <w:proofErr w:type="gramEnd"/>
      <w:r w:rsidRPr="009416EA">
        <w:rPr>
          <w:rFonts w:ascii="Times New Roman" w:eastAsia="Cambria" w:hAnsi="Times New Roman" w:cs="Times New Roman"/>
          <w:sz w:val="24"/>
          <w:szCs w:val="24"/>
        </w:rPr>
        <w:t xml:space="preserve"> </w:t>
      </w:r>
      <w:proofErr w:type="gramStart"/>
      <w:r w:rsidRPr="009416EA">
        <w:rPr>
          <w:rFonts w:ascii="Times New Roman" w:eastAsia="Cambria" w:hAnsi="Times New Roman" w:cs="Times New Roman"/>
          <w:sz w:val="24"/>
          <w:szCs w:val="24"/>
        </w:rPr>
        <w:t>Measuring cognitive and psychological engagement: Validation of the Student Engagement Instrument.</w:t>
      </w:r>
      <w:proofErr w:type="gramEnd"/>
      <w:r w:rsidRPr="009416EA">
        <w:rPr>
          <w:rFonts w:ascii="Times New Roman" w:eastAsia="Cambria" w:hAnsi="Times New Roman" w:cs="Times New Roman"/>
          <w:sz w:val="24"/>
          <w:szCs w:val="24"/>
        </w:rPr>
        <w:t xml:space="preserve"> </w:t>
      </w:r>
      <w:r w:rsidRPr="009416EA">
        <w:rPr>
          <w:rFonts w:ascii="Times New Roman" w:eastAsia="Cambria" w:hAnsi="Times New Roman" w:cs="Times New Roman"/>
          <w:i/>
          <w:sz w:val="24"/>
          <w:szCs w:val="24"/>
        </w:rPr>
        <w:t>Journal of School Psychology, 44</w:t>
      </w:r>
      <w:r w:rsidRPr="009416EA">
        <w:rPr>
          <w:rFonts w:ascii="Times New Roman" w:eastAsia="Cambria" w:hAnsi="Times New Roman" w:cs="Times New Roman"/>
          <w:sz w:val="24"/>
          <w:szCs w:val="24"/>
        </w:rPr>
        <w:t>(5), 427-445.</w:t>
      </w:r>
    </w:p>
    <w:p w:rsidR="00DB3FF0" w:rsidRDefault="00DB3FF0" w:rsidP="00DB3FF0">
      <w:pPr>
        <w:spacing w:after="0" w:line="240" w:lineRule="auto"/>
        <w:ind w:left="720" w:hanging="720"/>
        <w:rPr>
          <w:rFonts w:ascii="Times New Roman" w:eastAsia="Cambria" w:hAnsi="Times New Roman" w:cs="Times New Roman"/>
          <w:sz w:val="24"/>
          <w:szCs w:val="24"/>
        </w:rPr>
      </w:pPr>
    </w:p>
    <w:p w:rsidR="00DB3FF0" w:rsidRDefault="00DB3FF0" w:rsidP="00DB3FF0">
      <w:pPr>
        <w:spacing w:after="0" w:line="240" w:lineRule="auto"/>
        <w:ind w:left="720" w:hanging="720"/>
        <w:rPr>
          <w:rFonts w:ascii="Times New Roman" w:eastAsia="Cambria" w:hAnsi="Times New Roman" w:cs="Times New Roman"/>
          <w:sz w:val="24"/>
          <w:szCs w:val="24"/>
        </w:rPr>
      </w:pPr>
      <w:proofErr w:type="gramStart"/>
      <w:r w:rsidRPr="009416EA">
        <w:rPr>
          <w:rFonts w:ascii="Times New Roman" w:eastAsia="Cambria" w:hAnsi="Times New Roman" w:cs="Times New Roman"/>
          <w:sz w:val="24"/>
          <w:szCs w:val="24"/>
        </w:rPr>
        <w:t xml:space="preserve">Dixon, M., </w:t>
      </w:r>
      <w:proofErr w:type="spellStart"/>
      <w:r w:rsidRPr="009416EA">
        <w:rPr>
          <w:rFonts w:ascii="Times New Roman" w:eastAsia="Cambria" w:hAnsi="Times New Roman" w:cs="Times New Roman"/>
          <w:sz w:val="24"/>
          <w:szCs w:val="24"/>
        </w:rPr>
        <w:t>Cotner</w:t>
      </w:r>
      <w:proofErr w:type="spellEnd"/>
      <w:r w:rsidRPr="009416EA">
        <w:rPr>
          <w:rFonts w:ascii="Times New Roman" w:eastAsia="Cambria" w:hAnsi="Times New Roman" w:cs="Times New Roman"/>
          <w:sz w:val="24"/>
          <w:szCs w:val="24"/>
        </w:rPr>
        <w:t xml:space="preserve">, B., Wilson, T., &amp; </w:t>
      </w:r>
      <w:proofErr w:type="spellStart"/>
      <w:r w:rsidRPr="009416EA">
        <w:rPr>
          <w:rFonts w:ascii="Times New Roman" w:eastAsia="Cambria" w:hAnsi="Times New Roman" w:cs="Times New Roman"/>
          <w:sz w:val="24"/>
          <w:szCs w:val="24"/>
        </w:rPr>
        <w:t>Borman</w:t>
      </w:r>
      <w:proofErr w:type="spellEnd"/>
      <w:r w:rsidRPr="009416EA">
        <w:rPr>
          <w:rFonts w:ascii="Times New Roman" w:eastAsia="Cambria" w:hAnsi="Times New Roman" w:cs="Times New Roman"/>
          <w:sz w:val="24"/>
          <w:szCs w:val="24"/>
        </w:rPr>
        <w:t>, K. (2011).</w:t>
      </w:r>
      <w:proofErr w:type="gramEnd"/>
      <w:r w:rsidRPr="009416EA">
        <w:rPr>
          <w:rFonts w:ascii="Times New Roman" w:eastAsia="Cambria" w:hAnsi="Times New Roman" w:cs="Times New Roman"/>
          <w:sz w:val="24"/>
          <w:szCs w:val="24"/>
        </w:rPr>
        <w:t xml:space="preserve"> </w:t>
      </w:r>
      <w:proofErr w:type="gramStart"/>
      <w:r w:rsidRPr="009416EA">
        <w:rPr>
          <w:rFonts w:ascii="Times New Roman" w:eastAsia="Cambria" w:hAnsi="Times New Roman" w:cs="Times New Roman"/>
          <w:sz w:val="24"/>
          <w:szCs w:val="24"/>
        </w:rPr>
        <w:t>Implementing career academies in Florida: A case study approach to understanding successes and obstacles.</w:t>
      </w:r>
      <w:proofErr w:type="gramEnd"/>
      <w:r w:rsidRPr="009416EA">
        <w:rPr>
          <w:rFonts w:ascii="Times New Roman" w:eastAsia="Cambria" w:hAnsi="Times New Roman" w:cs="Times New Roman"/>
          <w:sz w:val="24"/>
          <w:szCs w:val="24"/>
        </w:rPr>
        <w:t xml:space="preserve"> </w:t>
      </w:r>
      <w:r w:rsidRPr="009416EA">
        <w:rPr>
          <w:rFonts w:ascii="Times New Roman" w:eastAsia="Cambria" w:hAnsi="Times New Roman" w:cs="Times New Roman"/>
          <w:i/>
          <w:sz w:val="24"/>
          <w:szCs w:val="24"/>
        </w:rPr>
        <w:t>Career and Technical Education Research, 36</w:t>
      </w:r>
      <w:r w:rsidRPr="009416EA">
        <w:rPr>
          <w:rFonts w:ascii="Times New Roman" w:eastAsia="Cambria" w:hAnsi="Times New Roman" w:cs="Times New Roman"/>
          <w:sz w:val="24"/>
          <w:szCs w:val="24"/>
        </w:rPr>
        <w:t xml:space="preserve">(3), 207-227. </w:t>
      </w:r>
      <w:proofErr w:type="spellStart"/>
      <w:proofErr w:type="gramStart"/>
      <w:r w:rsidRPr="009416EA">
        <w:rPr>
          <w:rFonts w:ascii="Times New Roman" w:eastAsia="Cambria" w:hAnsi="Times New Roman" w:cs="Times New Roman"/>
          <w:sz w:val="24"/>
          <w:szCs w:val="24"/>
        </w:rPr>
        <w:t>doi</w:t>
      </w:r>
      <w:proofErr w:type="spellEnd"/>
      <w:proofErr w:type="gramEnd"/>
      <w:r w:rsidRPr="009416EA">
        <w:rPr>
          <w:rFonts w:ascii="Times New Roman" w:eastAsia="Cambria" w:hAnsi="Times New Roman" w:cs="Times New Roman"/>
          <w:sz w:val="24"/>
          <w:szCs w:val="24"/>
        </w:rPr>
        <w:t>: 10.5328/cter36.3.207</w:t>
      </w:r>
    </w:p>
    <w:p w:rsidR="00364C52" w:rsidRPr="009416EA" w:rsidRDefault="00364C52" w:rsidP="00DB3FF0">
      <w:pPr>
        <w:spacing w:after="0" w:line="240" w:lineRule="auto"/>
        <w:ind w:left="720" w:hanging="720"/>
        <w:rPr>
          <w:rFonts w:ascii="Times New Roman" w:eastAsia="Cambria" w:hAnsi="Times New Roman" w:cs="Times New Roman"/>
          <w:sz w:val="24"/>
          <w:szCs w:val="24"/>
        </w:rPr>
      </w:pPr>
    </w:p>
    <w:p w:rsidR="00DB3FF0" w:rsidRDefault="00364C52" w:rsidP="00DB3FF0">
      <w:pPr>
        <w:spacing w:after="0" w:line="240" w:lineRule="auto"/>
        <w:ind w:left="720" w:hanging="720"/>
        <w:rPr>
          <w:rFonts w:ascii="Times New Roman" w:eastAsia="Cambria" w:hAnsi="Times New Roman" w:cs="Times New Roman"/>
          <w:sz w:val="24"/>
          <w:szCs w:val="24"/>
        </w:rPr>
      </w:pPr>
      <w:proofErr w:type="spellStart"/>
      <w:proofErr w:type="gramStart"/>
      <w:r w:rsidRPr="00364C52">
        <w:rPr>
          <w:rFonts w:ascii="Times New Roman" w:eastAsia="Cambria" w:hAnsi="Times New Roman" w:cs="Times New Roman"/>
          <w:sz w:val="24"/>
          <w:szCs w:val="24"/>
        </w:rPr>
        <w:t>Doerfert</w:t>
      </w:r>
      <w:proofErr w:type="spellEnd"/>
      <w:r w:rsidRPr="00364C52">
        <w:rPr>
          <w:rFonts w:ascii="Times New Roman" w:eastAsia="Cambria" w:hAnsi="Times New Roman" w:cs="Times New Roman"/>
          <w:sz w:val="24"/>
          <w:szCs w:val="24"/>
        </w:rPr>
        <w:t>, D. L. (Ed.) (2011).</w:t>
      </w:r>
      <w:proofErr w:type="gramEnd"/>
      <w:r w:rsidRPr="00364C52">
        <w:rPr>
          <w:rFonts w:ascii="Times New Roman" w:eastAsia="Cambria" w:hAnsi="Times New Roman" w:cs="Times New Roman"/>
          <w:sz w:val="24"/>
          <w:szCs w:val="24"/>
        </w:rPr>
        <w:t xml:space="preserve"> </w:t>
      </w:r>
      <w:r w:rsidRPr="00364C52">
        <w:rPr>
          <w:rFonts w:ascii="Times New Roman" w:eastAsia="Cambria" w:hAnsi="Times New Roman" w:cs="Times New Roman"/>
          <w:i/>
          <w:iCs/>
          <w:sz w:val="24"/>
          <w:szCs w:val="24"/>
        </w:rPr>
        <w:t xml:space="preserve">National research agenda: American Association for Agricultural </w:t>
      </w:r>
      <w:proofErr w:type="spellStart"/>
      <w:r w:rsidRPr="00364C52">
        <w:rPr>
          <w:rFonts w:ascii="Times New Roman" w:eastAsia="Cambria" w:hAnsi="Times New Roman" w:cs="Times New Roman"/>
          <w:i/>
          <w:iCs/>
          <w:sz w:val="24"/>
          <w:szCs w:val="24"/>
        </w:rPr>
        <w:t>Eductaion’s</w:t>
      </w:r>
      <w:proofErr w:type="spellEnd"/>
      <w:r w:rsidRPr="00364C52">
        <w:rPr>
          <w:rFonts w:ascii="Times New Roman" w:eastAsia="Cambria" w:hAnsi="Times New Roman" w:cs="Times New Roman"/>
          <w:i/>
          <w:iCs/>
          <w:sz w:val="24"/>
          <w:szCs w:val="24"/>
        </w:rPr>
        <w:t xml:space="preserve"> research priority areas for 2011-2015</w:t>
      </w:r>
      <w:r w:rsidRPr="00364C52">
        <w:rPr>
          <w:rFonts w:ascii="Times New Roman" w:eastAsia="Cambria" w:hAnsi="Times New Roman" w:cs="Times New Roman"/>
          <w:sz w:val="24"/>
          <w:szCs w:val="24"/>
        </w:rPr>
        <w:t>. Lubbock, TX: Texas Tech University, Department of Agricultural Education and Communications.</w:t>
      </w:r>
    </w:p>
    <w:p w:rsidR="00364C52" w:rsidRDefault="00364C52" w:rsidP="00DB3FF0">
      <w:pPr>
        <w:spacing w:after="0" w:line="240" w:lineRule="auto"/>
        <w:ind w:left="720" w:hanging="720"/>
        <w:rPr>
          <w:rFonts w:ascii="Times New Roman" w:eastAsia="Cambria" w:hAnsi="Times New Roman" w:cs="Times New Roman"/>
          <w:sz w:val="24"/>
          <w:szCs w:val="24"/>
        </w:rPr>
      </w:pPr>
    </w:p>
    <w:p w:rsidR="00DB3FF0" w:rsidRPr="009416EA" w:rsidRDefault="00DB3FF0" w:rsidP="00DB3FF0">
      <w:pPr>
        <w:spacing w:after="0" w:line="240" w:lineRule="auto"/>
        <w:ind w:left="720" w:hanging="720"/>
        <w:rPr>
          <w:rFonts w:ascii="Times New Roman" w:eastAsia="Cambria" w:hAnsi="Times New Roman" w:cs="Times New Roman"/>
          <w:sz w:val="24"/>
          <w:szCs w:val="24"/>
        </w:rPr>
      </w:pPr>
      <w:proofErr w:type="gramStart"/>
      <w:r w:rsidRPr="009416EA">
        <w:rPr>
          <w:rFonts w:ascii="Times New Roman" w:eastAsia="Cambria" w:hAnsi="Times New Roman" w:cs="Times New Roman"/>
          <w:sz w:val="24"/>
          <w:szCs w:val="24"/>
        </w:rPr>
        <w:t>Finn, J. &amp; Zimmer, K. (2012).</w:t>
      </w:r>
      <w:proofErr w:type="gramEnd"/>
      <w:r w:rsidRPr="009416EA">
        <w:rPr>
          <w:rFonts w:ascii="Times New Roman" w:eastAsia="Cambria" w:hAnsi="Times New Roman" w:cs="Times New Roman"/>
          <w:sz w:val="24"/>
          <w:szCs w:val="24"/>
        </w:rPr>
        <w:t xml:space="preserve"> Student engagement: What is it? Why does it matter? In S.L. Christenson, A.L. </w:t>
      </w:r>
      <w:proofErr w:type="spellStart"/>
      <w:r w:rsidRPr="009416EA">
        <w:rPr>
          <w:rFonts w:ascii="Times New Roman" w:eastAsia="Cambria" w:hAnsi="Times New Roman" w:cs="Times New Roman"/>
          <w:sz w:val="24"/>
          <w:szCs w:val="24"/>
        </w:rPr>
        <w:t>Reschly</w:t>
      </w:r>
      <w:proofErr w:type="spellEnd"/>
      <w:r w:rsidRPr="009416EA">
        <w:rPr>
          <w:rFonts w:ascii="Times New Roman" w:eastAsia="Cambria" w:hAnsi="Times New Roman" w:cs="Times New Roman"/>
          <w:sz w:val="24"/>
          <w:szCs w:val="24"/>
        </w:rPr>
        <w:t xml:space="preserve">, &amp; C. Wylie (Eds.), </w:t>
      </w:r>
      <w:r w:rsidRPr="009416EA">
        <w:rPr>
          <w:rFonts w:ascii="Times New Roman" w:eastAsia="Cambria" w:hAnsi="Times New Roman" w:cs="Times New Roman"/>
          <w:i/>
          <w:sz w:val="24"/>
          <w:szCs w:val="24"/>
        </w:rPr>
        <w:t xml:space="preserve">Handbook of research on student engagement </w:t>
      </w:r>
      <w:r w:rsidRPr="009416EA">
        <w:rPr>
          <w:rFonts w:ascii="Times New Roman" w:eastAsia="Cambria" w:hAnsi="Times New Roman" w:cs="Times New Roman"/>
          <w:sz w:val="24"/>
          <w:szCs w:val="24"/>
        </w:rPr>
        <w:t>(pp. 97-131). New York, NY: Springer.</w:t>
      </w:r>
    </w:p>
    <w:p w:rsidR="00DB3FF0" w:rsidRDefault="00DB3FF0" w:rsidP="00DB3FF0">
      <w:pPr>
        <w:spacing w:after="0" w:line="240" w:lineRule="auto"/>
        <w:ind w:left="720" w:hanging="720"/>
        <w:rPr>
          <w:rFonts w:ascii="Times New Roman" w:eastAsia="Cambria" w:hAnsi="Times New Roman" w:cs="Times New Roman"/>
          <w:sz w:val="24"/>
          <w:szCs w:val="24"/>
        </w:rPr>
      </w:pPr>
    </w:p>
    <w:p w:rsidR="00DB3FF0" w:rsidRPr="009416EA" w:rsidRDefault="00DB3FF0" w:rsidP="00DB3FF0">
      <w:pPr>
        <w:spacing w:after="0" w:line="240" w:lineRule="auto"/>
        <w:ind w:left="720" w:hanging="720"/>
        <w:rPr>
          <w:rFonts w:ascii="Times New Roman" w:eastAsia="Cambria" w:hAnsi="Times New Roman" w:cs="Times New Roman"/>
          <w:sz w:val="24"/>
          <w:szCs w:val="24"/>
          <w:lang w:val="en"/>
        </w:rPr>
      </w:pPr>
      <w:proofErr w:type="spellStart"/>
      <w:proofErr w:type="gramStart"/>
      <w:r w:rsidRPr="009416EA">
        <w:rPr>
          <w:rFonts w:ascii="Times New Roman" w:eastAsia="Cambria" w:hAnsi="Times New Roman" w:cs="Times New Roman"/>
          <w:sz w:val="24"/>
          <w:szCs w:val="24"/>
        </w:rPr>
        <w:t>Klem</w:t>
      </w:r>
      <w:proofErr w:type="spellEnd"/>
      <w:r w:rsidRPr="009416EA">
        <w:rPr>
          <w:rFonts w:ascii="Times New Roman" w:eastAsia="Cambria" w:hAnsi="Times New Roman" w:cs="Times New Roman"/>
          <w:sz w:val="24"/>
          <w:szCs w:val="24"/>
        </w:rPr>
        <w:t>, A. &amp; Connell, J. (2004).</w:t>
      </w:r>
      <w:proofErr w:type="gramEnd"/>
      <w:r w:rsidRPr="009416EA">
        <w:rPr>
          <w:rFonts w:ascii="Times New Roman" w:eastAsia="Cambria" w:hAnsi="Times New Roman" w:cs="Times New Roman"/>
          <w:sz w:val="24"/>
          <w:szCs w:val="24"/>
        </w:rPr>
        <w:t xml:space="preserve"> Relationship matter: Linking teacher support to student engagement and achievement. </w:t>
      </w:r>
      <w:r w:rsidRPr="009416EA">
        <w:rPr>
          <w:rFonts w:ascii="Times New Roman" w:eastAsia="Cambria" w:hAnsi="Times New Roman" w:cs="Times New Roman"/>
          <w:i/>
          <w:sz w:val="24"/>
          <w:szCs w:val="24"/>
        </w:rPr>
        <w:t>Journal of School Health, 74</w:t>
      </w:r>
      <w:r w:rsidRPr="009416EA">
        <w:rPr>
          <w:rFonts w:ascii="Times New Roman" w:eastAsia="Cambria" w:hAnsi="Times New Roman" w:cs="Times New Roman"/>
          <w:sz w:val="24"/>
          <w:szCs w:val="24"/>
        </w:rPr>
        <w:t xml:space="preserve">(7), 262-273. </w:t>
      </w:r>
      <w:proofErr w:type="spellStart"/>
      <w:proofErr w:type="gramStart"/>
      <w:r w:rsidRPr="009416EA">
        <w:rPr>
          <w:rFonts w:ascii="Times New Roman" w:eastAsia="Cambria" w:hAnsi="Times New Roman" w:cs="Times New Roman"/>
          <w:sz w:val="24"/>
          <w:szCs w:val="24"/>
        </w:rPr>
        <w:t>doi</w:t>
      </w:r>
      <w:proofErr w:type="spellEnd"/>
      <w:proofErr w:type="gramEnd"/>
      <w:r w:rsidRPr="009416EA">
        <w:rPr>
          <w:rFonts w:ascii="Times New Roman" w:eastAsia="Cambria" w:hAnsi="Times New Roman" w:cs="Times New Roman"/>
          <w:sz w:val="24"/>
          <w:szCs w:val="24"/>
        </w:rPr>
        <w:t xml:space="preserve">: </w:t>
      </w:r>
      <w:r w:rsidRPr="009416EA">
        <w:rPr>
          <w:rFonts w:ascii="Times New Roman" w:eastAsia="Cambria" w:hAnsi="Times New Roman" w:cs="Times New Roman"/>
          <w:sz w:val="24"/>
          <w:szCs w:val="24"/>
          <w:lang w:val="en"/>
        </w:rPr>
        <w:t>10.1111/j.1746-1561.2004.tb08283.x</w:t>
      </w:r>
    </w:p>
    <w:p w:rsidR="00DB3FF0" w:rsidRDefault="00DB3FF0" w:rsidP="00DB3FF0">
      <w:pPr>
        <w:spacing w:after="0" w:line="240" w:lineRule="auto"/>
        <w:rPr>
          <w:rFonts w:ascii="Times New Roman" w:eastAsia="Cambria" w:hAnsi="Times New Roman" w:cs="Times New Roman"/>
          <w:sz w:val="24"/>
          <w:szCs w:val="24"/>
        </w:rPr>
      </w:pPr>
    </w:p>
    <w:p w:rsidR="00DB3FF0" w:rsidRDefault="00DB3FF0" w:rsidP="00DB3FF0">
      <w:pPr>
        <w:spacing w:after="0" w:line="240" w:lineRule="auto"/>
        <w:ind w:left="720" w:hanging="720"/>
        <w:rPr>
          <w:rFonts w:ascii="Times New Roman" w:eastAsia="Cambria" w:hAnsi="Times New Roman" w:cs="Times New Roman"/>
          <w:sz w:val="24"/>
          <w:szCs w:val="24"/>
        </w:rPr>
      </w:pPr>
      <w:proofErr w:type="spellStart"/>
      <w:proofErr w:type="gramStart"/>
      <w:r w:rsidRPr="009416EA">
        <w:rPr>
          <w:rFonts w:ascii="Times New Roman" w:eastAsia="Cambria" w:hAnsi="Times New Roman" w:cs="Times New Roman"/>
          <w:sz w:val="24"/>
          <w:szCs w:val="24"/>
        </w:rPr>
        <w:t>Kemple</w:t>
      </w:r>
      <w:proofErr w:type="spellEnd"/>
      <w:r w:rsidRPr="009416EA">
        <w:rPr>
          <w:rFonts w:ascii="Times New Roman" w:eastAsia="Cambria" w:hAnsi="Times New Roman" w:cs="Times New Roman"/>
          <w:sz w:val="24"/>
          <w:szCs w:val="24"/>
        </w:rPr>
        <w:t>, J. &amp; Snipes, J. (2000).</w:t>
      </w:r>
      <w:proofErr w:type="gramEnd"/>
      <w:r w:rsidRPr="009416EA">
        <w:rPr>
          <w:rFonts w:ascii="Times New Roman" w:eastAsia="Cambria" w:hAnsi="Times New Roman" w:cs="Times New Roman"/>
          <w:sz w:val="24"/>
          <w:szCs w:val="24"/>
        </w:rPr>
        <w:t xml:space="preserve"> </w:t>
      </w:r>
      <w:r w:rsidRPr="009416EA">
        <w:rPr>
          <w:rFonts w:ascii="Times New Roman" w:eastAsia="Cambria" w:hAnsi="Times New Roman" w:cs="Times New Roman"/>
          <w:i/>
          <w:sz w:val="24"/>
          <w:szCs w:val="24"/>
        </w:rPr>
        <w:t xml:space="preserve">Career academies: Impacts on students’ </w:t>
      </w:r>
      <w:r w:rsidR="00B83D39" w:rsidRPr="009416EA">
        <w:rPr>
          <w:rFonts w:ascii="Times New Roman" w:eastAsia="Cambria" w:hAnsi="Times New Roman" w:cs="Times New Roman"/>
          <w:i/>
          <w:sz w:val="24"/>
          <w:szCs w:val="24"/>
        </w:rPr>
        <w:t>engagement</w:t>
      </w:r>
      <w:r w:rsidRPr="009416EA">
        <w:rPr>
          <w:rFonts w:ascii="Times New Roman" w:eastAsia="Cambria" w:hAnsi="Times New Roman" w:cs="Times New Roman"/>
          <w:i/>
          <w:sz w:val="24"/>
          <w:szCs w:val="24"/>
        </w:rPr>
        <w:t xml:space="preserve"> and performance in high school</w:t>
      </w:r>
      <w:r w:rsidRPr="009416EA">
        <w:rPr>
          <w:rFonts w:ascii="Times New Roman" w:eastAsia="Cambria" w:hAnsi="Times New Roman" w:cs="Times New Roman"/>
          <w:sz w:val="24"/>
          <w:szCs w:val="24"/>
        </w:rPr>
        <w:t>. New York, NY: Manpower Demonstration Research Corporation (MDRC).</w:t>
      </w:r>
    </w:p>
    <w:p w:rsidR="00DB3FF0" w:rsidRPr="009416EA" w:rsidRDefault="00DB3FF0" w:rsidP="00DB3FF0">
      <w:pPr>
        <w:spacing w:after="0" w:line="240" w:lineRule="auto"/>
        <w:ind w:left="720" w:hanging="720"/>
        <w:rPr>
          <w:rFonts w:ascii="Times New Roman" w:eastAsia="Cambria" w:hAnsi="Times New Roman" w:cs="Times New Roman"/>
          <w:sz w:val="24"/>
          <w:szCs w:val="24"/>
        </w:rPr>
      </w:pPr>
    </w:p>
    <w:p w:rsidR="00DB3FF0" w:rsidRPr="009416EA" w:rsidRDefault="00DB3FF0" w:rsidP="00DB3FF0">
      <w:pPr>
        <w:spacing w:after="0" w:line="240" w:lineRule="auto"/>
        <w:ind w:left="720" w:hanging="720"/>
        <w:rPr>
          <w:rFonts w:ascii="Times New Roman" w:eastAsia="Cambria" w:hAnsi="Times New Roman" w:cs="Times New Roman"/>
          <w:sz w:val="24"/>
          <w:szCs w:val="24"/>
          <w:lang w:val="en"/>
        </w:rPr>
      </w:pPr>
      <w:proofErr w:type="gramStart"/>
      <w:r w:rsidRPr="009416EA">
        <w:rPr>
          <w:rFonts w:ascii="Times New Roman" w:eastAsia="Cambria" w:hAnsi="Times New Roman" w:cs="Times New Roman"/>
          <w:sz w:val="24"/>
          <w:szCs w:val="24"/>
          <w:lang w:val="en"/>
        </w:rPr>
        <w:t>Lawson, M., &amp; Lawson, H. (2013).</w:t>
      </w:r>
      <w:proofErr w:type="gramEnd"/>
      <w:r w:rsidRPr="009416EA">
        <w:rPr>
          <w:rFonts w:ascii="Times New Roman" w:eastAsia="Cambria" w:hAnsi="Times New Roman" w:cs="Times New Roman"/>
          <w:sz w:val="24"/>
          <w:szCs w:val="24"/>
          <w:lang w:val="en"/>
        </w:rPr>
        <w:t xml:space="preserve"> </w:t>
      </w:r>
      <w:proofErr w:type="gramStart"/>
      <w:r w:rsidRPr="009416EA">
        <w:rPr>
          <w:rFonts w:ascii="Times New Roman" w:eastAsia="Cambria" w:hAnsi="Times New Roman" w:cs="Times New Roman"/>
          <w:sz w:val="24"/>
          <w:szCs w:val="24"/>
          <w:lang w:val="en"/>
        </w:rPr>
        <w:t>New conceptual frameworks for student engagement research, policy, and practice.</w:t>
      </w:r>
      <w:proofErr w:type="gramEnd"/>
      <w:r w:rsidRPr="009416EA">
        <w:rPr>
          <w:rFonts w:ascii="Times New Roman" w:eastAsia="Cambria" w:hAnsi="Times New Roman" w:cs="Times New Roman"/>
          <w:sz w:val="24"/>
          <w:szCs w:val="24"/>
          <w:lang w:val="en"/>
        </w:rPr>
        <w:t xml:space="preserve"> </w:t>
      </w:r>
      <w:r w:rsidRPr="009416EA">
        <w:rPr>
          <w:rFonts w:ascii="Times New Roman" w:eastAsia="Cambria" w:hAnsi="Times New Roman" w:cs="Times New Roman"/>
          <w:i/>
          <w:sz w:val="24"/>
          <w:szCs w:val="24"/>
          <w:lang w:val="en"/>
        </w:rPr>
        <w:t>Review of Educational Research, 83</w:t>
      </w:r>
      <w:r w:rsidRPr="009416EA">
        <w:rPr>
          <w:rFonts w:ascii="Times New Roman" w:eastAsia="Cambria" w:hAnsi="Times New Roman" w:cs="Times New Roman"/>
          <w:sz w:val="24"/>
          <w:szCs w:val="24"/>
          <w:lang w:val="en"/>
        </w:rPr>
        <w:t xml:space="preserve">(3), 432-479. </w:t>
      </w:r>
      <w:proofErr w:type="spellStart"/>
      <w:proofErr w:type="gramStart"/>
      <w:r w:rsidRPr="009416EA">
        <w:rPr>
          <w:rFonts w:ascii="Times New Roman" w:eastAsia="Cambria" w:hAnsi="Times New Roman" w:cs="Times New Roman"/>
          <w:sz w:val="24"/>
          <w:szCs w:val="24"/>
          <w:lang w:val="en"/>
        </w:rPr>
        <w:t>doi</w:t>
      </w:r>
      <w:proofErr w:type="spellEnd"/>
      <w:proofErr w:type="gramEnd"/>
      <w:r w:rsidRPr="009416EA">
        <w:rPr>
          <w:rFonts w:ascii="Times New Roman" w:eastAsia="Cambria" w:hAnsi="Times New Roman" w:cs="Times New Roman"/>
          <w:sz w:val="24"/>
          <w:szCs w:val="24"/>
          <w:lang w:val="en"/>
        </w:rPr>
        <w:t>: 10.3101/0034654313480891</w:t>
      </w:r>
    </w:p>
    <w:p w:rsidR="00DB3FF0" w:rsidRDefault="00DB3FF0" w:rsidP="00DB3FF0">
      <w:pPr>
        <w:spacing w:after="0" w:line="240" w:lineRule="auto"/>
        <w:ind w:left="720" w:hanging="720"/>
        <w:rPr>
          <w:rFonts w:ascii="Times New Roman" w:eastAsia="Cambria" w:hAnsi="Times New Roman" w:cs="Times New Roman"/>
          <w:sz w:val="24"/>
          <w:szCs w:val="24"/>
        </w:rPr>
      </w:pPr>
    </w:p>
    <w:p w:rsidR="00DB3FF0" w:rsidRDefault="00DB3FF0" w:rsidP="00DB3FF0">
      <w:pPr>
        <w:spacing w:after="0" w:line="240" w:lineRule="auto"/>
        <w:ind w:left="720" w:hanging="720"/>
        <w:rPr>
          <w:rFonts w:ascii="Times New Roman" w:eastAsia="Cambria" w:hAnsi="Times New Roman" w:cs="Times New Roman"/>
          <w:sz w:val="24"/>
          <w:szCs w:val="24"/>
        </w:rPr>
      </w:pPr>
      <w:proofErr w:type="gramStart"/>
      <w:r w:rsidRPr="009416EA">
        <w:rPr>
          <w:rFonts w:ascii="Times New Roman" w:eastAsia="Cambria" w:hAnsi="Times New Roman" w:cs="Times New Roman"/>
          <w:sz w:val="24"/>
          <w:szCs w:val="24"/>
        </w:rPr>
        <w:t>Orr, M. (2005).</w:t>
      </w:r>
      <w:proofErr w:type="gramEnd"/>
      <w:r w:rsidRPr="009416EA">
        <w:rPr>
          <w:rFonts w:ascii="Times New Roman" w:eastAsia="Cambria" w:hAnsi="Times New Roman" w:cs="Times New Roman"/>
          <w:sz w:val="24"/>
          <w:szCs w:val="24"/>
        </w:rPr>
        <w:t xml:space="preserve"> Career academies as a professionally engaging and supportive teaching experience. </w:t>
      </w:r>
      <w:r w:rsidRPr="009416EA">
        <w:rPr>
          <w:rFonts w:ascii="Times New Roman" w:eastAsia="Cambria" w:hAnsi="Times New Roman" w:cs="Times New Roman"/>
          <w:i/>
          <w:sz w:val="24"/>
          <w:szCs w:val="24"/>
        </w:rPr>
        <w:t>Education and Urban Society, 37</w:t>
      </w:r>
      <w:r w:rsidRPr="009416EA">
        <w:rPr>
          <w:rFonts w:ascii="Times New Roman" w:eastAsia="Cambria" w:hAnsi="Times New Roman" w:cs="Times New Roman"/>
          <w:sz w:val="24"/>
          <w:szCs w:val="24"/>
        </w:rPr>
        <w:t>(4), 453-489.</w:t>
      </w:r>
    </w:p>
    <w:p w:rsidR="00DB3FF0" w:rsidRPr="009416EA" w:rsidRDefault="00DB3FF0" w:rsidP="00DB3FF0">
      <w:pPr>
        <w:spacing w:after="0" w:line="240" w:lineRule="auto"/>
        <w:ind w:left="720" w:hanging="720"/>
        <w:rPr>
          <w:rFonts w:ascii="Times New Roman" w:eastAsia="Cambria" w:hAnsi="Times New Roman" w:cs="Times New Roman"/>
          <w:sz w:val="24"/>
          <w:szCs w:val="24"/>
        </w:rPr>
      </w:pPr>
    </w:p>
    <w:p w:rsidR="00DB3FF0" w:rsidRPr="008601A2" w:rsidRDefault="00DB3FF0" w:rsidP="00DB3FF0">
      <w:pPr>
        <w:spacing w:after="0" w:line="240" w:lineRule="auto"/>
        <w:ind w:left="720" w:hanging="720"/>
        <w:rPr>
          <w:rFonts w:ascii="Times New Roman" w:eastAsia="Cambria" w:hAnsi="Times New Roman" w:cs="Times New Roman"/>
          <w:sz w:val="24"/>
          <w:szCs w:val="24"/>
        </w:rPr>
      </w:pPr>
      <w:r w:rsidRPr="008601A2">
        <w:rPr>
          <w:rFonts w:ascii="Times New Roman" w:eastAsia="Cambria" w:hAnsi="Times New Roman" w:cs="Times New Roman"/>
          <w:sz w:val="24"/>
          <w:szCs w:val="24"/>
        </w:rPr>
        <w:t xml:space="preserve">Plank, S., DeLuca, S., </w:t>
      </w:r>
      <w:proofErr w:type="spellStart"/>
      <w:r w:rsidRPr="008601A2">
        <w:rPr>
          <w:rFonts w:ascii="Times New Roman" w:eastAsia="Cambria" w:hAnsi="Times New Roman" w:cs="Times New Roman"/>
          <w:sz w:val="24"/>
          <w:szCs w:val="24"/>
        </w:rPr>
        <w:t>Estacion</w:t>
      </w:r>
      <w:proofErr w:type="spellEnd"/>
      <w:r w:rsidRPr="008601A2">
        <w:rPr>
          <w:rFonts w:ascii="Times New Roman" w:eastAsia="Cambria" w:hAnsi="Times New Roman" w:cs="Times New Roman"/>
          <w:sz w:val="24"/>
          <w:szCs w:val="24"/>
        </w:rPr>
        <w:t xml:space="preserve">, A. (2008). High school dropout and the role of career and technical education: A survival analysis of surviving high school. </w:t>
      </w:r>
      <w:r w:rsidRPr="008601A2">
        <w:rPr>
          <w:rFonts w:ascii="Times New Roman" w:eastAsia="Cambria" w:hAnsi="Times New Roman" w:cs="Times New Roman"/>
          <w:i/>
          <w:sz w:val="24"/>
          <w:szCs w:val="24"/>
        </w:rPr>
        <w:t xml:space="preserve">Sociology of Education, 81, </w:t>
      </w:r>
      <w:r w:rsidRPr="008601A2">
        <w:rPr>
          <w:rFonts w:ascii="Times New Roman" w:eastAsia="Cambria" w:hAnsi="Times New Roman" w:cs="Times New Roman"/>
          <w:sz w:val="24"/>
          <w:szCs w:val="24"/>
        </w:rPr>
        <w:t>345-370.</w:t>
      </w:r>
    </w:p>
    <w:p w:rsidR="00DB3FF0" w:rsidRDefault="00DB3FF0" w:rsidP="00DB3FF0">
      <w:pPr>
        <w:spacing w:after="0" w:line="240" w:lineRule="auto"/>
        <w:ind w:left="720" w:hanging="720"/>
        <w:rPr>
          <w:rFonts w:ascii="Times New Roman" w:eastAsia="Cambria" w:hAnsi="Times New Roman" w:cs="Times New Roman"/>
          <w:sz w:val="24"/>
          <w:szCs w:val="24"/>
        </w:rPr>
      </w:pPr>
    </w:p>
    <w:p w:rsidR="00DB3FF0" w:rsidRPr="009416EA" w:rsidRDefault="00DB3FF0" w:rsidP="00DB3FF0">
      <w:pPr>
        <w:spacing w:after="0" w:line="240" w:lineRule="auto"/>
        <w:ind w:left="720" w:hanging="720"/>
        <w:rPr>
          <w:rFonts w:ascii="Times New Roman" w:eastAsia="Cambria" w:hAnsi="Times New Roman" w:cs="Times New Roman"/>
          <w:sz w:val="24"/>
          <w:szCs w:val="24"/>
        </w:rPr>
      </w:pPr>
      <w:proofErr w:type="spellStart"/>
      <w:r w:rsidRPr="009416EA">
        <w:rPr>
          <w:rFonts w:ascii="Times New Roman" w:eastAsia="Cambria" w:hAnsi="Times New Roman" w:cs="Times New Roman"/>
          <w:sz w:val="24"/>
          <w:szCs w:val="24"/>
        </w:rPr>
        <w:t>Reschly</w:t>
      </w:r>
      <w:proofErr w:type="spellEnd"/>
      <w:r w:rsidRPr="009416EA">
        <w:rPr>
          <w:rFonts w:ascii="Times New Roman" w:eastAsia="Cambria" w:hAnsi="Times New Roman" w:cs="Times New Roman"/>
          <w:sz w:val="24"/>
          <w:szCs w:val="24"/>
        </w:rPr>
        <w:t xml:space="preserve">, A., &amp; Christenson, S. (2012). Jingle, jangle, and conceptual haziness: Evolution and future directions of the engagement construct. In S.L. Christenson, A.L. </w:t>
      </w:r>
      <w:proofErr w:type="spellStart"/>
      <w:r w:rsidRPr="009416EA">
        <w:rPr>
          <w:rFonts w:ascii="Times New Roman" w:eastAsia="Cambria" w:hAnsi="Times New Roman" w:cs="Times New Roman"/>
          <w:sz w:val="24"/>
          <w:szCs w:val="24"/>
        </w:rPr>
        <w:t>Reschly</w:t>
      </w:r>
      <w:proofErr w:type="spellEnd"/>
      <w:r w:rsidRPr="009416EA">
        <w:rPr>
          <w:rFonts w:ascii="Times New Roman" w:eastAsia="Cambria" w:hAnsi="Times New Roman" w:cs="Times New Roman"/>
          <w:sz w:val="24"/>
          <w:szCs w:val="24"/>
        </w:rPr>
        <w:t xml:space="preserve">, &amp; C. Wylie (Eds.), </w:t>
      </w:r>
      <w:r w:rsidRPr="009416EA">
        <w:rPr>
          <w:rFonts w:ascii="Times New Roman" w:eastAsia="Cambria" w:hAnsi="Times New Roman" w:cs="Times New Roman"/>
          <w:i/>
          <w:sz w:val="24"/>
          <w:szCs w:val="24"/>
        </w:rPr>
        <w:t xml:space="preserve">Handbook of research on student engagement </w:t>
      </w:r>
      <w:r w:rsidRPr="009416EA">
        <w:rPr>
          <w:rFonts w:ascii="Times New Roman" w:eastAsia="Cambria" w:hAnsi="Times New Roman" w:cs="Times New Roman"/>
          <w:sz w:val="24"/>
          <w:szCs w:val="24"/>
        </w:rPr>
        <w:t>(pp. 3-20). New York, NY: Springer.</w:t>
      </w:r>
    </w:p>
    <w:p w:rsidR="00DB3FF0" w:rsidRDefault="00DB3FF0" w:rsidP="00DB3FF0">
      <w:pPr>
        <w:spacing w:after="0" w:line="240" w:lineRule="auto"/>
        <w:ind w:left="720" w:hanging="720"/>
        <w:rPr>
          <w:rFonts w:ascii="Times New Roman" w:eastAsia="Cambria" w:hAnsi="Times New Roman" w:cs="Times New Roman"/>
          <w:sz w:val="24"/>
          <w:szCs w:val="24"/>
        </w:rPr>
      </w:pPr>
    </w:p>
    <w:p w:rsidR="00DB3FF0" w:rsidRPr="009416EA" w:rsidRDefault="00DB3FF0" w:rsidP="00DB3FF0">
      <w:pPr>
        <w:spacing w:after="0" w:line="240" w:lineRule="auto"/>
        <w:ind w:left="720" w:hanging="720"/>
        <w:rPr>
          <w:rFonts w:ascii="Times New Roman" w:eastAsia="Cambria" w:hAnsi="Times New Roman" w:cs="Times New Roman"/>
          <w:sz w:val="24"/>
          <w:szCs w:val="24"/>
        </w:rPr>
      </w:pPr>
      <w:proofErr w:type="spellStart"/>
      <w:r w:rsidRPr="009416EA">
        <w:rPr>
          <w:rFonts w:ascii="Times New Roman" w:eastAsia="Cambria" w:hAnsi="Times New Roman" w:cs="Times New Roman"/>
          <w:sz w:val="24"/>
          <w:szCs w:val="24"/>
        </w:rPr>
        <w:t>Rojewski</w:t>
      </w:r>
      <w:proofErr w:type="spellEnd"/>
      <w:r w:rsidRPr="009416EA">
        <w:rPr>
          <w:rFonts w:ascii="Times New Roman" w:eastAsia="Cambria" w:hAnsi="Times New Roman" w:cs="Times New Roman"/>
          <w:sz w:val="24"/>
          <w:szCs w:val="24"/>
        </w:rPr>
        <w:t xml:space="preserve">, J., Lee, I., &amp; </w:t>
      </w:r>
      <w:proofErr w:type="spellStart"/>
      <w:r w:rsidRPr="009416EA">
        <w:rPr>
          <w:rFonts w:ascii="Times New Roman" w:eastAsia="Cambria" w:hAnsi="Times New Roman" w:cs="Times New Roman"/>
          <w:sz w:val="24"/>
          <w:szCs w:val="24"/>
        </w:rPr>
        <w:t>Gemici</w:t>
      </w:r>
      <w:proofErr w:type="spellEnd"/>
      <w:r w:rsidRPr="009416EA">
        <w:rPr>
          <w:rFonts w:ascii="Times New Roman" w:eastAsia="Cambria" w:hAnsi="Times New Roman" w:cs="Times New Roman"/>
          <w:sz w:val="24"/>
          <w:szCs w:val="24"/>
        </w:rPr>
        <w:t xml:space="preserve">, S. (2010). </w:t>
      </w:r>
      <w:proofErr w:type="gramStart"/>
      <w:r w:rsidRPr="009416EA">
        <w:rPr>
          <w:rFonts w:ascii="Times New Roman" w:eastAsia="Cambria" w:hAnsi="Times New Roman" w:cs="Times New Roman"/>
          <w:sz w:val="24"/>
          <w:szCs w:val="24"/>
        </w:rPr>
        <w:t>Using propensity score matching to determine the efficacy of secondary career academies in raising educational aspirations.</w:t>
      </w:r>
      <w:proofErr w:type="gramEnd"/>
      <w:r w:rsidRPr="009416EA">
        <w:rPr>
          <w:rFonts w:ascii="Times New Roman" w:eastAsia="Cambria" w:hAnsi="Times New Roman" w:cs="Times New Roman"/>
          <w:sz w:val="24"/>
          <w:szCs w:val="24"/>
        </w:rPr>
        <w:t xml:space="preserve"> </w:t>
      </w:r>
      <w:r w:rsidRPr="009416EA">
        <w:rPr>
          <w:rFonts w:ascii="Times New Roman" w:eastAsia="Cambria" w:hAnsi="Times New Roman" w:cs="Times New Roman"/>
          <w:i/>
          <w:sz w:val="24"/>
          <w:szCs w:val="24"/>
        </w:rPr>
        <w:t>Career and Technical Education Research, 35</w:t>
      </w:r>
      <w:r w:rsidRPr="009416EA">
        <w:rPr>
          <w:rFonts w:ascii="Times New Roman" w:eastAsia="Cambria" w:hAnsi="Times New Roman" w:cs="Times New Roman"/>
          <w:sz w:val="24"/>
          <w:szCs w:val="24"/>
        </w:rPr>
        <w:t xml:space="preserve">(1), 3-27. </w:t>
      </w:r>
      <w:proofErr w:type="spellStart"/>
      <w:proofErr w:type="gramStart"/>
      <w:r w:rsidRPr="009416EA">
        <w:rPr>
          <w:rFonts w:ascii="Times New Roman" w:eastAsia="Cambria" w:hAnsi="Times New Roman" w:cs="Times New Roman"/>
          <w:sz w:val="24"/>
          <w:szCs w:val="24"/>
        </w:rPr>
        <w:t>doi</w:t>
      </w:r>
      <w:proofErr w:type="spellEnd"/>
      <w:proofErr w:type="gramEnd"/>
      <w:r w:rsidRPr="009416EA">
        <w:rPr>
          <w:rFonts w:ascii="Times New Roman" w:eastAsia="Cambria" w:hAnsi="Times New Roman" w:cs="Times New Roman"/>
          <w:sz w:val="24"/>
          <w:szCs w:val="24"/>
        </w:rPr>
        <w:t>: 10.5328/cter35.102</w:t>
      </w:r>
    </w:p>
    <w:p w:rsidR="00DB3FF0" w:rsidRDefault="00DB3FF0" w:rsidP="00916C0F">
      <w:pPr>
        <w:spacing w:line="240" w:lineRule="auto"/>
      </w:pPr>
    </w:p>
    <w:sectPr w:rsidR="00DB3FF0" w:rsidSect="00C7498C">
      <w:pgSz w:w="12240" w:h="15840"/>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C44"/>
    <w:rsid w:val="000D2CFA"/>
    <w:rsid w:val="00105FEB"/>
    <w:rsid w:val="00114DDE"/>
    <w:rsid w:val="00176087"/>
    <w:rsid w:val="00207E0E"/>
    <w:rsid w:val="00212212"/>
    <w:rsid w:val="002419C0"/>
    <w:rsid w:val="002B590D"/>
    <w:rsid w:val="002F338D"/>
    <w:rsid w:val="00364C52"/>
    <w:rsid w:val="00386548"/>
    <w:rsid w:val="003954A3"/>
    <w:rsid w:val="0043219B"/>
    <w:rsid w:val="004C564A"/>
    <w:rsid w:val="0052715F"/>
    <w:rsid w:val="0059381C"/>
    <w:rsid w:val="00600567"/>
    <w:rsid w:val="006075A5"/>
    <w:rsid w:val="00623FD5"/>
    <w:rsid w:val="00650F55"/>
    <w:rsid w:val="0067045C"/>
    <w:rsid w:val="00726DDD"/>
    <w:rsid w:val="0076651E"/>
    <w:rsid w:val="007F7CC6"/>
    <w:rsid w:val="00830A26"/>
    <w:rsid w:val="00841C44"/>
    <w:rsid w:val="00916C0F"/>
    <w:rsid w:val="00930CAE"/>
    <w:rsid w:val="00935A0E"/>
    <w:rsid w:val="009A1B84"/>
    <w:rsid w:val="00A6126E"/>
    <w:rsid w:val="00A67C87"/>
    <w:rsid w:val="00A96469"/>
    <w:rsid w:val="00B83D39"/>
    <w:rsid w:val="00B92BF1"/>
    <w:rsid w:val="00BC2902"/>
    <w:rsid w:val="00C01CE2"/>
    <w:rsid w:val="00C452D5"/>
    <w:rsid w:val="00C60A15"/>
    <w:rsid w:val="00C7498C"/>
    <w:rsid w:val="00DB3FF0"/>
    <w:rsid w:val="00DC1982"/>
    <w:rsid w:val="00DD4138"/>
    <w:rsid w:val="00E043DF"/>
    <w:rsid w:val="00ED553B"/>
    <w:rsid w:val="00F0126E"/>
    <w:rsid w:val="00F10417"/>
    <w:rsid w:val="00F308D7"/>
    <w:rsid w:val="00F46E2B"/>
    <w:rsid w:val="00F77290"/>
    <w:rsid w:val="00FF1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spacing1"/>
    <w:basedOn w:val="Normal"/>
    <w:rsid w:val="00841C4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F1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26DDD"/>
    <w:rPr>
      <w:color w:val="0000FF" w:themeColor="hyperlink"/>
      <w:u w:val="single"/>
    </w:rPr>
  </w:style>
  <w:style w:type="paragraph" w:styleId="BalloonText">
    <w:name w:val="Balloon Text"/>
    <w:basedOn w:val="Normal"/>
    <w:link w:val="BalloonTextChar"/>
    <w:uiPriority w:val="99"/>
    <w:semiHidden/>
    <w:unhideWhenUsed/>
    <w:rsid w:val="007F7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C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spacing1"/>
    <w:basedOn w:val="Normal"/>
    <w:rsid w:val="00841C44"/>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F1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26DDD"/>
    <w:rPr>
      <w:color w:val="0000FF" w:themeColor="hyperlink"/>
      <w:u w:val="single"/>
    </w:rPr>
  </w:style>
  <w:style w:type="paragraph" w:styleId="BalloonText">
    <w:name w:val="Balloon Text"/>
    <w:basedOn w:val="Normal"/>
    <w:link w:val="BalloonTextChar"/>
    <w:uiPriority w:val="99"/>
    <w:semiHidden/>
    <w:unhideWhenUsed/>
    <w:rsid w:val="007F7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C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7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ory.epler@nebrask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807</TotalTime>
  <Pages>4</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Nebraska Dept. of Education</Company>
  <LinksUpToDate>false</LinksUpToDate>
  <CharactersWithSpaces>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Cory Epler</dc:creator>
  <cp:lastModifiedBy>Cory Epler</cp:lastModifiedBy>
  <cp:revision>30</cp:revision>
  <cp:lastPrinted>2014-02-20T21:03:00Z</cp:lastPrinted>
  <dcterms:created xsi:type="dcterms:W3CDTF">2014-02-10T15:49:00Z</dcterms:created>
  <dcterms:modified xsi:type="dcterms:W3CDTF">2014-02-21T18:57:00Z</dcterms:modified>
</cp:coreProperties>
</file>