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081" w:rsidRDefault="00F13081" w:rsidP="00F13081">
      <w:pPr>
        <w:spacing w:line="240" w:lineRule="auto"/>
        <w:jc w:val="right"/>
        <w:rPr>
          <w:rFonts w:ascii="Times" w:hAnsi="Times"/>
          <w:szCs w:val="24"/>
        </w:rPr>
      </w:pPr>
      <w:bookmarkStart w:id="0" w:name="_GoBack"/>
      <w:bookmarkEnd w:id="0"/>
      <w:r>
        <w:rPr>
          <w:rFonts w:ascii="Times" w:hAnsi="Times"/>
          <w:szCs w:val="24"/>
        </w:rPr>
        <w:t>Innovative</w:t>
      </w:r>
    </w:p>
    <w:p w:rsidR="00F13081" w:rsidRDefault="00F13081" w:rsidP="00F13081">
      <w:pPr>
        <w:spacing w:line="240" w:lineRule="auto"/>
        <w:rPr>
          <w:rFonts w:ascii="Times" w:hAnsi="Times"/>
          <w:szCs w:val="24"/>
        </w:rPr>
      </w:pPr>
    </w:p>
    <w:p w:rsidR="00F13081" w:rsidRDefault="00F13081" w:rsidP="00F13081">
      <w:pPr>
        <w:spacing w:line="240" w:lineRule="auto"/>
        <w:rPr>
          <w:rFonts w:ascii="Times" w:hAnsi="Times"/>
          <w:szCs w:val="24"/>
        </w:rPr>
      </w:pPr>
    </w:p>
    <w:p w:rsidR="00F13081" w:rsidRDefault="00F13081" w:rsidP="00F13081">
      <w:pPr>
        <w:spacing w:line="240" w:lineRule="auto"/>
        <w:rPr>
          <w:rFonts w:ascii="Times" w:hAnsi="Times"/>
          <w:szCs w:val="24"/>
        </w:rPr>
      </w:pPr>
    </w:p>
    <w:p w:rsidR="00F13081" w:rsidRDefault="00F13081" w:rsidP="00F13081">
      <w:pPr>
        <w:spacing w:line="240" w:lineRule="auto"/>
        <w:rPr>
          <w:rFonts w:ascii="Times" w:hAnsi="Times"/>
          <w:szCs w:val="24"/>
        </w:rPr>
      </w:pPr>
    </w:p>
    <w:p w:rsidR="00F13081" w:rsidRDefault="00F13081" w:rsidP="00F13081">
      <w:pPr>
        <w:jc w:val="center"/>
        <w:rPr>
          <w:b/>
        </w:rPr>
      </w:pPr>
      <w:r>
        <w:rPr>
          <w:b/>
        </w:rPr>
        <w:t>Using interactive gaming to introduce students to Gas Tungsten Arc Welding (GTAW)</w:t>
      </w:r>
    </w:p>
    <w:p w:rsidR="00F13081" w:rsidRDefault="00F13081" w:rsidP="00F13081">
      <w:pPr>
        <w:spacing w:line="240" w:lineRule="auto"/>
        <w:jc w:val="center"/>
        <w:rPr>
          <w:rFonts w:cs="Times New Roman"/>
          <w:szCs w:val="24"/>
        </w:rPr>
      </w:pPr>
    </w:p>
    <w:p w:rsidR="00F13081" w:rsidRPr="00AB4362" w:rsidRDefault="00F13081" w:rsidP="00F13081">
      <w:pPr>
        <w:spacing w:line="240" w:lineRule="auto"/>
        <w:jc w:val="center"/>
        <w:rPr>
          <w:rFonts w:cs="Times New Roman"/>
          <w:szCs w:val="24"/>
        </w:rPr>
      </w:pPr>
      <w:r w:rsidRPr="00AB4362">
        <w:rPr>
          <w:rFonts w:cs="Times New Roman"/>
          <w:szCs w:val="24"/>
        </w:rPr>
        <w:t>Alex P. Byrd</w:t>
      </w:r>
    </w:p>
    <w:p w:rsidR="00F13081" w:rsidRPr="00AB4362" w:rsidRDefault="00F13081" w:rsidP="00F13081">
      <w:pPr>
        <w:spacing w:line="240" w:lineRule="auto"/>
        <w:jc w:val="center"/>
        <w:rPr>
          <w:rFonts w:cs="Times New Roman"/>
          <w:szCs w:val="24"/>
        </w:rPr>
      </w:pPr>
      <w:r w:rsidRPr="00AB4362">
        <w:rPr>
          <w:rFonts w:cs="Times New Roman"/>
          <w:szCs w:val="24"/>
        </w:rPr>
        <w:t>Iowa State University</w:t>
      </w:r>
    </w:p>
    <w:p w:rsidR="00F13081" w:rsidRPr="00AB4362" w:rsidRDefault="00F13081" w:rsidP="00F13081">
      <w:pPr>
        <w:spacing w:line="240" w:lineRule="auto"/>
        <w:jc w:val="center"/>
        <w:rPr>
          <w:rFonts w:cs="Times New Roman"/>
          <w:szCs w:val="24"/>
        </w:rPr>
      </w:pPr>
      <w:r w:rsidRPr="00AB4362">
        <w:rPr>
          <w:rFonts w:cs="Times New Roman"/>
          <w:szCs w:val="24"/>
        </w:rPr>
        <w:t>223-B Curtiss Hall</w:t>
      </w:r>
    </w:p>
    <w:p w:rsidR="00F13081" w:rsidRPr="00AB4362" w:rsidRDefault="00F13081" w:rsidP="00F13081">
      <w:pPr>
        <w:spacing w:line="240" w:lineRule="auto"/>
        <w:jc w:val="center"/>
        <w:rPr>
          <w:rFonts w:cs="Times New Roman"/>
          <w:szCs w:val="24"/>
        </w:rPr>
      </w:pPr>
      <w:r w:rsidRPr="00AB4362">
        <w:rPr>
          <w:rFonts w:cs="Times New Roman"/>
          <w:szCs w:val="24"/>
        </w:rPr>
        <w:t>Ames, IA 50011</w:t>
      </w:r>
    </w:p>
    <w:p w:rsidR="00F13081" w:rsidRPr="00AB4362" w:rsidRDefault="00F13081" w:rsidP="00F13081">
      <w:pPr>
        <w:spacing w:line="240" w:lineRule="auto"/>
        <w:jc w:val="center"/>
        <w:rPr>
          <w:rFonts w:cs="Times New Roman"/>
          <w:szCs w:val="24"/>
        </w:rPr>
      </w:pPr>
      <w:r w:rsidRPr="00AB4362">
        <w:rPr>
          <w:rFonts w:cs="Times New Roman"/>
          <w:szCs w:val="24"/>
        </w:rPr>
        <w:t>apbyrd@iastate.edu</w:t>
      </w:r>
    </w:p>
    <w:p w:rsidR="00F13081" w:rsidRPr="00AB4362" w:rsidRDefault="00F13081" w:rsidP="00F13081">
      <w:pPr>
        <w:spacing w:line="240" w:lineRule="auto"/>
        <w:jc w:val="center"/>
        <w:rPr>
          <w:rFonts w:cs="Times New Roman"/>
          <w:szCs w:val="24"/>
        </w:rPr>
      </w:pPr>
    </w:p>
    <w:p w:rsidR="00F13081" w:rsidRPr="00AB4362" w:rsidRDefault="00F13081" w:rsidP="00F13081">
      <w:pPr>
        <w:spacing w:line="240" w:lineRule="auto"/>
        <w:jc w:val="center"/>
        <w:rPr>
          <w:rFonts w:cs="Times New Roman"/>
          <w:szCs w:val="24"/>
        </w:rPr>
      </w:pPr>
      <w:r w:rsidRPr="00AB4362">
        <w:rPr>
          <w:rFonts w:cs="Times New Roman"/>
          <w:szCs w:val="24"/>
        </w:rPr>
        <w:t>Ryan G. Anderson</w:t>
      </w:r>
    </w:p>
    <w:p w:rsidR="00F13081" w:rsidRPr="00AB4362" w:rsidRDefault="00F13081" w:rsidP="00F13081">
      <w:pPr>
        <w:spacing w:line="240" w:lineRule="auto"/>
        <w:jc w:val="center"/>
        <w:rPr>
          <w:rFonts w:cs="Times New Roman"/>
          <w:szCs w:val="24"/>
        </w:rPr>
      </w:pPr>
      <w:r w:rsidRPr="00AB4362">
        <w:rPr>
          <w:rFonts w:cs="Times New Roman"/>
          <w:szCs w:val="24"/>
        </w:rPr>
        <w:t>Iowa State University</w:t>
      </w:r>
    </w:p>
    <w:p w:rsidR="00F13081" w:rsidRPr="00AB4362" w:rsidRDefault="00F13081" w:rsidP="00F13081">
      <w:pPr>
        <w:spacing w:line="240" w:lineRule="auto"/>
        <w:jc w:val="center"/>
        <w:rPr>
          <w:rFonts w:cs="Times New Roman"/>
          <w:szCs w:val="24"/>
        </w:rPr>
      </w:pPr>
      <w:r w:rsidRPr="00AB4362">
        <w:rPr>
          <w:rFonts w:cs="Times New Roman"/>
          <w:szCs w:val="24"/>
        </w:rPr>
        <w:t>206 Curtiss Hall</w:t>
      </w:r>
    </w:p>
    <w:p w:rsidR="00F13081" w:rsidRPr="00AB4362" w:rsidRDefault="00F13081" w:rsidP="00F13081">
      <w:pPr>
        <w:spacing w:line="240" w:lineRule="auto"/>
        <w:jc w:val="center"/>
        <w:rPr>
          <w:rFonts w:cs="Times New Roman"/>
          <w:szCs w:val="24"/>
        </w:rPr>
      </w:pPr>
      <w:r w:rsidRPr="00AB4362">
        <w:rPr>
          <w:rFonts w:cs="Times New Roman"/>
          <w:szCs w:val="24"/>
        </w:rPr>
        <w:t>Ames, IA 50011</w:t>
      </w:r>
    </w:p>
    <w:p w:rsidR="00F13081" w:rsidRDefault="003D7C54" w:rsidP="00F13081">
      <w:pPr>
        <w:spacing w:line="240" w:lineRule="auto"/>
        <w:jc w:val="center"/>
        <w:rPr>
          <w:rFonts w:cs="Times New Roman"/>
          <w:szCs w:val="24"/>
        </w:rPr>
      </w:pPr>
      <w:r w:rsidRPr="00D40070">
        <w:rPr>
          <w:rFonts w:cs="Times New Roman"/>
          <w:szCs w:val="24"/>
        </w:rPr>
        <w:t>randrsn@iastate.edu</w:t>
      </w:r>
    </w:p>
    <w:p w:rsidR="003D7C54" w:rsidRDefault="003D7C54" w:rsidP="00F13081">
      <w:pPr>
        <w:spacing w:line="240" w:lineRule="auto"/>
        <w:jc w:val="center"/>
        <w:rPr>
          <w:rFonts w:cs="Times New Roman"/>
          <w:szCs w:val="24"/>
        </w:rPr>
      </w:pPr>
    </w:p>
    <w:p w:rsidR="003D7C54" w:rsidRDefault="003D7C54" w:rsidP="00F13081">
      <w:pPr>
        <w:spacing w:line="240" w:lineRule="auto"/>
        <w:jc w:val="center"/>
        <w:rPr>
          <w:rFonts w:cs="Times New Roman"/>
          <w:szCs w:val="24"/>
        </w:rPr>
      </w:pPr>
      <w:r>
        <w:rPr>
          <w:rFonts w:cs="Times New Roman"/>
          <w:szCs w:val="24"/>
        </w:rPr>
        <w:t>Trent Wells</w:t>
      </w:r>
    </w:p>
    <w:p w:rsidR="00791FF3" w:rsidRDefault="00791FF3" w:rsidP="00F13081">
      <w:pPr>
        <w:spacing w:line="240" w:lineRule="auto"/>
        <w:jc w:val="center"/>
        <w:rPr>
          <w:rFonts w:cs="Times New Roman"/>
          <w:szCs w:val="24"/>
        </w:rPr>
      </w:pPr>
      <w:r>
        <w:rPr>
          <w:rFonts w:cs="Times New Roman"/>
          <w:szCs w:val="24"/>
        </w:rPr>
        <w:t>Fayette County High School</w:t>
      </w:r>
    </w:p>
    <w:p w:rsidR="00791FF3" w:rsidRDefault="00791FF3" w:rsidP="00F13081">
      <w:pPr>
        <w:spacing w:line="240" w:lineRule="auto"/>
        <w:jc w:val="center"/>
        <w:rPr>
          <w:rFonts w:cs="Times New Roman"/>
          <w:szCs w:val="24"/>
        </w:rPr>
      </w:pPr>
      <w:r>
        <w:rPr>
          <w:rFonts w:cs="Times New Roman"/>
          <w:szCs w:val="24"/>
        </w:rPr>
        <w:t>202 Tiger Dr.</w:t>
      </w:r>
    </w:p>
    <w:p w:rsidR="00791FF3" w:rsidRDefault="00791FF3" w:rsidP="00F13081">
      <w:pPr>
        <w:spacing w:line="240" w:lineRule="auto"/>
        <w:jc w:val="center"/>
        <w:rPr>
          <w:rFonts w:cs="Times New Roman"/>
          <w:szCs w:val="24"/>
        </w:rPr>
      </w:pPr>
      <w:r>
        <w:rPr>
          <w:rFonts w:cs="Times New Roman"/>
          <w:szCs w:val="24"/>
        </w:rPr>
        <w:t>Fayette, AL. 35555</w:t>
      </w:r>
    </w:p>
    <w:p w:rsidR="00F13081" w:rsidRDefault="003D7C54" w:rsidP="003D7C54">
      <w:pPr>
        <w:spacing w:line="240" w:lineRule="auto"/>
        <w:jc w:val="center"/>
        <w:rPr>
          <w:rFonts w:cs="Times New Roman"/>
          <w:szCs w:val="24"/>
        </w:rPr>
      </w:pPr>
      <w:r w:rsidRPr="00D40070">
        <w:rPr>
          <w:rFonts w:cs="Times New Roman"/>
          <w:szCs w:val="24"/>
        </w:rPr>
        <w:t>ktw0004@iastate.edu</w:t>
      </w:r>
    </w:p>
    <w:p w:rsidR="003D7C54" w:rsidRPr="003D7C54" w:rsidRDefault="003D7C54" w:rsidP="003D7C54">
      <w:pPr>
        <w:spacing w:line="240" w:lineRule="auto"/>
        <w:jc w:val="center"/>
        <w:rPr>
          <w:rFonts w:cs="Times New Roman"/>
          <w:szCs w:val="24"/>
        </w:rPr>
      </w:pPr>
    </w:p>
    <w:p w:rsidR="00F13081" w:rsidRDefault="00F13081" w:rsidP="00791FF3">
      <w:pPr>
        <w:rPr>
          <w:rFonts w:asciiTheme="majorHAnsi" w:eastAsiaTheme="majorEastAsia" w:hAnsiTheme="majorHAnsi" w:cstheme="majorBidi"/>
          <w:caps/>
        </w:rPr>
      </w:pPr>
    </w:p>
    <w:p w:rsidR="00791FF3" w:rsidRDefault="00791FF3" w:rsidP="00791FF3">
      <w:pPr>
        <w:rPr>
          <w:b/>
        </w:rPr>
      </w:pPr>
    </w:p>
    <w:p w:rsidR="008302BD" w:rsidRDefault="001A31D1" w:rsidP="001A31D1">
      <w:pPr>
        <w:jc w:val="center"/>
        <w:rPr>
          <w:b/>
        </w:rPr>
      </w:pPr>
      <w:r>
        <w:rPr>
          <w:b/>
        </w:rPr>
        <w:lastRenderedPageBreak/>
        <w:t xml:space="preserve">Using interactive </w:t>
      </w:r>
      <w:r w:rsidR="00C82AFB">
        <w:rPr>
          <w:b/>
        </w:rPr>
        <w:t>gaming</w:t>
      </w:r>
      <w:r>
        <w:rPr>
          <w:b/>
        </w:rPr>
        <w:t xml:space="preserve"> to introduce students to Gas </w:t>
      </w:r>
      <w:r w:rsidR="00732BC3">
        <w:rPr>
          <w:b/>
        </w:rPr>
        <w:t xml:space="preserve">Tungsten </w:t>
      </w:r>
      <w:r>
        <w:rPr>
          <w:b/>
        </w:rPr>
        <w:t>Arc Welding (GTAW)</w:t>
      </w:r>
    </w:p>
    <w:p w:rsidR="001A31D1" w:rsidRDefault="001A31D1" w:rsidP="00791FF3">
      <w:pPr>
        <w:spacing w:after="0"/>
        <w:jc w:val="center"/>
      </w:pPr>
      <w:r>
        <w:rPr>
          <w:b/>
        </w:rPr>
        <w:t>Introduction</w:t>
      </w:r>
    </w:p>
    <w:p w:rsidR="00732BC3" w:rsidRDefault="00732BC3" w:rsidP="00791FF3">
      <w:pPr>
        <w:ind w:firstLine="720"/>
      </w:pPr>
      <w:r>
        <w:t xml:space="preserve">The use of educational games has become commonplace in classrooms (de </w:t>
      </w:r>
      <w:proofErr w:type="spellStart"/>
      <w:r>
        <w:t>Freitas</w:t>
      </w:r>
      <w:proofErr w:type="spellEnd"/>
      <w:r>
        <w:t xml:space="preserve"> &amp; Oliver, 2006).  There is evidence suggesting that utilizing computer program simulations may be more beneficial than traditional teaching strategies (Vogel et al., 2006).  The use of computer programs has led to greater potential for teachers to adapt lessons to facilitate the flow of experiences </w:t>
      </w:r>
      <w:r w:rsidR="00DB6D17">
        <w:t>and</w:t>
      </w:r>
      <w:r>
        <w:t xml:space="preserve"> teach more complex concepts (de </w:t>
      </w:r>
      <w:proofErr w:type="spellStart"/>
      <w:r>
        <w:t>Freitas</w:t>
      </w:r>
      <w:proofErr w:type="spellEnd"/>
      <w:r>
        <w:t xml:space="preserve"> &amp; Neumann, 2009).  Boyd and </w:t>
      </w:r>
      <w:proofErr w:type="spellStart"/>
      <w:r>
        <w:t>Murphrey</w:t>
      </w:r>
      <w:proofErr w:type="spellEnd"/>
      <w:r>
        <w:t xml:space="preserve"> (2002) posited that by utilizing computer-based programs teachers and instructional designers </w:t>
      </w:r>
      <w:proofErr w:type="gramStart"/>
      <w:r w:rsidR="00D833E5">
        <w:t>have</w:t>
      </w:r>
      <w:proofErr w:type="gramEnd"/>
      <w:r w:rsidR="00DB6D17">
        <w:t xml:space="preserve"> </w:t>
      </w:r>
      <w:r>
        <w:t xml:space="preserve">the ability to </w:t>
      </w:r>
      <w:r w:rsidR="00DB6D17">
        <w:t>utilize</w:t>
      </w:r>
      <w:r>
        <w:t xml:space="preserve"> animation, video, and sound to provide </w:t>
      </w:r>
      <w:r w:rsidR="004D264C">
        <w:t xml:space="preserve">all </w:t>
      </w:r>
      <w:r>
        <w:t>learners a platform to learn complex concepts.</w:t>
      </w:r>
    </w:p>
    <w:p w:rsidR="0026101D" w:rsidRDefault="001A31D1" w:rsidP="00791FF3">
      <w:pPr>
        <w:ind w:firstLine="720"/>
      </w:pPr>
      <w:r>
        <w:t xml:space="preserve">Educators need to incorporate a variety of instructional delivery methods to maintain students’ attention and motivation (Born &amp; Miller, 1999).  </w:t>
      </w:r>
      <w:r w:rsidR="009F4D34">
        <w:t xml:space="preserve">Furthermore, the use of computer-based programs that include simulations, role-play, and games are vehicles </w:t>
      </w:r>
      <w:r w:rsidR="00DB6D17">
        <w:t xml:space="preserve">in </w:t>
      </w:r>
      <w:r w:rsidR="009F4D34">
        <w:t xml:space="preserve">which students can utilize to reinforce knowledge </w:t>
      </w:r>
      <w:r w:rsidR="00DB6D17">
        <w:t>by</w:t>
      </w:r>
      <w:r w:rsidR="009F4D34">
        <w:t xml:space="preserve"> put</w:t>
      </w:r>
      <w:r w:rsidR="00DB6D17">
        <w:t>ting</w:t>
      </w:r>
      <w:r w:rsidR="009F4D34">
        <w:t xml:space="preserve"> theory into play (Boyd &amp; </w:t>
      </w:r>
      <w:proofErr w:type="spellStart"/>
      <w:r w:rsidR="009F4D34">
        <w:t>Murphrey</w:t>
      </w:r>
      <w:proofErr w:type="spellEnd"/>
      <w:r w:rsidR="009F4D34">
        <w:t>, 2002).  Vogel et al. (2006) indicated that by creating computer programs that reduces a students’ time on task and increase cognitive gains will help educators.</w:t>
      </w:r>
      <w:r w:rsidR="00732BC3">
        <w:t xml:space="preserve">  The use of simulations allows teachers to give students the ability to learn concepts for which the teacher may not have the materials to give actual hands-on learning opportunities.  </w:t>
      </w:r>
    </w:p>
    <w:p w:rsidR="001A31D1" w:rsidRDefault="00732BC3" w:rsidP="00791FF3">
      <w:pPr>
        <w:ind w:firstLine="720"/>
      </w:pPr>
      <w:r>
        <w:t xml:space="preserve">One area that secondary teacher’s </w:t>
      </w:r>
      <w:r w:rsidR="006A601D">
        <w:t xml:space="preserve">in </w:t>
      </w:r>
      <w:r w:rsidR="0026101D">
        <w:t>[STATE]</w:t>
      </w:r>
      <w:r w:rsidR="006A601D">
        <w:t xml:space="preserve"> indicated a low competence to teach wa</w:t>
      </w:r>
      <w:r>
        <w:t>s Gas Tungsten Arc Welding (GTAW)</w:t>
      </w:r>
      <w:r w:rsidR="006A601D">
        <w:t xml:space="preserve"> (Shultz, Anderson, Paulsen, &amp; Shultz, 2013)</w:t>
      </w:r>
      <w:r>
        <w:t>, more commonly known as Tungsten Inert Gas (TIG) (</w:t>
      </w:r>
      <w:proofErr w:type="spellStart"/>
      <w:r w:rsidR="006000A2">
        <w:t>Jeffus</w:t>
      </w:r>
      <w:proofErr w:type="spellEnd"/>
      <w:r w:rsidR="006000A2">
        <w:t xml:space="preserve">, 2012).  </w:t>
      </w:r>
      <w:r w:rsidR="00791FF3">
        <w:t xml:space="preserve">While </w:t>
      </w:r>
      <w:r w:rsidR="00D833E5">
        <w:t xml:space="preserve">the use of </w:t>
      </w:r>
      <w:r w:rsidR="00791FF3">
        <w:t xml:space="preserve">welding simulators have been well documented </w:t>
      </w:r>
      <w:r w:rsidR="00553CB1">
        <w:t>(Byrd &amp; Anderson, 2012; Clark, 2011)</w:t>
      </w:r>
      <w:r w:rsidR="00791FF3">
        <w:t xml:space="preserve"> the</w:t>
      </w:r>
      <w:r w:rsidR="006000A2">
        <w:t xml:space="preserve"> internet-based game </w:t>
      </w:r>
      <w:proofErr w:type="spellStart"/>
      <w:r w:rsidR="00C00943">
        <w:rPr>
          <w:i/>
        </w:rPr>
        <w:t>Tig</w:t>
      </w:r>
      <w:proofErr w:type="spellEnd"/>
      <w:r w:rsidR="00C00943">
        <w:rPr>
          <w:i/>
        </w:rPr>
        <w:t xml:space="preserve"> Welder Premium</w:t>
      </w:r>
      <w:r w:rsidR="00C00943">
        <w:t xml:space="preserve"> </w:t>
      </w:r>
      <w:r w:rsidR="00791FF3">
        <w:t>is the only virtual re</w:t>
      </w:r>
      <w:r w:rsidR="00D833E5">
        <w:t>ality simulator that introduces theories and application of</w:t>
      </w:r>
      <w:r w:rsidR="00791FF3">
        <w:t xml:space="preserve"> the TIG welding process</w:t>
      </w:r>
      <w:r w:rsidR="00C00943">
        <w:t>.</w:t>
      </w:r>
    </w:p>
    <w:p w:rsidR="00C00943" w:rsidRDefault="00C00943" w:rsidP="00791FF3">
      <w:pPr>
        <w:spacing w:after="0"/>
        <w:jc w:val="center"/>
      </w:pPr>
      <w:r>
        <w:rPr>
          <w:b/>
        </w:rPr>
        <w:t>How it Works</w:t>
      </w:r>
    </w:p>
    <w:p w:rsidR="00C00943" w:rsidRDefault="00C00943" w:rsidP="00791FF3">
      <w:pPr>
        <w:ind w:firstLine="720"/>
      </w:pPr>
      <w:r>
        <w:t xml:space="preserve">Educators and students can access the internet-based </w:t>
      </w:r>
      <w:r w:rsidR="001D4EFB" w:rsidRPr="00C82AFB">
        <w:rPr>
          <w:i/>
        </w:rPr>
        <w:t>T</w:t>
      </w:r>
      <w:r w:rsidR="006A601D">
        <w:rPr>
          <w:i/>
        </w:rPr>
        <w:t>IG</w:t>
      </w:r>
      <w:r w:rsidR="001D4EFB" w:rsidRPr="00C82AFB">
        <w:rPr>
          <w:i/>
        </w:rPr>
        <w:t xml:space="preserve"> Welder Premium</w:t>
      </w:r>
      <w:r w:rsidR="001D4EFB">
        <w:t xml:space="preserve"> </w:t>
      </w:r>
      <w:r>
        <w:t xml:space="preserve">game via </w:t>
      </w:r>
      <w:r w:rsidR="003E4945" w:rsidRPr="003E4945">
        <w:t>http://www.tradesgamer.com</w:t>
      </w:r>
      <w:r w:rsidR="003E4945">
        <w:t xml:space="preserve"> and is also available </w:t>
      </w:r>
      <w:r w:rsidR="001D4EFB">
        <w:t>as an app for</w:t>
      </w:r>
      <w:r w:rsidR="003E4945">
        <w:t xml:space="preserve"> iPhone</w:t>
      </w:r>
      <w:r w:rsidR="001D4EFB">
        <w:t>s</w:t>
      </w:r>
      <w:r>
        <w:t xml:space="preserve">.  The webpage </w:t>
      </w:r>
      <w:r w:rsidR="004D264C">
        <w:t xml:space="preserve">and app </w:t>
      </w:r>
      <w:r>
        <w:t>allows students to explore TIG welding</w:t>
      </w:r>
      <w:r w:rsidR="001D4EFB">
        <w:t xml:space="preserve"> theory </w:t>
      </w:r>
      <w:r w:rsidR="004D264C">
        <w:t xml:space="preserve">and </w:t>
      </w:r>
      <w:r w:rsidR="003D7C54">
        <w:t xml:space="preserve">develop </w:t>
      </w:r>
      <w:r w:rsidR="004D264C">
        <w:t>performance</w:t>
      </w:r>
      <w:r w:rsidR="003D7C54">
        <w:t xml:space="preserve"> skills</w:t>
      </w:r>
      <w:r w:rsidR="004D264C">
        <w:t xml:space="preserve">. </w:t>
      </w:r>
      <w:r w:rsidR="001D4EFB" w:rsidRPr="001D4EFB">
        <w:t xml:space="preserve">There </w:t>
      </w:r>
      <w:r w:rsidR="001D4EFB">
        <w:t>is a set of</w:t>
      </w:r>
      <w:r w:rsidR="001D4EFB" w:rsidRPr="001D4EFB">
        <w:t xml:space="preserve"> tutorial videos </w:t>
      </w:r>
      <w:r w:rsidR="001D4EFB">
        <w:t>located on the website that explains how</w:t>
      </w:r>
      <w:r w:rsidR="001D4EFB" w:rsidRPr="001D4EFB">
        <w:t xml:space="preserve"> to </w:t>
      </w:r>
      <w:r w:rsidR="001D4EFB">
        <w:t>operate</w:t>
      </w:r>
      <w:r w:rsidR="001D4EFB" w:rsidRPr="001D4EFB">
        <w:t xml:space="preserve"> the T</w:t>
      </w:r>
      <w:r w:rsidR="006A601D">
        <w:t>IG</w:t>
      </w:r>
      <w:r w:rsidR="001D4EFB" w:rsidRPr="001D4EFB">
        <w:t xml:space="preserve"> Welder Premium game</w:t>
      </w:r>
      <w:r w:rsidR="001D4EFB">
        <w:t>.</w:t>
      </w:r>
      <w:r w:rsidR="001D4EFB" w:rsidRPr="001D4EFB">
        <w:t xml:space="preserve"> </w:t>
      </w:r>
      <w:r w:rsidR="001D4EFB">
        <w:t>T</w:t>
      </w:r>
      <w:r w:rsidR="001D4EFB" w:rsidRPr="001D4EFB">
        <w:t xml:space="preserve">he students will need to watch </w:t>
      </w:r>
      <w:r w:rsidR="00423BBC">
        <w:t xml:space="preserve">the videos in order </w:t>
      </w:r>
      <w:r w:rsidR="001D4EFB" w:rsidRPr="001D4EFB">
        <w:t xml:space="preserve">to know how to </w:t>
      </w:r>
      <w:r w:rsidR="00423BBC">
        <w:t>operate the simulator correctly</w:t>
      </w:r>
      <w:r w:rsidR="00685150">
        <w:t xml:space="preserve">. </w:t>
      </w:r>
      <w:r w:rsidR="001D4EFB">
        <w:t xml:space="preserve">In </w:t>
      </w:r>
      <w:r w:rsidR="00685150">
        <w:t>a</w:t>
      </w:r>
      <w:r w:rsidR="001D4EFB">
        <w:t>ddition to the T</w:t>
      </w:r>
      <w:r w:rsidR="006A601D">
        <w:t>IG</w:t>
      </w:r>
      <w:r w:rsidR="001D4EFB">
        <w:t xml:space="preserve"> welding simulator</w:t>
      </w:r>
      <w:r w:rsidR="00685150">
        <w:t>,</w:t>
      </w:r>
      <w:r w:rsidR="001D4EFB">
        <w:t xml:space="preserve"> </w:t>
      </w:r>
      <w:r>
        <w:t xml:space="preserve">nine tutorial videos </w:t>
      </w:r>
      <w:r w:rsidR="00685150">
        <w:t xml:space="preserve">about TIG, </w:t>
      </w:r>
      <w:proofErr w:type="gramStart"/>
      <w:r>
        <w:t>MIG ,</w:t>
      </w:r>
      <w:proofErr w:type="gramEnd"/>
      <w:r>
        <w:t xml:space="preserve"> and arc weld</w:t>
      </w:r>
      <w:r w:rsidR="00685150">
        <w:t>ing</w:t>
      </w:r>
      <w:r w:rsidR="001D4EFB">
        <w:t xml:space="preserve"> can be found at the bottom of the website</w:t>
      </w:r>
      <w:r>
        <w:t xml:space="preserve">.  Students can </w:t>
      </w:r>
      <w:r w:rsidR="001D4EFB">
        <w:t xml:space="preserve">access </w:t>
      </w:r>
      <w:r>
        <w:t>introdu</w:t>
      </w:r>
      <w:r w:rsidR="001D4EFB">
        <w:t>ctory videos that include</w:t>
      </w:r>
      <w:r>
        <w:t xml:space="preserve"> </w:t>
      </w:r>
      <w:r w:rsidR="001D4EFB">
        <w:t>other</w:t>
      </w:r>
      <w:r>
        <w:t xml:space="preserve"> aspects of </w:t>
      </w:r>
      <w:r w:rsidR="001D4EFB">
        <w:t xml:space="preserve">welding including </w:t>
      </w:r>
      <w:r w:rsidR="00685150">
        <w:t>arc and MIG</w:t>
      </w:r>
      <w:r>
        <w:t xml:space="preserve"> welding via YouTube videos </w:t>
      </w:r>
      <w:r w:rsidR="001D4EFB">
        <w:t xml:space="preserve">that </w:t>
      </w:r>
      <w:r w:rsidR="00685150">
        <w:t>run approximately</w:t>
      </w:r>
      <w:r>
        <w:t xml:space="preserve"> two minutes</w:t>
      </w:r>
      <w:r w:rsidR="001D4EFB">
        <w:t xml:space="preserve"> each</w:t>
      </w:r>
      <w:r>
        <w:t xml:space="preserve">.  </w:t>
      </w:r>
    </w:p>
    <w:p w:rsidR="00C00943" w:rsidRPr="00AC07BE" w:rsidRDefault="00C00943" w:rsidP="00791FF3">
      <w:pPr>
        <w:ind w:firstLine="720"/>
      </w:pPr>
      <w:r>
        <w:t xml:space="preserve">The game </w:t>
      </w:r>
      <w:r w:rsidR="00423BBC">
        <w:t>consists</w:t>
      </w:r>
      <w:r>
        <w:t xml:space="preserve"> of three TIG welds and </w:t>
      </w:r>
      <w:r w:rsidR="00AC07BE">
        <w:t xml:space="preserve">15 questions.  It should be noted, that prior instruction about TIG welding is not </w:t>
      </w:r>
      <w:r w:rsidR="00D833E5">
        <w:t>required</w:t>
      </w:r>
      <w:r w:rsidR="006A601D">
        <w:t xml:space="preserve"> </w:t>
      </w:r>
      <w:r w:rsidR="00AC07BE">
        <w:t xml:space="preserve">if the tutorial videos are utilized by the students.  When a student starts the game they must select their filler material to be used.  The selections </w:t>
      </w:r>
      <w:r w:rsidR="00AC07BE">
        <w:lastRenderedPageBreak/>
        <w:t xml:space="preserve">range from thin, normal, and thick filler rod.  A selection for heat range must also be made which range from 1400, 1500, and 1600 degrees Celsius.  The student will then get to perform </w:t>
      </w:r>
      <w:r w:rsidR="003D7C54">
        <w:t>a series of</w:t>
      </w:r>
      <w:r w:rsidR="00AC07BE">
        <w:t xml:space="preserve"> three welds</w:t>
      </w:r>
      <w:r w:rsidR="003E4945">
        <w:t>.</w:t>
      </w:r>
      <w:r w:rsidR="00AC07BE">
        <w:t xml:space="preserve">  </w:t>
      </w:r>
      <w:r w:rsidR="003E4945">
        <w:t xml:space="preserve">Safety </w:t>
      </w:r>
      <w:r w:rsidR="00D833E5">
        <w:t xml:space="preserve">procedures and </w:t>
      </w:r>
      <w:r w:rsidR="003D7C54">
        <w:t xml:space="preserve">personal protective equipment are reinforced in </w:t>
      </w:r>
      <w:r w:rsidR="003E4945">
        <w:t xml:space="preserve">the game by requiring the students to lower a welding visor </w:t>
      </w:r>
      <w:r w:rsidR="003D7C54">
        <w:t>prior</w:t>
      </w:r>
      <w:r w:rsidR="003E4945">
        <w:t xml:space="preserve"> to weld</w:t>
      </w:r>
      <w:r w:rsidR="00D833E5">
        <w:t>ing</w:t>
      </w:r>
      <w:r w:rsidR="003E4945">
        <w:t xml:space="preserve"> or be </w:t>
      </w:r>
      <w:r w:rsidR="003D7C54">
        <w:t>virtually exposed to arc flash</w:t>
      </w:r>
      <w:r w:rsidR="003E4945">
        <w:t xml:space="preserve"> and</w:t>
      </w:r>
      <w:r w:rsidR="00423BBC">
        <w:t xml:space="preserve"> required to</w:t>
      </w:r>
      <w:r w:rsidR="003E4945">
        <w:t xml:space="preserve"> start over.  </w:t>
      </w:r>
      <w:r w:rsidR="00AC07BE">
        <w:t xml:space="preserve">After each weld is performed the student </w:t>
      </w:r>
      <w:r w:rsidR="00423BBC">
        <w:t>is</w:t>
      </w:r>
      <w:r w:rsidR="00AC07BE">
        <w:t xml:space="preserve"> required to answer five questions pertaining to TIG welding before </w:t>
      </w:r>
      <w:r w:rsidR="003D7C54">
        <w:t>advancing</w:t>
      </w:r>
      <w:r w:rsidR="00AC07BE">
        <w:t xml:space="preserve"> to the next weld.</w:t>
      </w:r>
      <w:r w:rsidR="003E4945">
        <w:t xml:space="preserve"> Once all three welds and 15 question have been completed the welds will be tested.  The </w:t>
      </w:r>
      <w:r w:rsidR="004D264C">
        <w:t xml:space="preserve">destructive </w:t>
      </w:r>
      <w:r w:rsidR="003E4945">
        <w:t xml:space="preserve">weld test used is termed </w:t>
      </w:r>
      <w:r w:rsidR="003E4945">
        <w:rPr>
          <w:i/>
        </w:rPr>
        <w:t>the</w:t>
      </w:r>
      <w:r w:rsidR="003E4945">
        <w:t xml:space="preserve"> </w:t>
      </w:r>
      <w:r w:rsidR="003E4945">
        <w:rPr>
          <w:i/>
        </w:rPr>
        <w:t>wall of death</w:t>
      </w:r>
      <w:r w:rsidR="003E4945">
        <w:t xml:space="preserve"> where a wrecking ball i</w:t>
      </w:r>
      <w:r w:rsidR="003D7C54">
        <w:t>s used to test the welds</w:t>
      </w:r>
      <w:r w:rsidR="003E4945">
        <w:t xml:space="preserve">.  If the welds fail the </w:t>
      </w:r>
      <w:r w:rsidR="004D264C">
        <w:t>wrecking ball will break the welds knocking down the welder.  If the welds pass the wrecking ball will not break the welds saving the welder from being knocked down.</w:t>
      </w:r>
    </w:p>
    <w:p w:rsidR="009F4D34" w:rsidRDefault="003E4945" w:rsidP="00791FF3">
      <w:pPr>
        <w:ind w:firstLine="720"/>
      </w:pPr>
      <w:r>
        <w:t xml:space="preserve">Teachers can structure instruction around this game in various ways such as letting students have free roam of the website to learn about TIG welding or incorporate it into classroom instruction.  One limitation to using this website is technology.  If educators have limited amount of computers they will be limited in how they can incorporate the website.  If educators are in </w:t>
      </w:r>
      <w:r w:rsidR="004D264C">
        <w:t>one</w:t>
      </w:r>
      <w:r w:rsidR="00423BBC">
        <w:t xml:space="preserve"> to one </w:t>
      </w:r>
      <w:r w:rsidR="004D264C">
        <w:t>school incorporation</w:t>
      </w:r>
      <w:r w:rsidR="003D7C54">
        <w:t xml:space="preserve"> sh</w:t>
      </w:r>
      <w:r>
        <w:t xml:space="preserve">ould be easy. </w:t>
      </w:r>
      <w:r w:rsidR="004D264C">
        <w:t>There are multiple ways to integrate the game but researchers recommend</w:t>
      </w:r>
      <w:r>
        <w:t xml:space="preserve"> </w:t>
      </w:r>
      <w:r w:rsidR="004D264C">
        <w:t xml:space="preserve">that </w:t>
      </w:r>
      <w:r>
        <w:t>students view a video individual</w:t>
      </w:r>
      <w:r w:rsidR="00423BBC">
        <w:t>ly</w:t>
      </w:r>
      <w:r>
        <w:t xml:space="preserve"> or </w:t>
      </w:r>
      <w:r w:rsidR="00D833E5">
        <w:t xml:space="preserve">as </w:t>
      </w:r>
      <w:r>
        <w:t xml:space="preserve">a class and </w:t>
      </w:r>
      <w:r w:rsidR="004D264C">
        <w:t>discuss the</w:t>
      </w:r>
      <w:r w:rsidR="00423BBC">
        <w:t xml:space="preserve"> underlying theories</w:t>
      </w:r>
      <w:r>
        <w:t xml:space="preserve"> </w:t>
      </w:r>
      <w:r w:rsidR="00423BBC">
        <w:t>en</w:t>
      </w:r>
      <w:r>
        <w:t>sur</w:t>
      </w:r>
      <w:r w:rsidR="00423BBC">
        <w:t>ing</w:t>
      </w:r>
      <w:r>
        <w:t xml:space="preserve"> th</w:t>
      </w:r>
      <w:r w:rsidR="00423BBC">
        <w:t>at the students</w:t>
      </w:r>
      <w:r>
        <w:t xml:space="preserve"> understand the </w:t>
      </w:r>
      <w:r w:rsidR="00423BBC">
        <w:t>principles of TIG welding</w:t>
      </w:r>
      <w:r>
        <w:t xml:space="preserve">.  Then allow the students to watch the game tutorial video so that everyone </w:t>
      </w:r>
      <w:r w:rsidR="00423BBC">
        <w:t xml:space="preserve">understands how to </w:t>
      </w:r>
      <w:r>
        <w:t xml:space="preserve">play the game correctly.  A </w:t>
      </w:r>
      <w:r w:rsidR="00423BBC">
        <w:t>welding contest</w:t>
      </w:r>
      <w:r>
        <w:t xml:space="preserve"> could be set up</w:t>
      </w:r>
      <w:r w:rsidR="00E25248">
        <w:t xml:space="preserve"> within the class to see who can get the highest </w:t>
      </w:r>
      <w:r w:rsidR="00D833E5">
        <w:t xml:space="preserve">virtual </w:t>
      </w:r>
      <w:r w:rsidR="00E25248">
        <w:t>score as a TIG welder.</w:t>
      </w:r>
    </w:p>
    <w:p w:rsidR="00E25248" w:rsidRDefault="00E25248" w:rsidP="00791FF3">
      <w:pPr>
        <w:spacing w:after="0"/>
        <w:jc w:val="center"/>
      </w:pPr>
      <w:r>
        <w:rPr>
          <w:b/>
        </w:rPr>
        <w:t>Implications</w:t>
      </w:r>
    </w:p>
    <w:p w:rsidR="00E25248" w:rsidRDefault="00E25248" w:rsidP="00791FF3">
      <w:pPr>
        <w:ind w:firstLine="720"/>
      </w:pPr>
      <w:r>
        <w:t xml:space="preserve">The utilization of the </w:t>
      </w:r>
      <w:proofErr w:type="spellStart"/>
      <w:r>
        <w:t>TradesGamer</w:t>
      </w:r>
      <w:proofErr w:type="spellEnd"/>
      <w:r>
        <w:t xml:space="preserve"> website can help educators introduce students to TIG welding. </w:t>
      </w:r>
      <w:r w:rsidR="00F74F17">
        <w:t>Please note that we recommend this as a teaching aid, we are not suggesting that this is a replacement</w:t>
      </w:r>
      <w:r w:rsidR="00F74F17" w:rsidRPr="00F74F17">
        <w:t xml:space="preserve"> </w:t>
      </w:r>
      <w:r w:rsidR="00F74F17">
        <w:t xml:space="preserve">to </w:t>
      </w:r>
      <w:proofErr w:type="spellStart"/>
      <w:r w:rsidR="00F74F17">
        <w:t>Tig</w:t>
      </w:r>
      <w:proofErr w:type="spellEnd"/>
      <w:r w:rsidR="00F74F17">
        <w:t xml:space="preserve"> welding.</w:t>
      </w:r>
      <w:r>
        <w:t xml:space="preserve"> The game can also give non-traditional students the ability to experience welding if they are anxious about the dangers of welding</w:t>
      </w:r>
      <w:r w:rsidR="00685150">
        <w:t xml:space="preserve"> by learning about selecting filler rod, machine adjustment, and correct personal protective equipment</w:t>
      </w:r>
      <w:r>
        <w:t>.  Anderson and Byrd (2012) postulated that with the use of simulations a student’s anxiety level may decrease.</w:t>
      </w:r>
    </w:p>
    <w:p w:rsidR="00E25248" w:rsidRDefault="00E25248" w:rsidP="00791FF3">
      <w:pPr>
        <w:spacing w:after="0"/>
        <w:jc w:val="center"/>
      </w:pPr>
      <w:r>
        <w:rPr>
          <w:b/>
        </w:rPr>
        <w:t>Future Plans</w:t>
      </w:r>
    </w:p>
    <w:p w:rsidR="00E25248" w:rsidRDefault="00791FF3" w:rsidP="00791FF3">
      <w:pPr>
        <w:ind w:firstLine="720"/>
      </w:pPr>
      <w:r>
        <w:t>The r</w:t>
      </w:r>
      <w:r w:rsidR="00E25248">
        <w:t>esearchers plan to introduce the availability of the website to</w:t>
      </w:r>
      <w:r w:rsidR="000A0E7F">
        <w:t xml:space="preserve"> secondary teachers</w:t>
      </w:r>
      <w:r w:rsidR="00685150">
        <w:t xml:space="preserve"> through the NAAE communities of practice</w:t>
      </w:r>
      <w:r w:rsidR="000A0E7F">
        <w:t xml:space="preserve">. </w:t>
      </w:r>
      <w:r>
        <w:t>The r</w:t>
      </w:r>
      <w:r w:rsidR="000A0E7F">
        <w:t xml:space="preserve">esearchers </w:t>
      </w:r>
      <w:r>
        <w:t>plan</w:t>
      </w:r>
      <w:r w:rsidR="000A0E7F">
        <w:t xml:space="preserve"> to introduce the website to pre-service teachers in the Methods of Teaching Agricultural Mechanics course.  </w:t>
      </w:r>
      <w:r>
        <w:t>An e</w:t>
      </w:r>
      <w:r w:rsidR="000A0E7F">
        <w:t>valuation of the website and its usefulness in an agricultural education classroom will also be conducted with pre-service teachers</w:t>
      </w:r>
      <w:r w:rsidR="00373B56">
        <w:t xml:space="preserve"> in the Methods of Teaching Agricultural Mechanics course.</w:t>
      </w:r>
    </w:p>
    <w:p w:rsidR="00791FF3" w:rsidRDefault="00373B56" w:rsidP="00791FF3">
      <w:pPr>
        <w:spacing w:after="0"/>
        <w:jc w:val="center"/>
      </w:pPr>
      <w:r>
        <w:rPr>
          <w:b/>
        </w:rPr>
        <w:t>Costs/Resources Needed</w:t>
      </w:r>
    </w:p>
    <w:p w:rsidR="00685150" w:rsidRDefault="00373B56" w:rsidP="00791FF3">
      <w:pPr>
        <w:ind w:firstLine="720"/>
      </w:pPr>
      <w:r>
        <w:t>It is free to utilize the internet website http://www.tradesgamer.com.  The resources needed by educators will be the use of computers or tablet that has inte</w:t>
      </w:r>
      <w:r w:rsidR="00BF220F">
        <w:t xml:space="preserve">rnet access and can support Adobe flash player.  Time will also be needed by the teacher </w:t>
      </w:r>
      <w:r w:rsidR="00423BBC">
        <w:t xml:space="preserve">to identify the most appropriate </w:t>
      </w:r>
      <w:r w:rsidR="00685150">
        <w:t>time to</w:t>
      </w:r>
      <w:r w:rsidR="00BF220F">
        <w:t xml:space="preserve"> incorporate the website into the current curriculum.</w:t>
      </w:r>
    </w:p>
    <w:p w:rsidR="00791FF3" w:rsidRDefault="00791FF3" w:rsidP="00791FF3">
      <w:pPr>
        <w:ind w:firstLine="720"/>
      </w:pPr>
    </w:p>
    <w:p w:rsidR="00B7669B" w:rsidRDefault="00B7669B" w:rsidP="00685150">
      <w:pPr>
        <w:jc w:val="center"/>
      </w:pPr>
      <w:r>
        <w:rPr>
          <w:b/>
        </w:rPr>
        <w:t>References</w:t>
      </w:r>
    </w:p>
    <w:p w:rsidR="0026101D" w:rsidRPr="0026101D" w:rsidRDefault="0026101D" w:rsidP="00B7669B">
      <w:pPr>
        <w:ind w:left="720" w:hanging="720"/>
      </w:pPr>
      <w:proofErr w:type="gramStart"/>
      <w:r>
        <w:t>Born, K. A., &amp; Miller, G. (1999).</w:t>
      </w:r>
      <w:proofErr w:type="gramEnd"/>
      <w:r>
        <w:t xml:space="preserve"> Faculty perceptions of web-based distance education in agriculture. </w:t>
      </w:r>
      <w:r>
        <w:rPr>
          <w:i/>
        </w:rPr>
        <w:t>Journal of Agricultural Education, 40</w:t>
      </w:r>
      <w:r>
        <w:t xml:space="preserve">(3), 30-39. </w:t>
      </w:r>
      <w:proofErr w:type="gramStart"/>
      <w:r>
        <w:t>doi</w:t>
      </w:r>
      <w:proofErr w:type="gramEnd"/>
      <w:r>
        <w:t xml:space="preserve">: </w:t>
      </w:r>
      <w:r w:rsidRPr="0026101D">
        <w:t>10.5032/jae.1999.03030</w:t>
      </w:r>
    </w:p>
    <w:p w:rsidR="00B7669B" w:rsidRPr="00B7669B" w:rsidRDefault="00B7669B" w:rsidP="00B7669B">
      <w:pPr>
        <w:ind w:left="720" w:hanging="720"/>
      </w:pPr>
      <w:proofErr w:type="gramStart"/>
      <w:r>
        <w:t xml:space="preserve">Boyd, B. L., &amp; </w:t>
      </w:r>
      <w:proofErr w:type="spellStart"/>
      <w:r>
        <w:t>Murphrey</w:t>
      </w:r>
      <w:proofErr w:type="spellEnd"/>
      <w:r>
        <w:t>, T. P. (2002).</w:t>
      </w:r>
      <w:proofErr w:type="gramEnd"/>
      <w:r>
        <w:t xml:space="preserve"> </w:t>
      </w:r>
      <w:proofErr w:type="gramStart"/>
      <w:r>
        <w:t>Evaluation of a computer-based, asynchronous activity on student learning of leadership concepts.</w:t>
      </w:r>
      <w:proofErr w:type="gramEnd"/>
      <w:r>
        <w:t xml:space="preserve"> </w:t>
      </w:r>
      <w:r>
        <w:rPr>
          <w:i/>
        </w:rPr>
        <w:t>Journal of Agricultural Education, 43</w:t>
      </w:r>
      <w:r>
        <w:t>(1)</w:t>
      </w:r>
      <w:r w:rsidR="0014476D">
        <w:t>,</w:t>
      </w:r>
      <w:r>
        <w:t xml:space="preserve"> 36-45. </w:t>
      </w:r>
      <w:proofErr w:type="gramStart"/>
      <w:r>
        <w:t>doi</w:t>
      </w:r>
      <w:proofErr w:type="gramEnd"/>
      <w:r>
        <w:t>: 10.5032/jae.2002.01036</w:t>
      </w:r>
    </w:p>
    <w:p w:rsidR="00B7669B" w:rsidRDefault="00B7669B" w:rsidP="00B7669B">
      <w:pPr>
        <w:ind w:left="720" w:hanging="720"/>
      </w:pPr>
      <w:proofErr w:type="gramStart"/>
      <w:r>
        <w:t>Byrd, A. P., &amp; Anderson, R. G. (2012).</w:t>
      </w:r>
      <w:proofErr w:type="gramEnd"/>
      <w:r>
        <w:t xml:space="preserve"> </w:t>
      </w:r>
      <w:proofErr w:type="gramStart"/>
      <w:r>
        <w:t>Integrating virtual reality to reduce anxiety in beginning welders.</w:t>
      </w:r>
      <w:proofErr w:type="gramEnd"/>
      <w:r>
        <w:t xml:space="preserve">  </w:t>
      </w:r>
      <w:proofErr w:type="gramStart"/>
      <w:r>
        <w:rPr>
          <w:i/>
        </w:rPr>
        <w:t>Proceedings from the poster session of the North-Central Region American Association for Agricultural Education Research Conference.</w:t>
      </w:r>
      <w:proofErr w:type="gramEnd"/>
      <w:r>
        <w:rPr>
          <w:i/>
        </w:rPr>
        <w:t xml:space="preserve"> Champaign, Illinois</w:t>
      </w:r>
      <w:r>
        <w:t xml:space="preserve">. </w:t>
      </w:r>
      <w:proofErr w:type="gramStart"/>
      <w:r>
        <w:t>20-23</w:t>
      </w:r>
      <w:r w:rsidR="00744B90">
        <w:t>.</w:t>
      </w:r>
      <w:proofErr w:type="gramEnd"/>
    </w:p>
    <w:p w:rsidR="00744B90" w:rsidRPr="00744B90" w:rsidRDefault="00744B90" w:rsidP="00B7669B">
      <w:pPr>
        <w:ind w:left="720" w:hanging="720"/>
      </w:pPr>
      <w:r>
        <w:t xml:space="preserve">Clark, M. S. (2011). Virtual reality arc welding: Training the digital native. </w:t>
      </w:r>
      <w:proofErr w:type="gramStart"/>
      <w:r>
        <w:rPr>
          <w:i/>
        </w:rPr>
        <w:t>Proceedings from the poster session of the National American Association for Agricultural Education Research Conference.</w:t>
      </w:r>
      <w:proofErr w:type="gramEnd"/>
      <w:r>
        <w:rPr>
          <w:i/>
        </w:rPr>
        <w:t xml:space="preserve"> Coeur d’Alene, Idaho</w:t>
      </w:r>
      <w:r>
        <w:t xml:space="preserve">. </w:t>
      </w:r>
      <w:proofErr w:type="gramStart"/>
      <w:r>
        <w:t>201-204.</w:t>
      </w:r>
      <w:proofErr w:type="gramEnd"/>
    </w:p>
    <w:p w:rsidR="00B7669B" w:rsidRDefault="00B7669B" w:rsidP="00B7669B">
      <w:pPr>
        <w:ind w:left="720" w:hanging="720"/>
      </w:pPr>
      <w:proofErr w:type="gramStart"/>
      <w:r>
        <w:t>de</w:t>
      </w:r>
      <w:proofErr w:type="gramEnd"/>
      <w:r>
        <w:t xml:space="preserve"> </w:t>
      </w:r>
      <w:proofErr w:type="spellStart"/>
      <w:r>
        <w:t>Freitas</w:t>
      </w:r>
      <w:proofErr w:type="spellEnd"/>
      <w:r>
        <w:t xml:space="preserve">, S., &amp; Neumann, T. (2009). </w:t>
      </w:r>
      <w:proofErr w:type="gramStart"/>
      <w:r>
        <w:t>The use of ‘exploratory learning’ for supporting immersive learning in virtual environments.</w:t>
      </w:r>
      <w:proofErr w:type="gramEnd"/>
      <w:r>
        <w:t xml:space="preserve"> </w:t>
      </w:r>
      <w:r>
        <w:rPr>
          <w:i/>
        </w:rPr>
        <w:t>Computers &amp; Education, 52</w:t>
      </w:r>
      <w:r w:rsidR="0014476D">
        <w:t>,</w:t>
      </w:r>
      <w:r>
        <w:t xml:space="preserve"> </w:t>
      </w:r>
      <w:r w:rsidR="0014476D">
        <w:t xml:space="preserve">343-352. </w:t>
      </w:r>
      <w:proofErr w:type="gramStart"/>
      <w:r w:rsidR="0014476D">
        <w:t>doi</w:t>
      </w:r>
      <w:proofErr w:type="gramEnd"/>
      <w:r w:rsidR="0014476D">
        <w:t>: 10.1016/j.compedu.2008.09.010</w:t>
      </w:r>
    </w:p>
    <w:p w:rsidR="0014476D" w:rsidRDefault="0014476D" w:rsidP="00B7669B">
      <w:pPr>
        <w:ind w:left="720" w:hanging="720"/>
      </w:pPr>
      <w:proofErr w:type="gramStart"/>
      <w:r>
        <w:t>de</w:t>
      </w:r>
      <w:proofErr w:type="gramEnd"/>
      <w:r>
        <w:t xml:space="preserve"> </w:t>
      </w:r>
      <w:proofErr w:type="spellStart"/>
      <w:r>
        <w:t>Freitas</w:t>
      </w:r>
      <w:proofErr w:type="spellEnd"/>
      <w:r>
        <w:t xml:space="preserve">, S., &amp; Oliver, M. (2006). How can exploratory learning with games and simulations within the curriculum be most effectively evaluated? </w:t>
      </w:r>
      <w:r>
        <w:rPr>
          <w:i/>
        </w:rPr>
        <w:t>Computers &amp; Education, 46</w:t>
      </w:r>
      <w:r>
        <w:t xml:space="preserve">, 249-264. </w:t>
      </w:r>
      <w:proofErr w:type="gramStart"/>
      <w:r>
        <w:t>doi</w:t>
      </w:r>
      <w:proofErr w:type="gramEnd"/>
      <w:r>
        <w:t>: 10.1016/j.compedu.2005.11.007</w:t>
      </w:r>
    </w:p>
    <w:p w:rsidR="0026101D" w:rsidRPr="0026101D" w:rsidRDefault="0026101D" w:rsidP="00B7669B">
      <w:pPr>
        <w:ind w:left="720" w:hanging="720"/>
      </w:pPr>
      <w:proofErr w:type="spellStart"/>
      <w:r>
        <w:t>Jeffus</w:t>
      </w:r>
      <w:proofErr w:type="spellEnd"/>
      <w:r>
        <w:t xml:space="preserve">, L. (2012). </w:t>
      </w:r>
      <w:proofErr w:type="gramStart"/>
      <w:r>
        <w:rPr>
          <w:i/>
        </w:rPr>
        <w:t>Welding and Metal Fabrication.</w:t>
      </w:r>
      <w:proofErr w:type="gramEnd"/>
      <w:r>
        <w:t xml:space="preserve"> Clifton Park, New York: Delmar</w:t>
      </w:r>
    </w:p>
    <w:p w:rsidR="006A601D" w:rsidRPr="00F0052D" w:rsidRDefault="006A601D" w:rsidP="00B7669B">
      <w:pPr>
        <w:ind w:left="720" w:hanging="720"/>
      </w:pPr>
      <w:proofErr w:type="gramStart"/>
      <w:r>
        <w:t>Shultz, M., Anderson R., Paulsen, T., &amp; Shultz, A. (2013).</w:t>
      </w:r>
      <w:proofErr w:type="gramEnd"/>
      <w:r>
        <w:t xml:space="preserve"> </w:t>
      </w:r>
      <w:proofErr w:type="gramStart"/>
      <w:r>
        <w:t>Importance and capability of teaching agricultural mechanics as perceived by secondary agricultural educators.</w:t>
      </w:r>
      <w:proofErr w:type="gramEnd"/>
      <w:r>
        <w:t xml:space="preserve"> </w:t>
      </w:r>
      <w:r w:rsidR="00F0052D">
        <w:rPr>
          <w:i/>
        </w:rPr>
        <w:t xml:space="preserve">Proceedings of the National American Association for Agricultural Education Research Conference, 40, Columbus, Ohio, </w:t>
      </w:r>
      <w:r w:rsidR="00F0052D">
        <w:t>52-68.</w:t>
      </w:r>
    </w:p>
    <w:p w:rsidR="0014476D" w:rsidRPr="0014476D" w:rsidRDefault="0014476D" w:rsidP="00B7669B">
      <w:pPr>
        <w:ind w:left="720" w:hanging="720"/>
      </w:pPr>
      <w:proofErr w:type="gramStart"/>
      <w:r>
        <w:t>Vogel, J. J., Vogel, D. S., Cannon-Bowers, J., Bowers, C. A., Muse, K., &amp; Wright, M. (2006).</w:t>
      </w:r>
      <w:proofErr w:type="gramEnd"/>
      <w:r>
        <w:t xml:space="preserve"> Computer gaming and interactive simulations for learning: A meta-analysis. </w:t>
      </w:r>
      <w:r>
        <w:rPr>
          <w:i/>
        </w:rPr>
        <w:t>J. Educational Computing Research, 34</w:t>
      </w:r>
      <w:r>
        <w:t xml:space="preserve">(3), 229-243. Retrieved from </w:t>
      </w:r>
      <w:r w:rsidRPr="0014476D">
        <w:t>http://baywood.metapress.com/app/home/main.asp</w:t>
      </w:r>
    </w:p>
    <w:p w:rsidR="00B7669B" w:rsidRPr="00B7669B" w:rsidRDefault="00B7669B">
      <w:pPr>
        <w:ind w:left="720" w:hanging="720"/>
      </w:pPr>
    </w:p>
    <w:sectPr w:rsidR="00B7669B" w:rsidRPr="00B7669B" w:rsidSect="00F1308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1D1"/>
    <w:rsid w:val="00092E39"/>
    <w:rsid w:val="000A0E7F"/>
    <w:rsid w:val="000B3B05"/>
    <w:rsid w:val="0014476D"/>
    <w:rsid w:val="001A31D1"/>
    <w:rsid w:val="001D4EFB"/>
    <w:rsid w:val="0026101D"/>
    <w:rsid w:val="00373B56"/>
    <w:rsid w:val="003B271B"/>
    <w:rsid w:val="003D7C54"/>
    <w:rsid w:val="003E4945"/>
    <w:rsid w:val="00423BBC"/>
    <w:rsid w:val="004D264C"/>
    <w:rsid w:val="00553CB1"/>
    <w:rsid w:val="006000A2"/>
    <w:rsid w:val="00685150"/>
    <w:rsid w:val="006A601D"/>
    <w:rsid w:val="006B3393"/>
    <w:rsid w:val="00732BC3"/>
    <w:rsid w:val="00744B90"/>
    <w:rsid w:val="00791FF3"/>
    <w:rsid w:val="008302BD"/>
    <w:rsid w:val="009F4D34"/>
    <w:rsid w:val="00A07B0C"/>
    <w:rsid w:val="00A73980"/>
    <w:rsid w:val="00AC07BE"/>
    <w:rsid w:val="00B7669B"/>
    <w:rsid w:val="00BF220F"/>
    <w:rsid w:val="00C00943"/>
    <w:rsid w:val="00C82AFB"/>
    <w:rsid w:val="00D40070"/>
    <w:rsid w:val="00D833E5"/>
    <w:rsid w:val="00DB6D17"/>
    <w:rsid w:val="00E25248"/>
    <w:rsid w:val="00F0052D"/>
    <w:rsid w:val="00F13081"/>
    <w:rsid w:val="00F74F17"/>
    <w:rsid w:val="00FD7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943"/>
    <w:rPr>
      <w:color w:val="0000FF" w:themeColor="hyperlink"/>
      <w:u w:val="single"/>
    </w:rPr>
  </w:style>
  <w:style w:type="character" w:styleId="CommentReference">
    <w:name w:val="annotation reference"/>
    <w:basedOn w:val="DefaultParagraphFont"/>
    <w:uiPriority w:val="99"/>
    <w:semiHidden/>
    <w:unhideWhenUsed/>
    <w:rsid w:val="001D4EFB"/>
    <w:rPr>
      <w:sz w:val="16"/>
      <w:szCs w:val="16"/>
    </w:rPr>
  </w:style>
  <w:style w:type="paragraph" w:styleId="CommentText">
    <w:name w:val="annotation text"/>
    <w:basedOn w:val="Normal"/>
    <w:link w:val="CommentTextChar"/>
    <w:uiPriority w:val="99"/>
    <w:semiHidden/>
    <w:unhideWhenUsed/>
    <w:rsid w:val="001D4EFB"/>
    <w:pPr>
      <w:spacing w:line="240" w:lineRule="auto"/>
    </w:pPr>
    <w:rPr>
      <w:sz w:val="20"/>
      <w:szCs w:val="20"/>
    </w:rPr>
  </w:style>
  <w:style w:type="character" w:customStyle="1" w:styleId="CommentTextChar">
    <w:name w:val="Comment Text Char"/>
    <w:basedOn w:val="DefaultParagraphFont"/>
    <w:link w:val="CommentText"/>
    <w:uiPriority w:val="99"/>
    <w:semiHidden/>
    <w:rsid w:val="001D4EFB"/>
    <w:rPr>
      <w:sz w:val="20"/>
      <w:szCs w:val="20"/>
    </w:rPr>
  </w:style>
  <w:style w:type="paragraph" w:styleId="CommentSubject">
    <w:name w:val="annotation subject"/>
    <w:basedOn w:val="CommentText"/>
    <w:next w:val="CommentText"/>
    <w:link w:val="CommentSubjectChar"/>
    <w:uiPriority w:val="99"/>
    <w:semiHidden/>
    <w:unhideWhenUsed/>
    <w:rsid w:val="001D4EFB"/>
    <w:rPr>
      <w:b/>
      <w:bCs/>
    </w:rPr>
  </w:style>
  <w:style w:type="character" w:customStyle="1" w:styleId="CommentSubjectChar">
    <w:name w:val="Comment Subject Char"/>
    <w:basedOn w:val="CommentTextChar"/>
    <w:link w:val="CommentSubject"/>
    <w:uiPriority w:val="99"/>
    <w:semiHidden/>
    <w:rsid w:val="001D4EFB"/>
    <w:rPr>
      <w:b/>
      <w:bCs/>
      <w:sz w:val="20"/>
      <w:szCs w:val="20"/>
    </w:rPr>
  </w:style>
  <w:style w:type="paragraph" w:styleId="BalloonText">
    <w:name w:val="Balloon Text"/>
    <w:basedOn w:val="Normal"/>
    <w:link w:val="BalloonTextChar"/>
    <w:uiPriority w:val="99"/>
    <w:semiHidden/>
    <w:unhideWhenUsed/>
    <w:rsid w:val="001D4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EFB"/>
    <w:rPr>
      <w:rFonts w:ascii="Tahoma" w:hAnsi="Tahoma" w:cs="Tahoma"/>
      <w:sz w:val="16"/>
      <w:szCs w:val="16"/>
    </w:rPr>
  </w:style>
  <w:style w:type="paragraph" w:styleId="NoSpacing">
    <w:name w:val="No Spacing"/>
    <w:link w:val="NoSpacingChar"/>
    <w:uiPriority w:val="1"/>
    <w:qFormat/>
    <w:rsid w:val="00F13081"/>
    <w:pPr>
      <w:spacing w:after="0" w:line="240" w:lineRule="auto"/>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F13081"/>
    <w:rPr>
      <w:rFonts w:asciiTheme="minorHAnsi" w:eastAsiaTheme="minorEastAsia" w:hAnsiTheme="minorHAnsi"/>
      <w:sz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943"/>
    <w:rPr>
      <w:color w:val="0000FF" w:themeColor="hyperlink"/>
      <w:u w:val="single"/>
    </w:rPr>
  </w:style>
  <w:style w:type="character" w:styleId="CommentReference">
    <w:name w:val="annotation reference"/>
    <w:basedOn w:val="DefaultParagraphFont"/>
    <w:uiPriority w:val="99"/>
    <w:semiHidden/>
    <w:unhideWhenUsed/>
    <w:rsid w:val="001D4EFB"/>
    <w:rPr>
      <w:sz w:val="16"/>
      <w:szCs w:val="16"/>
    </w:rPr>
  </w:style>
  <w:style w:type="paragraph" w:styleId="CommentText">
    <w:name w:val="annotation text"/>
    <w:basedOn w:val="Normal"/>
    <w:link w:val="CommentTextChar"/>
    <w:uiPriority w:val="99"/>
    <w:semiHidden/>
    <w:unhideWhenUsed/>
    <w:rsid w:val="001D4EFB"/>
    <w:pPr>
      <w:spacing w:line="240" w:lineRule="auto"/>
    </w:pPr>
    <w:rPr>
      <w:sz w:val="20"/>
      <w:szCs w:val="20"/>
    </w:rPr>
  </w:style>
  <w:style w:type="character" w:customStyle="1" w:styleId="CommentTextChar">
    <w:name w:val="Comment Text Char"/>
    <w:basedOn w:val="DefaultParagraphFont"/>
    <w:link w:val="CommentText"/>
    <w:uiPriority w:val="99"/>
    <w:semiHidden/>
    <w:rsid w:val="001D4EFB"/>
    <w:rPr>
      <w:sz w:val="20"/>
      <w:szCs w:val="20"/>
    </w:rPr>
  </w:style>
  <w:style w:type="paragraph" w:styleId="CommentSubject">
    <w:name w:val="annotation subject"/>
    <w:basedOn w:val="CommentText"/>
    <w:next w:val="CommentText"/>
    <w:link w:val="CommentSubjectChar"/>
    <w:uiPriority w:val="99"/>
    <w:semiHidden/>
    <w:unhideWhenUsed/>
    <w:rsid w:val="001D4EFB"/>
    <w:rPr>
      <w:b/>
      <w:bCs/>
    </w:rPr>
  </w:style>
  <w:style w:type="character" w:customStyle="1" w:styleId="CommentSubjectChar">
    <w:name w:val="Comment Subject Char"/>
    <w:basedOn w:val="CommentTextChar"/>
    <w:link w:val="CommentSubject"/>
    <w:uiPriority w:val="99"/>
    <w:semiHidden/>
    <w:rsid w:val="001D4EFB"/>
    <w:rPr>
      <w:b/>
      <w:bCs/>
      <w:sz w:val="20"/>
      <w:szCs w:val="20"/>
    </w:rPr>
  </w:style>
  <w:style w:type="paragraph" w:styleId="BalloonText">
    <w:name w:val="Balloon Text"/>
    <w:basedOn w:val="Normal"/>
    <w:link w:val="BalloonTextChar"/>
    <w:uiPriority w:val="99"/>
    <w:semiHidden/>
    <w:unhideWhenUsed/>
    <w:rsid w:val="001D4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EFB"/>
    <w:rPr>
      <w:rFonts w:ascii="Tahoma" w:hAnsi="Tahoma" w:cs="Tahoma"/>
      <w:sz w:val="16"/>
      <w:szCs w:val="16"/>
    </w:rPr>
  </w:style>
  <w:style w:type="paragraph" w:styleId="NoSpacing">
    <w:name w:val="No Spacing"/>
    <w:link w:val="NoSpacingChar"/>
    <w:uiPriority w:val="1"/>
    <w:qFormat/>
    <w:rsid w:val="00F13081"/>
    <w:pPr>
      <w:spacing w:after="0" w:line="240" w:lineRule="auto"/>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F13081"/>
    <w:rPr>
      <w:rFonts w:asciiTheme="minorHAnsi" w:eastAsiaTheme="minorEastAsia" w:hAnsiTheme="minorHAnsi"/>
      <w:sz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1285</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2014-02-20T18:54:00Z</dcterms:created>
  <dcterms:modified xsi:type="dcterms:W3CDTF">2014-02-20T18:54:00Z</dcterms:modified>
</cp:coreProperties>
</file>