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Default="00C30446" w:rsidP="00B929A7">
      <w:pPr>
        <w:pStyle w:val="Title"/>
        <w:jc w:val="right"/>
      </w:pPr>
      <w:r>
        <w:t>Research Poster</w:t>
      </w:r>
    </w:p>
    <w:p w:rsidR="00763512" w:rsidRDefault="00763512" w:rsidP="00763512">
      <w:pPr>
        <w:pStyle w:val="Title"/>
      </w:pPr>
    </w:p>
    <w:p w:rsidR="00763512" w:rsidRDefault="00763512" w:rsidP="00763512">
      <w:pPr>
        <w:pStyle w:val="Title"/>
      </w:pPr>
    </w:p>
    <w:p w:rsidR="00763512" w:rsidRDefault="00763512" w:rsidP="00763512">
      <w:pPr>
        <w:pStyle w:val="Title"/>
      </w:pPr>
    </w:p>
    <w:p w:rsidR="00763512" w:rsidRDefault="00763512" w:rsidP="00763512">
      <w:pPr>
        <w:pStyle w:val="Title"/>
      </w:pPr>
    </w:p>
    <w:p w:rsidR="00763512" w:rsidRDefault="00C30446" w:rsidP="00763512">
      <w:pPr>
        <w:pStyle w:val="Title"/>
      </w:pPr>
      <w:r>
        <w:t>A Duroc and a Plymouth Rock</w:t>
      </w:r>
      <w:proofErr w:type="gramStart"/>
      <w:r>
        <w:t>:</w:t>
      </w:r>
      <w:proofErr w:type="gramEnd"/>
      <w:r>
        <w:br/>
        <w:t>The evolution of formal agriculture teacher training in the United States</w:t>
      </w:r>
    </w:p>
    <w:p w:rsidR="005E7A11" w:rsidRDefault="005E7A11" w:rsidP="00763512">
      <w:pPr>
        <w:pStyle w:val="Title"/>
        <w:rPr>
          <w:b w:val="0"/>
        </w:rPr>
      </w:pPr>
    </w:p>
    <w:p w:rsidR="00C30446" w:rsidRDefault="00C30446" w:rsidP="00763512">
      <w:pPr>
        <w:pStyle w:val="Title"/>
        <w:rPr>
          <w:b w:val="0"/>
        </w:rPr>
      </w:pPr>
    </w:p>
    <w:p w:rsidR="00C30446" w:rsidRDefault="00C30446" w:rsidP="00763512">
      <w:pPr>
        <w:pStyle w:val="Title"/>
        <w:rPr>
          <w:b w:val="0"/>
        </w:rPr>
      </w:pPr>
    </w:p>
    <w:p w:rsidR="00763512" w:rsidRPr="00763512" w:rsidRDefault="00C30446" w:rsidP="00763512">
      <w:pPr>
        <w:pStyle w:val="Title"/>
        <w:rPr>
          <w:b w:val="0"/>
        </w:rPr>
      </w:pPr>
      <w:r>
        <w:rPr>
          <w:b w:val="0"/>
        </w:rPr>
        <w:t xml:space="preserve">Meghan M. Wood  </w:t>
      </w:r>
    </w:p>
    <w:p w:rsidR="005E7A11" w:rsidRDefault="00C30446" w:rsidP="00C30446">
      <w:pPr>
        <w:pStyle w:val="Title"/>
        <w:rPr>
          <w:b w:val="0"/>
        </w:rPr>
      </w:pPr>
      <w:r>
        <w:rPr>
          <w:b w:val="0"/>
        </w:rPr>
        <w:t>North Carolina State University</w:t>
      </w:r>
    </w:p>
    <w:p w:rsidR="00763512" w:rsidRDefault="00C30446" w:rsidP="00C30446">
      <w:pPr>
        <w:pStyle w:val="Title"/>
        <w:rPr>
          <w:b w:val="0"/>
        </w:rPr>
      </w:pPr>
      <w:r>
        <w:rPr>
          <w:b w:val="0"/>
        </w:rPr>
        <w:t>Campus Box 7607</w:t>
      </w:r>
    </w:p>
    <w:p w:rsidR="0067485B" w:rsidRDefault="00C30446" w:rsidP="0067485B">
      <w:pPr>
        <w:pStyle w:val="Title"/>
        <w:rPr>
          <w:b w:val="0"/>
        </w:rPr>
      </w:pPr>
      <w:r>
        <w:rPr>
          <w:b w:val="0"/>
        </w:rPr>
        <w:t>Raleigh, NC 27695</w:t>
      </w:r>
    </w:p>
    <w:p w:rsidR="0067485B" w:rsidRDefault="00C30446" w:rsidP="0067485B">
      <w:pPr>
        <w:pStyle w:val="Title"/>
        <w:rPr>
          <w:b w:val="0"/>
        </w:rPr>
      </w:pPr>
      <w:r>
        <w:rPr>
          <w:b w:val="0"/>
        </w:rPr>
        <w:t>(864) 903-1730</w:t>
      </w:r>
    </w:p>
    <w:p w:rsidR="0067485B" w:rsidRDefault="00C30446" w:rsidP="0067485B">
      <w:pPr>
        <w:pStyle w:val="Title"/>
        <w:rPr>
          <w:b w:val="0"/>
        </w:rPr>
      </w:pPr>
      <w:r w:rsidRPr="00C30446">
        <w:rPr>
          <w:b w:val="0"/>
        </w:rPr>
        <w:t>mlwood3@ncsu.edu</w:t>
      </w:r>
    </w:p>
    <w:p w:rsidR="00C30446" w:rsidRDefault="00C30446" w:rsidP="0067485B">
      <w:pPr>
        <w:pStyle w:val="Title"/>
        <w:rPr>
          <w:b w:val="0"/>
        </w:rPr>
      </w:pPr>
    </w:p>
    <w:p w:rsidR="00C30446" w:rsidRDefault="00C30446" w:rsidP="0067485B">
      <w:pPr>
        <w:pStyle w:val="Title"/>
        <w:rPr>
          <w:b w:val="0"/>
        </w:rPr>
      </w:pPr>
    </w:p>
    <w:p w:rsidR="00C30446" w:rsidRDefault="00C30446" w:rsidP="0067485B">
      <w:pPr>
        <w:pStyle w:val="Title"/>
        <w:rPr>
          <w:b w:val="0"/>
        </w:rPr>
      </w:pPr>
    </w:p>
    <w:p w:rsidR="00C30446" w:rsidRDefault="00C30446" w:rsidP="0067485B">
      <w:pPr>
        <w:pStyle w:val="Title"/>
        <w:rPr>
          <w:b w:val="0"/>
        </w:rPr>
      </w:pPr>
      <w:r>
        <w:rPr>
          <w:b w:val="0"/>
        </w:rPr>
        <w:t>Dr. Barry Croom</w:t>
      </w:r>
      <w:r>
        <w:rPr>
          <w:b w:val="0"/>
        </w:rPr>
        <w:br/>
        <w:t>North Carolina State University</w:t>
      </w:r>
      <w:r>
        <w:rPr>
          <w:b w:val="0"/>
        </w:rPr>
        <w:br/>
        <w:t>Campus Box 7607</w:t>
      </w:r>
    </w:p>
    <w:p w:rsidR="00C30446" w:rsidRDefault="00C30446" w:rsidP="0067485B">
      <w:pPr>
        <w:pStyle w:val="Title"/>
        <w:rPr>
          <w:b w:val="0"/>
        </w:rPr>
      </w:pPr>
      <w:r>
        <w:rPr>
          <w:b w:val="0"/>
        </w:rPr>
        <w:t>Raleigh, NC 27695</w:t>
      </w:r>
    </w:p>
    <w:p w:rsidR="00C30446" w:rsidRDefault="00C30446" w:rsidP="0067485B">
      <w:pPr>
        <w:pStyle w:val="Title"/>
        <w:rPr>
          <w:b w:val="0"/>
        </w:rPr>
      </w:pPr>
      <w:r>
        <w:rPr>
          <w:b w:val="0"/>
        </w:rPr>
        <w:t>dbcroom@ncsu.edu</w:t>
      </w:r>
    </w:p>
    <w:p w:rsidR="005E7A11" w:rsidRDefault="005E7A11" w:rsidP="0067485B">
      <w:pPr>
        <w:pStyle w:val="Title"/>
        <w:rPr>
          <w:b w:val="0"/>
        </w:rPr>
      </w:pPr>
    </w:p>
    <w:p w:rsidR="005E7A11" w:rsidRDefault="005E7A11" w:rsidP="00763512">
      <w:pPr>
        <w:pStyle w:val="Title"/>
        <w:sectPr w:rsidR="005E7A11"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rsidR="00C30446" w:rsidRDefault="00C30446" w:rsidP="00C30446">
      <w:pPr>
        <w:pStyle w:val="Title"/>
      </w:pPr>
      <w:r>
        <w:lastRenderedPageBreak/>
        <w:t>A Duroc and a Plymouth Rock</w:t>
      </w:r>
      <w:proofErr w:type="gramStart"/>
      <w:r>
        <w:t>:</w:t>
      </w:r>
      <w:proofErr w:type="gramEnd"/>
      <w:r>
        <w:br/>
        <w:t>The evolution of formal agriculture teacher training in the United States</w:t>
      </w:r>
    </w:p>
    <w:p w:rsidR="004B57CB" w:rsidRDefault="004B57CB" w:rsidP="004B57CB">
      <w:pPr>
        <w:jc w:val="center"/>
      </w:pPr>
    </w:p>
    <w:p w:rsidR="005E7A11" w:rsidRPr="001424B1" w:rsidRDefault="00C30446" w:rsidP="005E7A11">
      <w:pPr>
        <w:rPr>
          <w:b/>
        </w:rPr>
      </w:pPr>
      <w:r w:rsidRPr="001424B1">
        <w:rPr>
          <w:b/>
        </w:rPr>
        <w:t>Introduction:</w:t>
      </w:r>
    </w:p>
    <w:p w:rsidR="001424B1" w:rsidRDefault="001424B1" w:rsidP="001424B1">
      <w:pPr>
        <w:ind w:firstLine="720"/>
      </w:pPr>
      <w:r>
        <w:t xml:space="preserve">The profession of agriculture teacher was created long before there were any colleges or schools available to prepare them for the classroom. By the end of the American Civil War, there were more than 1000 agricultural organizations in the United States providing instruction in agricultural practices (Talbert, Vaughn, Croom and Lee, 2013). The passage of the Morrill Act of 1862 marked a new beginning for agricultural education in the United States. Schools and universities needed high quality agricultural educators for their classrooms. Prior to the institution of agricultural education departments at colleges that provided essential training for teachers of agriculture, there were many questions regarding not only the sources in which a school could find an agriculture teacher but also in what methods were teachers trained to teach agriculture. Just as it is today, it was imperative in the early years of formal agricultural education that the agriculture teacher know both the technical agricultural content and have an understanding of pedagogical methods by which that content was taught.  </w:t>
      </w:r>
    </w:p>
    <w:p w:rsidR="001424B1" w:rsidRDefault="001424B1" w:rsidP="001424B1"/>
    <w:p w:rsidR="001424B1" w:rsidRDefault="001424B1" w:rsidP="001424B1">
      <w:pPr>
        <w:rPr>
          <w:b/>
        </w:rPr>
      </w:pPr>
      <w:r w:rsidRPr="001424B1">
        <w:rPr>
          <w:b/>
        </w:rPr>
        <w:t>Theoretical Framework:</w:t>
      </w:r>
    </w:p>
    <w:p w:rsidR="001424B1" w:rsidRDefault="001424B1" w:rsidP="001424B1">
      <w:pPr>
        <w:ind w:firstLine="360"/>
      </w:pPr>
      <w:r>
        <w:t xml:space="preserve">The theoretical framework for this study is embedded in Darling-Hammonds and Bransford (2005) conceptual framework of the knowledge base for effective teaching and learning. The authors claim that in order to be effective, teachers need more than subject matter knowledge and general pedagogy. Darling-Hammonds and Bransford (2005) highlight three general areas of knowledge and skills that are essential for teachers to gain: knowledge of subject matter, knowledge of teaching, and knowledge of learning. </w:t>
      </w:r>
    </w:p>
    <w:p w:rsidR="001424B1" w:rsidRPr="005A28B7" w:rsidRDefault="001424B1" w:rsidP="005A28B7">
      <w:pPr>
        <w:ind w:firstLine="360"/>
      </w:pPr>
      <w:r>
        <w:t>There are methodical and principle components of effective teaching that is supported by research (Darling-Hammond &amp; Bransford, 2005). In order to continue to develop a strong profession of teaching, researchers must examine the impact and relationship teaching is to children’s learning (Darling-Hammond &amp; Bransford, 2005).  In addition to pedagogical knowledge and content knowledge, it is suggested that professional training, professional attitudes and professional skills be taught in preservice agricultural teacher education (Stripling &amp; Barrick, 2013; Crunkilton &amp; Hemp, 1982). Preservice programs should provide pedagogical competencies needed by beginning teachers to conduct a local agricultural education program and develop an understanding of educational processes to be a professional teacher (Stripling &amp; Barrick, 2013).</w:t>
      </w:r>
    </w:p>
    <w:p w:rsidR="001424B1" w:rsidRDefault="001424B1" w:rsidP="001424B1">
      <w:pPr>
        <w:rPr>
          <w:b/>
        </w:rPr>
      </w:pPr>
    </w:p>
    <w:p w:rsidR="001424B1" w:rsidRDefault="001424B1" w:rsidP="001424B1">
      <w:pPr>
        <w:rPr>
          <w:b/>
        </w:rPr>
      </w:pPr>
      <w:r>
        <w:rPr>
          <w:b/>
        </w:rPr>
        <w:t>Methodology:</w:t>
      </w:r>
    </w:p>
    <w:p w:rsidR="001424B1" w:rsidRDefault="001424B1" w:rsidP="001424B1">
      <w:r>
        <w:t xml:space="preserve">Historical research methods were used in this study. This researcher examined documents of the time period in order to explain what happened during that time. There are four steps involved in doing historical research (Fraenkel &amp; Wallen, 2006). These steps include: defining the problem or question to be investigated, finding relevant sources of historical information, summarizing and evaluation the information, and interpreting and presenting this information as it relates to the research objectives (Fraenkel &amp; Wallen, 2006). Primary sources used in this research study were U.S. Department of Agriculture publications, itinerant teacher training reports and other related sources. Secondary sources such as books and journal articles were also used. In order to determine if sources were genuine, sources were subject to external criticism. The researcher evaluated each document to verify its originality and if it were written by the person claiming to </w:t>
      </w:r>
      <w:r>
        <w:lastRenderedPageBreak/>
        <w:t>have written it. Internal criticism was verified through an evaluation of the accuracy of the information contained in the document and the truthfulness of the author.</w:t>
      </w:r>
    </w:p>
    <w:p w:rsidR="001424B1" w:rsidRDefault="001424B1" w:rsidP="001424B1">
      <w:pPr>
        <w:rPr>
          <w:b/>
        </w:rPr>
      </w:pPr>
    </w:p>
    <w:p w:rsidR="001424B1" w:rsidRDefault="001424B1" w:rsidP="001424B1">
      <w:pPr>
        <w:rPr>
          <w:b/>
        </w:rPr>
      </w:pPr>
      <w:r>
        <w:rPr>
          <w:b/>
        </w:rPr>
        <w:t>Results:</w:t>
      </w:r>
    </w:p>
    <w:p w:rsidR="005A28B7" w:rsidRDefault="005A28B7" w:rsidP="002C65C9">
      <w:pPr>
        <w:ind w:firstLine="720"/>
      </w:pPr>
      <w:r>
        <w:t>Because there were few good sources to train agriculture teachers prior to 1917, the passage of the Smith Hughes Act caused many states to rush and establish teacher education programs in order to train agriculture teachers (Moore, 1988). The profession turned to Rufus Stimson as he had previously been involved in teacher training for nearly 10 years prior to 1917. Stimson’s itinerant-teacher training method involved teaching teachers how to teach agriculture while they are teaching (Bureau of Education, 1919). The teacher-trainer was responsible for going school to school to study the teacher, the students and the problems the students were having. Bricker (1914) suggests four predominant sources of agriculture teachers during the early 1900’s: (1) Nature-study teachers, (2) agricultural college graduates, (3) high school science teachers (4) people raised on farms. However, because he opposed all four sources, he came up with the idea that teachers should be trained and therefore come from agricultural education departments of normal schools and agricultural colleges. At the turn of the 20</w:t>
      </w:r>
      <w:r w:rsidRPr="005A28B7">
        <w:rPr>
          <w:vertAlign w:val="superscript"/>
        </w:rPr>
        <w:t>th</w:t>
      </w:r>
      <w:r>
        <w:t xml:space="preserve"> century, teachers were trained to teach agriculture through a variety of methods.  Land-grant colleges began to meet the needs of teachers as they developed. Courses ranged from weekly summer courses to graduate work courses over the period of several years (Hillison, 1986).</w:t>
      </w:r>
    </w:p>
    <w:p w:rsidR="005A28B7" w:rsidRPr="005A28B7" w:rsidRDefault="005A28B7" w:rsidP="001424B1">
      <w:r>
        <w:t>Another source of teacher training was the state supervisor of agricultural education. At one point in the agricultural education profession state supervisors wore many hats, one of which was a “teacher education” hat. The supervisor would have previously been a teacher. Most were selected to be supervisors because they were skilled teachers, could work well with others and demonstrated leadership skills. During this time, the supervisor may have worked as a state, regional or district leader and played a critical role in teacher education.</w:t>
      </w:r>
    </w:p>
    <w:p w:rsidR="001424B1" w:rsidRDefault="001424B1" w:rsidP="001424B1">
      <w:pPr>
        <w:rPr>
          <w:b/>
        </w:rPr>
      </w:pPr>
    </w:p>
    <w:p w:rsidR="001424B1" w:rsidRDefault="001424B1" w:rsidP="001424B1">
      <w:pPr>
        <w:rPr>
          <w:b/>
        </w:rPr>
      </w:pPr>
      <w:r>
        <w:rPr>
          <w:b/>
        </w:rPr>
        <w:t>Conclusion:</w:t>
      </w:r>
    </w:p>
    <w:p w:rsidR="005A28B7" w:rsidRPr="005A28B7" w:rsidRDefault="005A28B7" w:rsidP="002C65C9">
      <w:pPr>
        <w:ind w:firstLine="720"/>
      </w:pPr>
      <w:r>
        <w:t xml:space="preserve">Conclusions can also be drawn as to the importance of the passage of the Nelson Amendment of 1907 in establishing agricultural education departments in colleges for teachers to receive relevant training towards agriculture and pedagogical competencies. In addition to the Nelson Amendment, the George Barden Act continued the importance of teacher supervision and training with its appropriations toward vocational funding in 1946. The history and evolution of the agriculture teacher training movement emphasized the importance of a commitment of state departments of education and colleges of agricultural education to continue a systematic approach that includes formal teacher training in teaching methods, agricultural content and pedagogical competencies needed by beginning agriculture teachers.   </w:t>
      </w:r>
    </w:p>
    <w:p w:rsidR="001424B1" w:rsidRDefault="001424B1" w:rsidP="001424B1">
      <w:pPr>
        <w:rPr>
          <w:b/>
        </w:rPr>
      </w:pPr>
    </w:p>
    <w:p w:rsidR="001424B1" w:rsidRPr="001424B1" w:rsidRDefault="001424B1" w:rsidP="001424B1">
      <w:pPr>
        <w:rPr>
          <w:b/>
        </w:rPr>
      </w:pPr>
      <w:r>
        <w:rPr>
          <w:b/>
        </w:rPr>
        <w:t>Implications/ Recommendations:</w:t>
      </w:r>
    </w:p>
    <w:p w:rsidR="00B929A7" w:rsidRDefault="002C65C9" w:rsidP="005E7A11">
      <w:r>
        <w:tab/>
        <w:t xml:space="preserve">Just as it is today, it was imperative in the early years of formal agricultural education that the agriculture teacher know both the technical agricultural content and have an understanding of pedagogical methods by which that content was taught.  Pre-service agricultural education programs should strive to ensure beginning teachers are entering the agriculture classroom with not only pedagogical knowledge but also relevant content knowledge provided through a variety of instructional methods to ensure a higher level of understanding and application.   </w:t>
      </w:r>
    </w:p>
    <w:p w:rsidR="00B929A7" w:rsidRDefault="00B929A7" w:rsidP="005E7A11">
      <w:pPr>
        <w:rPr>
          <w:b/>
        </w:rPr>
      </w:pPr>
      <w:r>
        <w:br w:type="page"/>
      </w:r>
      <w:r w:rsidRPr="002C65C9">
        <w:rPr>
          <w:b/>
        </w:rPr>
        <w:lastRenderedPageBreak/>
        <w:t>References</w:t>
      </w:r>
    </w:p>
    <w:p w:rsidR="00DF32A1" w:rsidRDefault="00DF32A1" w:rsidP="005E7A11"/>
    <w:p w:rsidR="00DF32A1" w:rsidRDefault="00DF32A1" w:rsidP="00DF32A1">
      <w:pPr>
        <w:ind w:left="720" w:hanging="720"/>
      </w:pPr>
      <w:proofErr w:type="gramStart"/>
      <w:r>
        <w:t>Bricker, G.A. (1914).</w:t>
      </w:r>
      <w:proofErr w:type="gramEnd"/>
      <w:r>
        <w:t xml:space="preserve"> </w:t>
      </w:r>
      <w:proofErr w:type="gramStart"/>
      <w:r w:rsidRPr="0097274A">
        <w:rPr>
          <w:u w:val="single"/>
        </w:rPr>
        <w:t>Agricultural education for teachers.</w:t>
      </w:r>
      <w:proofErr w:type="gramEnd"/>
      <w:r>
        <w:t xml:space="preserve"> New York: American Book Company.</w:t>
      </w:r>
    </w:p>
    <w:p w:rsidR="00DF32A1" w:rsidRDefault="00DF32A1" w:rsidP="005E7A11"/>
    <w:p w:rsidR="00DF32A1" w:rsidRDefault="00DF32A1" w:rsidP="00DF32A1">
      <w:pPr>
        <w:ind w:left="720" w:hanging="720"/>
      </w:pPr>
      <w:proofErr w:type="gramStart"/>
      <w:r>
        <w:t>Bureau of Education.</w:t>
      </w:r>
      <w:proofErr w:type="gramEnd"/>
      <w:r>
        <w:t xml:space="preserve"> (1919). Training Teachers of Agriculture: Papers presented at the ninth annual meeting of the American Association for the Advancement of Agricultural Teaching. Baltimore, MD. </w:t>
      </w:r>
      <w:proofErr w:type="gramStart"/>
      <w:r>
        <w:t>No. 66.</w:t>
      </w:r>
      <w:proofErr w:type="gramEnd"/>
      <w:r>
        <w:t xml:space="preserve"> </w:t>
      </w:r>
    </w:p>
    <w:p w:rsidR="00DF32A1" w:rsidRDefault="00DF32A1" w:rsidP="00DF32A1">
      <w:pPr>
        <w:ind w:left="720" w:hanging="720"/>
      </w:pPr>
    </w:p>
    <w:p w:rsidR="00DF32A1" w:rsidRDefault="00DF32A1" w:rsidP="00DF32A1">
      <w:pPr>
        <w:ind w:left="720" w:hanging="720"/>
      </w:pPr>
      <w:proofErr w:type="gramStart"/>
      <w:r>
        <w:t>Crunkilton, J.R., &amp; Hemp, P. E. (1982).</w:t>
      </w:r>
      <w:proofErr w:type="gramEnd"/>
      <w:r>
        <w:t xml:space="preserve"> The curriculum: Professional education. In A.L. </w:t>
      </w:r>
      <w:proofErr w:type="spellStart"/>
      <w:r>
        <w:t>Berkey</w:t>
      </w:r>
      <w:proofErr w:type="spellEnd"/>
      <w:r>
        <w:t xml:space="preserve"> (</w:t>
      </w:r>
      <w:proofErr w:type="gramStart"/>
      <w:r>
        <w:t>ed</w:t>
      </w:r>
      <w:proofErr w:type="gramEnd"/>
      <w:r>
        <w:t xml:space="preserve">.). </w:t>
      </w:r>
      <w:proofErr w:type="gramStart"/>
      <w:r w:rsidRPr="0006058F">
        <w:rPr>
          <w:i/>
        </w:rPr>
        <w:t>Teacher education in agriculture</w:t>
      </w:r>
      <w:r>
        <w:t xml:space="preserve"> (pp 135-160).</w:t>
      </w:r>
      <w:proofErr w:type="gramEnd"/>
      <w:r>
        <w:t xml:space="preserve"> Danville, IL: Interstate Printers and Publishers. </w:t>
      </w:r>
    </w:p>
    <w:p w:rsidR="00DF32A1" w:rsidRDefault="00DF32A1" w:rsidP="00DF32A1">
      <w:pPr>
        <w:ind w:left="720" w:hanging="720"/>
      </w:pPr>
    </w:p>
    <w:p w:rsidR="00DF32A1" w:rsidRDefault="00DF32A1" w:rsidP="00DF32A1">
      <w:pPr>
        <w:ind w:left="720" w:hanging="720"/>
      </w:pPr>
      <w:proofErr w:type="gramStart"/>
      <w:r>
        <w:t>Darling-Hammond, L. &amp; Bransford, J. (2005).</w:t>
      </w:r>
      <w:proofErr w:type="gramEnd"/>
      <w:r>
        <w:t xml:space="preserve"> </w:t>
      </w:r>
      <w:proofErr w:type="gramStart"/>
      <w:r w:rsidRPr="0006058F">
        <w:rPr>
          <w:i/>
        </w:rPr>
        <w:t>Preparing teachers for a changing world.</w:t>
      </w:r>
      <w:proofErr w:type="gramEnd"/>
      <w:r>
        <w:t xml:space="preserve"> San Francisco, CA: </w:t>
      </w:r>
      <w:proofErr w:type="spellStart"/>
      <w:r>
        <w:t>Jossey</w:t>
      </w:r>
      <w:proofErr w:type="spellEnd"/>
      <w:r>
        <w:t xml:space="preserve">- Bass. </w:t>
      </w:r>
    </w:p>
    <w:p w:rsidR="00DF32A1" w:rsidRDefault="00DF32A1" w:rsidP="00DF32A1">
      <w:pPr>
        <w:ind w:left="720" w:hanging="720"/>
      </w:pPr>
    </w:p>
    <w:p w:rsidR="00DF32A1" w:rsidRDefault="00DF32A1" w:rsidP="00DF32A1">
      <w:pPr>
        <w:ind w:left="720" w:hanging="720"/>
      </w:pPr>
      <w:proofErr w:type="gramStart"/>
      <w:r>
        <w:t>Fraenkel, J. R. &amp; Wallen, N. E. (2006).</w:t>
      </w:r>
      <w:proofErr w:type="gramEnd"/>
      <w:r>
        <w:t xml:space="preserve"> </w:t>
      </w:r>
      <w:r w:rsidRPr="00A91E48">
        <w:rPr>
          <w:i/>
        </w:rPr>
        <w:t>How to design and evaluate research in education (6</w:t>
      </w:r>
      <w:r w:rsidRPr="00A91E48">
        <w:rPr>
          <w:i/>
          <w:vertAlign w:val="superscript"/>
        </w:rPr>
        <w:t>th</w:t>
      </w:r>
      <w:r w:rsidRPr="00A91E48">
        <w:rPr>
          <w:i/>
        </w:rPr>
        <w:t xml:space="preserve"> </w:t>
      </w:r>
      <w:proofErr w:type="gramStart"/>
      <w:r w:rsidRPr="00A91E48">
        <w:rPr>
          <w:i/>
        </w:rPr>
        <w:t>ed</w:t>
      </w:r>
      <w:proofErr w:type="gramEnd"/>
      <w:r w:rsidRPr="00A91E48">
        <w:rPr>
          <w:i/>
        </w:rPr>
        <w:t xml:space="preserve">.). </w:t>
      </w:r>
      <w:r>
        <w:t xml:space="preserve">New York, NY: McGraw Hill. </w:t>
      </w:r>
    </w:p>
    <w:p w:rsidR="00DF32A1" w:rsidRDefault="00DF32A1" w:rsidP="00DF32A1">
      <w:pPr>
        <w:ind w:left="720" w:hanging="720"/>
      </w:pPr>
    </w:p>
    <w:p w:rsidR="00DF32A1" w:rsidRDefault="00DF32A1" w:rsidP="00DF32A1">
      <w:pPr>
        <w:ind w:left="720" w:hanging="720"/>
      </w:pPr>
      <w:r>
        <w:t xml:space="preserve">Hillison, J. (1986). </w:t>
      </w:r>
      <w:proofErr w:type="gramStart"/>
      <w:r>
        <w:t>Agricultural teacher education preceding the Smith-Hughes Act.</w:t>
      </w:r>
      <w:proofErr w:type="gramEnd"/>
      <w:r>
        <w:t xml:space="preserve"> </w:t>
      </w:r>
      <w:proofErr w:type="gramStart"/>
      <w:r w:rsidRPr="0097274A">
        <w:rPr>
          <w:i/>
        </w:rPr>
        <w:t>Journal of the Association of Teacher Educators in Agriculture.</w:t>
      </w:r>
      <w:proofErr w:type="gramEnd"/>
      <w:r w:rsidRPr="0097274A">
        <w:rPr>
          <w:i/>
        </w:rPr>
        <w:t xml:space="preserve"> </w:t>
      </w:r>
      <w:proofErr w:type="gramStart"/>
      <w:r>
        <w:t>28(2).</w:t>
      </w:r>
      <w:proofErr w:type="gramEnd"/>
      <w:r>
        <w:t xml:space="preserve"> Pp 8-17. DOI:10.5032/jaatea.1987.02008</w:t>
      </w:r>
    </w:p>
    <w:p w:rsidR="00DF32A1" w:rsidRPr="00DF32A1" w:rsidRDefault="00DF32A1" w:rsidP="00DF32A1">
      <w:pPr>
        <w:ind w:left="720" w:hanging="720"/>
      </w:pPr>
    </w:p>
    <w:p w:rsidR="00DF32A1" w:rsidRDefault="00DF32A1" w:rsidP="00DF32A1">
      <w:pPr>
        <w:ind w:left="720" w:hanging="720"/>
      </w:pPr>
      <w:r>
        <w:t>Moore, G. (1988). The forgotten leaders in agricultural education: Rufus W. Stimson.</w:t>
      </w:r>
      <w:r w:rsidRPr="0097274A">
        <w:rPr>
          <w:i/>
        </w:rPr>
        <w:t xml:space="preserve"> </w:t>
      </w:r>
      <w:proofErr w:type="gramStart"/>
      <w:r w:rsidRPr="0097274A">
        <w:rPr>
          <w:i/>
        </w:rPr>
        <w:t>Journal of the American Association of Teacher Educators in Agriculture.</w:t>
      </w:r>
      <w:proofErr w:type="gramEnd"/>
      <w:r w:rsidRPr="0097274A">
        <w:rPr>
          <w:i/>
        </w:rPr>
        <w:t xml:space="preserve"> </w:t>
      </w:r>
      <w:proofErr w:type="gramStart"/>
      <w:r>
        <w:t>29(3).</w:t>
      </w:r>
      <w:proofErr w:type="gramEnd"/>
      <w:r>
        <w:t xml:space="preserve"> Pp. 50-58. DOI:10.5032/jaatea.1988. 03050</w:t>
      </w:r>
    </w:p>
    <w:p w:rsidR="00DF32A1" w:rsidRDefault="00DF32A1" w:rsidP="00DF32A1">
      <w:pPr>
        <w:ind w:left="720" w:hanging="720"/>
      </w:pPr>
    </w:p>
    <w:p w:rsidR="00DF32A1" w:rsidRDefault="00DF32A1" w:rsidP="00DF32A1">
      <w:pPr>
        <w:ind w:left="720" w:hanging="720"/>
      </w:pPr>
      <w:proofErr w:type="gramStart"/>
      <w:r>
        <w:t>Stripling, C. &amp; Barrick, K. (2013).</w:t>
      </w:r>
      <w:proofErr w:type="gramEnd"/>
      <w:r>
        <w:t xml:space="preserve"> Examining the professional, technical, and general knowledge competencies needed by beginning school-based agricultural education teachers. </w:t>
      </w:r>
      <w:proofErr w:type="gramStart"/>
      <w:r w:rsidRPr="00DF32A1">
        <w:rPr>
          <w:i/>
        </w:rPr>
        <w:t>Journal of Agricultural Education</w:t>
      </w:r>
      <w:r>
        <w:t>.</w:t>
      </w:r>
      <w:proofErr w:type="gramEnd"/>
      <w:r>
        <w:t xml:space="preserve"> 54(3), pp. 67-83. </w:t>
      </w:r>
      <w:r w:rsidRPr="006D5A0E">
        <w:t>DOI: 10.5032/jae.2013.03067</w:t>
      </w:r>
    </w:p>
    <w:p w:rsidR="00DF32A1" w:rsidRDefault="00DF32A1" w:rsidP="00DF32A1">
      <w:pPr>
        <w:ind w:left="720" w:hanging="720"/>
      </w:pPr>
    </w:p>
    <w:p w:rsidR="00DF32A1" w:rsidRPr="00D24F69" w:rsidRDefault="00DF32A1" w:rsidP="00DF32A1">
      <w:pPr>
        <w:ind w:left="720" w:hanging="720"/>
      </w:pPr>
      <w:proofErr w:type="gramStart"/>
      <w:r w:rsidRPr="00BD343D">
        <w:t>Talbert, B. A., R. C. Vaughn, D. B. Croom, and J. Lee.</w:t>
      </w:r>
      <w:proofErr w:type="gramEnd"/>
      <w:r w:rsidRPr="00BD343D">
        <w:t xml:space="preserve"> 2013. </w:t>
      </w:r>
      <w:r w:rsidRPr="00BD343D">
        <w:rPr>
          <w:i/>
          <w:iCs/>
        </w:rPr>
        <w:t>Foundations of agricultural education</w:t>
      </w:r>
      <w:r w:rsidRPr="00BD343D">
        <w:t>. 3rd ed. Upper Saddle River, N.J.: Pearson Higher Education.</w:t>
      </w:r>
    </w:p>
    <w:p w:rsidR="00DF32A1" w:rsidRDefault="00DF32A1" w:rsidP="00DF32A1">
      <w:pPr>
        <w:ind w:left="720" w:hanging="720"/>
      </w:pPr>
    </w:p>
    <w:p w:rsidR="002C65C9" w:rsidRDefault="002C65C9" w:rsidP="005E7A11">
      <w:pPr>
        <w:rPr>
          <w:b/>
        </w:rPr>
      </w:pPr>
    </w:p>
    <w:p w:rsidR="00DF32A1" w:rsidRPr="002C65C9" w:rsidRDefault="00DF32A1" w:rsidP="005E7A11">
      <w:pPr>
        <w:rPr>
          <w:b/>
        </w:rPr>
      </w:pPr>
    </w:p>
    <w:sectPr w:rsidR="00DF32A1" w:rsidRPr="002C65C9" w:rsidSect="005E7A11">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530" w:rsidRDefault="00A62530">
      <w:r>
        <w:separator/>
      </w:r>
    </w:p>
  </w:endnote>
  <w:endnote w:type="continuationSeparator" w:id="0">
    <w:p w:rsidR="00A62530" w:rsidRDefault="00A625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BF4587">
      <w:rPr>
        <w:rStyle w:val="PageNumber"/>
        <w:noProof/>
      </w:rPr>
      <w:t>3</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BF4587">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530" w:rsidRDefault="00A62530">
      <w:r>
        <w:separator/>
      </w:r>
    </w:p>
  </w:footnote>
  <w:footnote w:type="continuationSeparator" w:id="0">
    <w:p w:rsidR="00A62530" w:rsidRDefault="00A625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7CBE538E"/>
    <w:multiLevelType w:val="hybridMultilevel"/>
    <w:tmpl w:val="89726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proofState w:spelling="clean" w:grammar="clean"/>
  <w:stylePaneFormatFilter w:val="3001"/>
  <w:defaultTabStop w:val="720"/>
  <w:noPunctuationKerning/>
  <w:characterSpacingControl w:val="doNotCompress"/>
  <w:footnotePr>
    <w:footnote w:id="-1"/>
    <w:footnote w:id="0"/>
  </w:footnotePr>
  <w:endnotePr>
    <w:endnote w:id="-1"/>
    <w:endnote w:id="0"/>
  </w:endnotePr>
  <w:compat/>
  <w:rsids>
    <w:rsidRoot w:val="00B75B98"/>
    <w:rsid w:val="001424B1"/>
    <w:rsid w:val="00207392"/>
    <w:rsid w:val="0025135E"/>
    <w:rsid w:val="002C65C9"/>
    <w:rsid w:val="002E6197"/>
    <w:rsid w:val="00357BB1"/>
    <w:rsid w:val="003C5D19"/>
    <w:rsid w:val="004437C0"/>
    <w:rsid w:val="004B57CB"/>
    <w:rsid w:val="00510BE4"/>
    <w:rsid w:val="0055601C"/>
    <w:rsid w:val="005A28B7"/>
    <w:rsid w:val="005E7A11"/>
    <w:rsid w:val="0067485B"/>
    <w:rsid w:val="00714790"/>
    <w:rsid w:val="00763512"/>
    <w:rsid w:val="007909F4"/>
    <w:rsid w:val="007C7F74"/>
    <w:rsid w:val="00950B26"/>
    <w:rsid w:val="00982AAE"/>
    <w:rsid w:val="00A62530"/>
    <w:rsid w:val="00B75B98"/>
    <w:rsid w:val="00B929A7"/>
    <w:rsid w:val="00BB1C0B"/>
    <w:rsid w:val="00BD76C5"/>
    <w:rsid w:val="00BF4587"/>
    <w:rsid w:val="00C30446"/>
    <w:rsid w:val="00D32FBD"/>
    <w:rsid w:val="00DF32A1"/>
    <w:rsid w:val="00E90A24"/>
    <w:rsid w:val="00F075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styleId="ListParagraph">
    <w:name w:val="List Paragraph"/>
    <w:basedOn w:val="Normal"/>
    <w:uiPriority w:val="34"/>
    <w:qFormat/>
    <w:rsid w:val="001424B1"/>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D6B6B9-809D-4071-B60D-1EC5C6366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9009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mlwood3</cp:lastModifiedBy>
  <cp:revision>3</cp:revision>
  <cp:lastPrinted>2014-02-25T17:15:00Z</cp:lastPrinted>
  <dcterms:created xsi:type="dcterms:W3CDTF">2014-02-25T17:21:00Z</dcterms:created>
  <dcterms:modified xsi:type="dcterms:W3CDTF">2014-02-25T17:22:00Z</dcterms:modified>
</cp:coreProperties>
</file>