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311B" w:rsidRDefault="0058311B" w:rsidP="0058311B">
      <w:pPr>
        <w:spacing w:after="200" w:line="276" w:lineRule="auto"/>
        <w:ind w:firstLine="0"/>
        <w:jc w:val="right"/>
        <w:rPr>
          <w:b/>
        </w:rPr>
      </w:pPr>
      <w:bookmarkStart w:id="0" w:name="_GoBack"/>
      <w:bookmarkEnd w:id="0"/>
      <w:r>
        <w:rPr>
          <w:b/>
        </w:rPr>
        <w:t>Research Poster</w:t>
      </w:r>
    </w:p>
    <w:p w:rsidR="0058311B" w:rsidRDefault="0058311B" w:rsidP="0058311B">
      <w:pPr>
        <w:spacing w:after="200" w:line="276" w:lineRule="auto"/>
        <w:ind w:firstLine="0"/>
        <w:jc w:val="center"/>
        <w:rPr>
          <w:b/>
        </w:rPr>
      </w:pPr>
    </w:p>
    <w:p w:rsidR="0058311B" w:rsidRPr="00B72364" w:rsidRDefault="0058311B" w:rsidP="0058311B">
      <w:pPr>
        <w:jc w:val="center"/>
        <w:rPr>
          <w:b/>
        </w:rPr>
      </w:pPr>
      <w:r>
        <w:rPr>
          <w:b/>
        </w:rPr>
        <w:t xml:space="preserve">A Comparison of Agriculture Teachers’ Espoused and Observed </w:t>
      </w:r>
      <w:r>
        <w:rPr>
          <w:b/>
        </w:rPr>
        <w:br/>
        <w:t>Instructional Practices for Students with Disabilities</w:t>
      </w:r>
    </w:p>
    <w:p w:rsidR="0058311B" w:rsidRDefault="0058311B" w:rsidP="0058311B">
      <w:pPr>
        <w:spacing w:after="200" w:line="276" w:lineRule="auto"/>
        <w:ind w:firstLine="0"/>
        <w:jc w:val="center"/>
        <w:rPr>
          <w:b/>
        </w:rPr>
      </w:pPr>
    </w:p>
    <w:p w:rsidR="0058311B" w:rsidRDefault="0058311B" w:rsidP="0058311B">
      <w:pPr>
        <w:spacing w:after="200" w:line="276" w:lineRule="auto"/>
        <w:ind w:firstLine="0"/>
        <w:jc w:val="center"/>
        <w:rPr>
          <w:b/>
        </w:rPr>
      </w:pPr>
      <w:r>
        <w:rPr>
          <w:b/>
        </w:rPr>
        <w:t>Justin L. Killingsworth, PhD</w:t>
      </w:r>
      <w:r>
        <w:rPr>
          <w:b/>
        </w:rPr>
        <w:br/>
      </w:r>
      <w:r w:rsidR="003E3D11">
        <w:rPr>
          <w:b/>
        </w:rPr>
        <w:t>Arkansas Tech University</w:t>
      </w:r>
      <w:r w:rsidR="003E3D11">
        <w:rPr>
          <w:b/>
        </w:rPr>
        <w:br/>
      </w:r>
      <w:r>
        <w:rPr>
          <w:b/>
        </w:rPr>
        <w:t>123E Dean Hall</w:t>
      </w:r>
      <w:r>
        <w:rPr>
          <w:b/>
        </w:rPr>
        <w:br/>
        <w:t>402 West O Street</w:t>
      </w:r>
      <w:r>
        <w:rPr>
          <w:b/>
        </w:rPr>
        <w:br/>
        <w:t>Russellville, AR 72801</w:t>
      </w:r>
      <w:r>
        <w:rPr>
          <w:b/>
        </w:rPr>
        <w:br/>
      </w:r>
      <w:r w:rsidR="003E3D11">
        <w:rPr>
          <w:b/>
        </w:rPr>
        <w:t>479 880-4230</w:t>
      </w:r>
      <w:r>
        <w:rPr>
          <w:b/>
        </w:rPr>
        <w:br/>
      </w:r>
      <w:r w:rsidRPr="0058311B">
        <w:rPr>
          <w:b/>
        </w:rPr>
        <w:t>justinkillingsworth@atu.edu</w:t>
      </w:r>
    </w:p>
    <w:p w:rsidR="0058311B" w:rsidRDefault="0058311B" w:rsidP="0058311B">
      <w:pPr>
        <w:spacing w:after="200" w:line="276" w:lineRule="auto"/>
        <w:ind w:firstLine="0"/>
        <w:jc w:val="center"/>
        <w:rPr>
          <w:b/>
        </w:rPr>
      </w:pPr>
    </w:p>
    <w:p w:rsidR="003E3D11" w:rsidRDefault="0058311B" w:rsidP="0058311B">
      <w:pPr>
        <w:spacing w:after="200" w:line="276" w:lineRule="auto"/>
        <w:ind w:firstLine="0"/>
        <w:jc w:val="center"/>
        <w:rPr>
          <w:b/>
        </w:rPr>
      </w:pPr>
      <w:r>
        <w:rPr>
          <w:b/>
        </w:rPr>
        <w:t>Anna L. Ball, PhD</w:t>
      </w:r>
      <w:r w:rsidR="003E3D11">
        <w:rPr>
          <w:b/>
        </w:rPr>
        <w:br/>
        <w:t>University of Missouri</w:t>
      </w:r>
      <w:r>
        <w:rPr>
          <w:b/>
        </w:rPr>
        <w:br/>
      </w:r>
      <w:r w:rsidR="003E3D11">
        <w:rPr>
          <w:b/>
        </w:rPr>
        <w:t>127 Gentry Hall</w:t>
      </w:r>
      <w:r w:rsidR="003E3D11">
        <w:rPr>
          <w:b/>
        </w:rPr>
        <w:br/>
        <w:t>Columbia, MO 65211</w:t>
      </w:r>
      <w:r w:rsidR="003E3D11">
        <w:rPr>
          <w:b/>
        </w:rPr>
        <w:br/>
        <w:t>573 882-7451</w:t>
      </w:r>
      <w:r w:rsidR="003E3D11">
        <w:rPr>
          <w:b/>
        </w:rPr>
        <w:br/>
      </w:r>
      <w:r w:rsidR="003E3D11" w:rsidRPr="003E3D11">
        <w:rPr>
          <w:b/>
        </w:rPr>
        <w:t>ballan@missouri.edu</w:t>
      </w:r>
    </w:p>
    <w:p w:rsidR="003E3D11" w:rsidRDefault="003E3D11" w:rsidP="0058311B">
      <w:pPr>
        <w:spacing w:after="200" w:line="276" w:lineRule="auto"/>
        <w:ind w:firstLine="0"/>
        <w:jc w:val="center"/>
        <w:rPr>
          <w:b/>
        </w:rPr>
      </w:pPr>
    </w:p>
    <w:p w:rsidR="0058311B" w:rsidRDefault="003E3D11" w:rsidP="0058311B">
      <w:pPr>
        <w:spacing w:after="200" w:line="276" w:lineRule="auto"/>
        <w:ind w:firstLine="0"/>
        <w:jc w:val="center"/>
        <w:rPr>
          <w:b/>
        </w:rPr>
      </w:pPr>
      <w:r>
        <w:rPr>
          <w:b/>
        </w:rPr>
        <w:t>Cathy N. Thomas, PhD</w:t>
      </w:r>
      <w:r>
        <w:rPr>
          <w:b/>
        </w:rPr>
        <w:br/>
        <w:t>University of Missouri</w:t>
      </w:r>
      <w:r>
        <w:rPr>
          <w:b/>
        </w:rPr>
        <w:br/>
        <w:t>Townsend Hall</w:t>
      </w:r>
      <w:r>
        <w:rPr>
          <w:b/>
        </w:rPr>
        <w:br/>
        <w:t>Columbia, MO 65211</w:t>
      </w:r>
      <w:r>
        <w:rPr>
          <w:b/>
        </w:rPr>
        <w:br/>
        <w:t>573 882-0564</w:t>
      </w:r>
      <w:r>
        <w:rPr>
          <w:b/>
        </w:rPr>
        <w:br/>
        <w:t>thomascat@missouri.edu</w:t>
      </w:r>
      <w:r w:rsidR="0058311B">
        <w:rPr>
          <w:b/>
        </w:rPr>
        <w:br w:type="page"/>
      </w:r>
    </w:p>
    <w:p w:rsidR="00B72364" w:rsidRPr="00B72364" w:rsidRDefault="00FE326D" w:rsidP="00B72364">
      <w:pPr>
        <w:jc w:val="center"/>
        <w:rPr>
          <w:b/>
        </w:rPr>
      </w:pPr>
      <w:r>
        <w:rPr>
          <w:b/>
        </w:rPr>
        <w:lastRenderedPageBreak/>
        <w:t xml:space="preserve">A Comparison of </w:t>
      </w:r>
      <w:r w:rsidR="00E6112B">
        <w:rPr>
          <w:b/>
        </w:rPr>
        <w:t xml:space="preserve">Agriculture Teachers’ </w:t>
      </w:r>
      <w:r>
        <w:rPr>
          <w:b/>
        </w:rPr>
        <w:t xml:space="preserve">Espoused and Observed </w:t>
      </w:r>
      <w:r>
        <w:rPr>
          <w:b/>
        </w:rPr>
        <w:br/>
      </w:r>
      <w:r w:rsidR="00E6112B">
        <w:rPr>
          <w:b/>
        </w:rPr>
        <w:t>Instructional Practices for Students with Disabilities</w:t>
      </w:r>
    </w:p>
    <w:p w:rsidR="00B72364" w:rsidRDefault="00DB222F" w:rsidP="00B72364">
      <w:pPr>
        <w:jc w:val="center"/>
      </w:pPr>
      <w:r>
        <w:t>Introduction</w:t>
      </w:r>
      <w:r w:rsidR="0058311B">
        <w:t>/Need for Research</w:t>
      </w:r>
    </w:p>
    <w:p w:rsidR="00DE1FC1" w:rsidRDefault="00795E1B" w:rsidP="00383FA8">
      <w:r w:rsidRPr="00795E1B">
        <w:t xml:space="preserve">Despite only 40 years in the making, there is a rich history of legislative protection for students with disabilities and provisions that require public schools to meet students’ needs.  The Education for All Handicapped Children Act (EAHCA; 1975) was passed as the first federal act to specifically direct the support that public schools must provide for students with disabilities.  EAHC was reissued in 1997 as the Individuals with </w:t>
      </w:r>
      <w:r w:rsidR="00383FA8">
        <w:t xml:space="preserve">Disabilities Act (IDEA; 2004). </w:t>
      </w:r>
      <w:r w:rsidR="00DE1FC1">
        <w:t xml:space="preserve"> Federal legislation </w:t>
      </w:r>
      <w:r w:rsidR="00383FA8">
        <w:t xml:space="preserve">also </w:t>
      </w:r>
      <w:r w:rsidR="00DE1FC1">
        <w:t>included provisions that called for teachers to use evidence-based instructional practices (No Child Left Behind Act, 2001).  The use of evidence-based practices, along with direction detailed in the IEP, provides the architecture that teachers are required to provide to meet the learning needs of each student in their classes (No Child Left Behind Act, 2001).</w:t>
      </w:r>
    </w:p>
    <w:p w:rsidR="00795E1B" w:rsidRDefault="00DE1FC1" w:rsidP="00DE1FC1">
      <w:pPr>
        <w:rPr>
          <w:szCs w:val="24"/>
        </w:rPr>
      </w:pPr>
      <w:r w:rsidRPr="00DE1FC1">
        <w:t>Though limited in number, studies in agricultural education have attempted to identify evidence-based practices to teach students with disabilities</w:t>
      </w:r>
      <w:r>
        <w:t>, including instructional strategies for teaching students with disabilities</w:t>
      </w:r>
      <w:r w:rsidRPr="00DE1FC1">
        <w:t xml:space="preserve"> (Hoerst &amp; Whittington, 2009; Pense, Watson, &amp; Wakefield, 2010; Richardson &amp; Washburn, 2006).  </w:t>
      </w:r>
      <w:r w:rsidR="00313711">
        <w:t xml:space="preserve">Agriculture teachers’ perception of the use of Strategy Instruction to support the general student’s reading comprehension was </w:t>
      </w:r>
      <w:r w:rsidR="004123A7">
        <w:t xml:space="preserve">also </w:t>
      </w:r>
      <w:r w:rsidR="00313711">
        <w:t xml:space="preserve">investigated, which yielded a need </w:t>
      </w:r>
      <w:r w:rsidR="004123A7">
        <w:t>for increased use of Strategy Instruction to benefit students (Park &amp; Osborne, 2006a, 2006b).</w:t>
      </w:r>
      <w:r w:rsidR="00313711">
        <w:t xml:space="preserve">  </w:t>
      </w:r>
      <w:r>
        <w:rPr>
          <w:szCs w:val="24"/>
        </w:rPr>
        <w:t>Special education research has yielded findings that can inform instructional efforts in agriculture classrooms. Direct Instruction (Gersten, 1985), Strategy Instruction (</w:t>
      </w:r>
      <w:r w:rsidRPr="00B42AB6">
        <w:rPr>
          <w:szCs w:val="24"/>
        </w:rPr>
        <w:t>Klingner, Vaughn, Arguelles, Hughes, &amp; Leftwich, 2004</w:t>
      </w:r>
      <w:r>
        <w:rPr>
          <w:szCs w:val="24"/>
        </w:rPr>
        <w:t>), and a combination of both instructional practices (Swanson, 1999) have produced significant academic improvement for students from multiple disability categories (e.g., autism and specific learning disabilities)</w:t>
      </w:r>
      <w:r w:rsidR="00E81A2A">
        <w:rPr>
          <w:szCs w:val="24"/>
        </w:rPr>
        <w:t>.</w:t>
      </w:r>
    </w:p>
    <w:p w:rsidR="00DB222F" w:rsidRDefault="00DB222F" w:rsidP="00DB222F">
      <w:pPr>
        <w:jc w:val="center"/>
        <w:rPr>
          <w:szCs w:val="24"/>
        </w:rPr>
      </w:pPr>
      <w:r>
        <w:t>Theoretical Framework</w:t>
      </w:r>
    </w:p>
    <w:p w:rsidR="00E81A2A" w:rsidRDefault="00E81A2A" w:rsidP="00E81A2A">
      <w:r>
        <w:rPr>
          <w:rFonts w:cs="Palatino-Roman"/>
        </w:rPr>
        <w:t xml:space="preserve">Knowledge of legislation and research-based practice may influence an agriculture teacher’s perspective of students with disabilities and classroom instruction, but instructional behavior is ultimately determined by their personal values.  Argyris (1976, 1994) provided two </w:t>
      </w:r>
      <w:r w:rsidRPr="00845FBC">
        <w:rPr>
          <w:rFonts w:cs="Palatino-Roman"/>
          <w:i/>
        </w:rPr>
        <w:t>Theories of Action</w:t>
      </w:r>
      <w:r>
        <w:rPr>
          <w:rFonts w:cs="Palatino-Roman"/>
          <w:i/>
        </w:rPr>
        <w:t xml:space="preserve"> </w:t>
      </w:r>
      <w:r>
        <w:rPr>
          <w:rFonts w:cs="Palatino-Roman"/>
        </w:rPr>
        <w:t xml:space="preserve">that influence a person’s ability to integrate thought to produce behavior: </w:t>
      </w:r>
      <w:r w:rsidRPr="00845FBC">
        <w:rPr>
          <w:rFonts w:cs="Palatino-Roman"/>
          <w:i/>
        </w:rPr>
        <w:t>espoused theory</w:t>
      </w:r>
      <w:r>
        <w:rPr>
          <w:rFonts w:cs="Palatino-Roman"/>
        </w:rPr>
        <w:t xml:space="preserve"> and </w:t>
      </w:r>
      <w:r w:rsidRPr="00845FBC">
        <w:rPr>
          <w:rFonts w:cs="Palatino-Roman"/>
          <w:i/>
        </w:rPr>
        <w:t>theory-in-use</w:t>
      </w:r>
      <w:r>
        <w:rPr>
          <w:rFonts w:cs="Palatino-Roman"/>
        </w:rPr>
        <w:t xml:space="preserve">.  </w:t>
      </w:r>
      <w:r w:rsidR="0058311B">
        <w:rPr>
          <w:rFonts w:cs="Palatino-Roman"/>
        </w:rPr>
        <w:t>In this framework a</w:t>
      </w:r>
      <w:r>
        <w:t xml:space="preserve">griculture teachers have thoughts of teaching and learning that they espouse to guide their instructional practices, including those focused toward students with disabilities.  </w:t>
      </w:r>
      <w:r w:rsidR="002B7B71">
        <w:t>However, a</w:t>
      </w:r>
      <w:r>
        <w:t>n agriculture teacher’s theory-in-use determines their instructional practices in the classroom</w:t>
      </w:r>
      <w:r w:rsidRPr="00B42AB6">
        <w:t xml:space="preserve">.  Espoused theory and theory-in-use often differ, though the individual may or may not be aware of </w:t>
      </w:r>
      <w:r>
        <w:t>any discrepancies (Argyris, 1976</w:t>
      </w:r>
      <w:r w:rsidRPr="00B42AB6">
        <w:t xml:space="preserve">).  </w:t>
      </w:r>
      <w:r w:rsidR="002B7B71">
        <w:t>Simply</w:t>
      </w:r>
      <w:r>
        <w:t xml:space="preserve">, the instructional practices </w:t>
      </w:r>
      <w:r w:rsidR="002C24AC">
        <w:t>th</w:t>
      </w:r>
      <w:r w:rsidR="00654B23">
        <w:t>at</w:t>
      </w:r>
      <w:r w:rsidR="002C24AC">
        <w:t xml:space="preserve"> teachers</w:t>
      </w:r>
      <w:r>
        <w:t xml:space="preserve"> think they use often differ from what they actually do in the classroom.</w:t>
      </w:r>
    </w:p>
    <w:p w:rsidR="00FE326D" w:rsidRPr="00FE326D" w:rsidRDefault="00383FA8" w:rsidP="00383FA8">
      <w:r w:rsidRPr="00FE326D">
        <w:t>The instructional practices that all teachers, including agriculture teachers, use for teaching students with disabilities should be guided by two specific principles within the No Child Left Behind Act</w:t>
      </w:r>
      <w:r>
        <w:t xml:space="preserve"> (NCLB;</w:t>
      </w:r>
      <w:r w:rsidRPr="00FE326D">
        <w:t xml:space="preserve"> 2001): students have unique educational needs and evidence-based instructional practices must be used to meet those needs.  However, research must first be conducted that identifies which instructional practices are present in agriculture classrooms before measuring their merit for teaching students with disabilities.</w:t>
      </w:r>
      <w:r>
        <w:t xml:space="preserve">  </w:t>
      </w:r>
      <w:r w:rsidR="00FE326D">
        <w:rPr>
          <w:szCs w:val="24"/>
        </w:rPr>
        <w:t xml:space="preserve">The purpose of this study </w:t>
      </w:r>
      <w:r w:rsidR="00FE326D">
        <w:rPr>
          <w:szCs w:val="24"/>
        </w:rPr>
        <w:lastRenderedPageBreak/>
        <w:t>was</w:t>
      </w:r>
      <w:r w:rsidR="00FE326D" w:rsidRPr="00B42AB6">
        <w:rPr>
          <w:szCs w:val="24"/>
        </w:rPr>
        <w:t xml:space="preserve"> to describe </w:t>
      </w:r>
      <w:r w:rsidR="00313711">
        <w:rPr>
          <w:szCs w:val="24"/>
        </w:rPr>
        <w:t>[State]</w:t>
      </w:r>
      <w:r w:rsidR="00FE326D" w:rsidRPr="00B42AB6">
        <w:rPr>
          <w:szCs w:val="24"/>
        </w:rPr>
        <w:t xml:space="preserve"> </w:t>
      </w:r>
      <w:r w:rsidR="00FE326D">
        <w:rPr>
          <w:szCs w:val="24"/>
        </w:rPr>
        <w:t>agriculture teacher</w:t>
      </w:r>
      <w:r w:rsidR="00FE326D" w:rsidRPr="00B42AB6">
        <w:rPr>
          <w:szCs w:val="24"/>
        </w:rPr>
        <w:t xml:space="preserve">s’ </w:t>
      </w:r>
      <w:r w:rsidR="00FE326D">
        <w:rPr>
          <w:szCs w:val="24"/>
        </w:rPr>
        <w:t>espoused instructional practices versus observed use of evidence-based instructional practices when working with students with disabilities.</w:t>
      </w:r>
      <w:r>
        <w:rPr>
          <w:szCs w:val="24"/>
        </w:rPr>
        <w:t xml:space="preserve">  </w:t>
      </w:r>
      <w:r w:rsidR="00FE326D" w:rsidRPr="00FE326D">
        <w:t>The following research objectives were developed to guide the study:</w:t>
      </w:r>
      <w:r>
        <w:t xml:space="preserve"> (1) d</w:t>
      </w:r>
      <w:r w:rsidR="00FE326D" w:rsidRPr="00FE326D">
        <w:t>escribe agriculture teachers’ espoused use of instructional practices for teaching students with disabilities, specifically Direct Instruction and Strategy Instruct</w:t>
      </w:r>
      <w:r>
        <w:t>ion; (2) d</w:t>
      </w:r>
      <w:r w:rsidR="00FE326D" w:rsidRPr="00FE326D">
        <w:t>escribe agriculture teachers’ instructional practices for teaching all students, including students with disabilities, as observed in</w:t>
      </w:r>
      <w:r>
        <w:t xml:space="preserve"> inclusive secondary classrooms; (3) d</w:t>
      </w:r>
      <w:r w:rsidR="00FE326D" w:rsidRPr="00FE326D">
        <w:t>etermine if teachers’ espoused instructional practices significantly related to their observed instructional practices.</w:t>
      </w:r>
    </w:p>
    <w:p w:rsidR="00B72364" w:rsidRDefault="00B72364" w:rsidP="00B72364">
      <w:pPr>
        <w:jc w:val="center"/>
      </w:pPr>
      <w:r>
        <w:t>Method</w:t>
      </w:r>
      <w:r w:rsidR="00383FA8">
        <w:t>ology</w:t>
      </w:r>
    </w:p>
    <w:p w:rsidR="00B72364" w:rsidRPr="00891F1B" w:rsidRDefault="00917701" w:rsidP="00B72364">
      <w:r>
        <w:t>Two rounds of data collection were conducted for this</w:t>
      </w:r>
      <w:r w:rsidR="00F841BE">
        <w:t xml:space="preserve"> descriptive</w:t>
      </w:r>
      <w:r>
        <w:t>-correlational</w:t>
      </w:r>
      <w:r w:rsidR="00F841BE">
        <w:t xml:space="preserve"> study</w:t>
      </w:r>
      <w:r>
        <w:t xml:space="preserve">: teachers’ espoused instructional practices were quantified through phone surveys and teachers’ observed use of instructional practices were documented on a quantitative observation form </w:t>
      </w:r>
      <w:r w:rsidR="00891F1B">
        <w:t>through partial interval recording (PIR)</w:t>
      </w:r>
      <w:r>
        <w:t>.</w:t>
      </w:r>
      <w:r w:rsidR="00891F1B">
        <w:t xml:space="preserve">  </w:t>
      </w:r>
      <w:r w:rsidR="006B2824">
        <w:t>In order to be considered for participation, teachers had to meet three criteria: preservice preparation at [Institution], 5 – 10 years of teaching experience, and teaching classes that included students with a disability.  The purposive sample of agriculture teachers (</w:t>
      </w:r>
      <w:r w:rsidR="006B2824" w:rsidRPr="00891F1B">
        <w:rPr>
          <w:i/>
        </w:rPr>
        <w:t>n</w:t>
      </w:r>
      <w:r w:rsidR="006B2824">
        <w:t xml:space="preserve"> = 6) </w:t>
      </w:r>
      <w:r w:rsidR="006B2824" w:rsidRPr="00891F1B">
        <w:t>was</w:t>
      </w:r>
      <w:r w:rsidR="006B2824">
        <w:t xml:space="preserve"> then selected by two experts </w:t>
      </w:r>
      <w:r w:rsidR="00F45AD6">
        <w:t xml:space="preserve">for high quality classroom instruction.  </w:t>
      </w:r>
      <w:r w:rsidR="00891F1B">
        <w:t>Instrumentation from special education research (Cornett, 2010) was modified for the development of the questionnaire and observation forms.  A panel of experts (</w:t>
      </w:r>
      <w:r w:rsidR="00891F1B">
        <w:rPr>
          <w:i/>
        </w:rPr>
        <w:t>n</w:t>
      </w:r>
      <w:r w:rsidR="00891F1B">
        <w:t xml:space="preserve"> = 6) verified face and content validity.  A test-retest pilot study of teachers from a neighboring state yielded a reliability estimate of 92.8% for the survey questionnaire.  The observation form was verified with an intrarater agreement estimate of 94.1% and an overall reliability estimate of .94.</w:t>
      </w:r>
    </w:p>
    <w:p w:rsidR="00B72364" w:rsidRDefault="00B72364" w:rsidP="00B72364">
      <w:pPr>
        <w:jc w:val="center"/>
      </w:pPr>
      <w:r>
        <w:t>Results/Findings</w:t>
      </w:r>
    </w:p>
    <w:p w:rsidR="00B72364" w:rsidRPr="008273FC" w:rsidRDefault="003E3D11" w:rsidP="00B72364">
      <w:pPr>
        <w:rPr>
          <w:i/>
        </w:rPr>
      </w:pPr>
      <w:r>
        <w:t xml:space="preserve">Teachers reported the highest espoused use of traditional instructional practices, and the lowest espoused use of other </w:t>
      </w:r>
      <w:r w:rsidR="008273FC">
        <w:t>characteristics of instructional practice.  Teachers were also observed to use traditional instructional practices with the highest frequency and other characteristics of instructional practice with the lowest frequency.  However, correlation (</w:t>
      </w:r>
      <w:r w:rsidR="008273FC">
        <w:rPr>
          <w:i/>
        </w:rPr>
        <w:t>r</w:t>
      </w:r>
      <w:r w:rsidR="008273FC" w:rsidRPr="00DB143D">
        <w:rPr>
          <w:i/>
          <w:vertAlign w:val="subscript"/>
        </w:rPr>
        <w:t>T</w:t>
      </w:r>
      <w:r w:rsidR="008273FC" w:rsidRPr="008273FC">
        <w:t>)</w:t>
      </w:r>
      <w:r w:rsidR="008273FC">
        <w:t xml:space="preserve"> of teachers espoused and observed use of instructional practices yielded a moderate relationship (.36) for traditional instructional practices, a trivial relationship (.01) for instructional practices of Direct Instruction and Strategy Instruction, and a moderate negative relationship (-.33) for other characteristics of instructional practice.</w:t>
      </w:r>
    </w:p>
    <w:p w:rsidR="00B72364" w:rsidRDefault="00B72364" w:rsidP="00B72364">
      <w:pPr>
        <w:jc w:val="center"/>
      </w:pPr>
      <w:r>
        <w:t>Conclusions/</w:t>
      </w:r>
      <w:r w:rsidR="00383FA8">
        <w:t>Implications/</w:t>
      </w:r>
      <w:r>
        <w:t>Recommendations</w:t>
      </w:r>
    </w:p>
    <w:p w:rsidR="00B72364" w:rsidRDefault="001E5BF5" w:rsidP="00B72364">
      <w:r>
        <w:t>The</w:t>
      </w:r>
      <w:r w:rsidR="008273FC">
        <w:t xml:space="preserve"> high espoused</w:t>
      </w:r>
      <w:r>
        <w:t xml:space="preserve"> and observed</w:t>
      </w:r>
      <w:r w:rsidR="008273FC">
        <w:t xml:space="preserve"> use of traditional instructional practices</w:t>
      </w:r>
      <w:r>
        <w:t xml:space="preserve"> for participants in this study</w:t>
      </w:r>
      <w:r w:rsidR="008273FC">
        <w:t xml:space="preserve"> aligned with</w:t>
      </w:r>
      <w:r>
        <w:t xml:space="preserve"> previous research findings of teachers’ desire for high competence in teac</w:t>
      </w:r>
      <w:r w:rsidR="00584955">
        <w:t xml:space="preserve">hing students with disabilities </w:t>
      </w:r>
      <w:r>
        <w:t xml:space="preserve">(Elbert &amp; Baggett, 2003) and a lack of Direct Instruction and Strategy Instruction </w:t>
      </w:r>
      <w:r w:rsidR="00584955">
        <w:t xml:space="preserve">use </w:t>
      </w:r>
      <w:r>
        <w:t xml:space="preserve">(Park &amp; Osborne, 2006; Stair et al., 2010).  Implications for this conclusion include high levels of comfort or preparation, higher recognition within the survey, or higher perceived social desirability for traditional instructional practices.  </w:t>
      </w:r>
      <w:r w:rsidR="00DB143D">
        <w:t xml:space="preserve">It is recommended that teacher preparation be modified to encourage increased use of evidence-based practices, increase the alignment of teachers’ theories of action through preparation and professional development, and further investigate through </w:t>
      </w:r>
      <w:r w:rsidR="00584955">
        <w:t xml:space="preserve">modified replication, </w:t>
      </w:r>
      <w:r w:rsidR="00DB143D">
        <w:t>quasi-experimental</w:t>
      </w:r>
      <w:r w:rsidR="00584955">
        <w:t>,</w:t>
      </w:r>
      <w:r w:rsidR="00DB143D">
        <w:t xml:space="preserve"> and qualitative methods.</w:t>
      </w:r>
    </w:p>
    <w:p w:rsidR="00CD7BE8" w:rsidRDefault="00B72364" w:rsidP="00B72364">
      <w:pPr>
        <w:jc w:val="center"/>
      </w:pPr>
      <w:r>
        <w:lastRenderedPageBreak/>
        <w:t>References</w:t>
      </w:r>
    </w:p>
    <w:p w:rsidR="005D0D56" w:rsidRDefault="005D0D56" w:rsidP="005D0D56">
      <w:pPr>
        <w:ind w:left="720" w:hanging="720"/>
      </w:pPr>
      <w:r>
        <w:t xml:space="preserve">Argyris, C. (1976). Theories of action that inhibit individual learning. </w:t>
      </w:r>
      <w:r>
        <w:rPr>
          <w:i/>
        </w:rPr>
        <w:t>American Psychologist, 31</w:t>
      </w:r>
      <w:r>
        <w:t xml:space="preserve">(9), 638-354. Retrieved from </w:t>
      </w:r>
      <w:r w:rsidRPr="00C933CE">
        <w:t>http://web.ebscohost.com/ehost/pdfviewer/pdfviewer?hid=112&amp;sid=96362055-cb13-42da-a4fc-ca8530e67254%40sessionmgr110&amp;vid=2</w:t>
      </w:r>
    </w:p>
    <w:p w:rsidR="005D0D56" w:rsidRDefault="005D0D56" w:rsidP="005D0D56">
      <w:pPr>
        <w:ind w:left="720" w:hanging="720"/>
      </w:pPr>
      <w:r>
        <w:t xml:space="preserve">Argyris, C. (1994). Initiating change that preserves. </w:t>
      </w:r>
      <w:r>
        <w:rPr>
          <w:i/>
        </w:rPr>
        <w:t>Journal of Public Administration, 4</w:t>
      </w:r>
      <w:r>
        <w:t>(3), 343-355. Retrieved from http://www.jstor.org/stable/1181890</w:t>
      </w:r>
    </w:p>
    <w:p w:rsidR="005D0D56" w:rsidRPr="001B287A" w:rsidRDefault="005D0D56" w:rsidP="005D0D56">
      <w:pPr>
        <w:ind w:left="720" w:hanging="720"/>
        <w:rPr>
          <w:szCs w:val="24"/>
        </w:rPr>
      </w:pPr>
      <w:r>
        <w:rPr>
          <w:szCs w:val="24"/>
        </w:rPr>
        <w:t xml:space="preserve">Cornett, J. (2010). </w:t>
      </w:r>
      <w:r>
        <w:rPr>
          <w:i/>
          <w:szCs w:val="24"/>
        </w:rPr>
        <w:t xml:space="preserve">What’s evidence got to do with it? An observational study of research-based instructional behavior in high school classes </w:t>
      </w:r>
      <w:r>
        <w:rPr>
          <w:szCs w:val="24"/>
        </w:rPr>
        <w:t>(Master’s thesis). Available from ProQuest Dissertations and Theses database. (Doc. No. 2058614681). Retrieved from</w:t>
      </w:r>
      <w:r w:rsidRPr="001B287A">
        <w:t xml:space="preserve"> http://proquest.umi.com/pqdweb?did=2058614681&amp;sid=3&amp;Fmt=2&amp;clientId=45247&amp;RQT=309&amp;VName=PQD</w:t>
      </w:r>
    </w:p>
    <w:p w:rsidR="003E2151" w:rsidRDefault="003E2151" w:rsidP="003E2151">
      <w:pPr>
        <w:ind w:left="720" w:hanging="720"/>
        <w:rPr>
          <w:rFonts w:cs="Palatino-Roman"/>
          <w:szCs w:val="24"/>
        </w:rPr>
      </w:pPr>
      <w:r>
        <w:rPr>
          <w:szCs w:val="24"/>
        </w:rPr>
        <w:t>Education for All Handicapped Children Act of 1975, Pub. L. No. 94-142 (1975).</w:t>
      </w:r>
    </w:p>
    <w:p w:rsidR="005D0D56" w:rsidRPr="006E7129" w:rsidRDefault="005D0D56" w:rsidP="005D0D56">
      <w:pPr>
        <w:ind w:left="720" w:hanging="720"/>
        <w:rPr>
          <w:szCs w:val="24"/>
        </w:rPr>
      </w:pPr>
      <w:r w:rsidRPr="006E7129">
        <w:rPr>
          <w:szCs w:val="24"/>
        </w:rPr>
        <w:t xml:space="preserve">Elbert, C. D., &amp; Baggett, C. D. (2003). Teacher competence for working with disabled students as perceived by secondary level agricultural instructors in Pennsylvania. </w:t>
      </w:r>
      <w:r w:rsidRPr="006E7129">
        <w:rPr>
          <w:i/>
          <w:iCs/>
          <w:szCs w:val="24"/>
        </w:rPr>
        <w:t>Journal of Agricultural Education, 44</w:t>
      </w:r>
      <w:r w:rsidRPr="006E7129">
        <w:rPr>
          <w:szCs w:val="24"/>
        </w:rPr>
        <w:t>(1), 105-115. Retrieved from http://pubs.aged.tamu.edu/jae/</w:t>
      </w:r>
    </w:p>
    <w:p w:rsidR="005D0D56" w:rsidRPr="00F00A24" w:rsidRDefault="005D0D56" w:rsidP="005D0D56">
      <w:pPr>
        <w:ind w:left="720" w:hanging="720"/>
        <w:rPr>
          <w:rFonts w:cs="Palatino-Roman"/>
          <w:szCs w:val="24"/>
        </w:rPr>
      </w:pPr>
      <w:r w:rsidRPr="006E7129">
        <w:rPr>
          <w:rFonts w:cs="Palatino-Roman"/>
          <w:szCs w:val="24"/>
        </w:rPr>
        <w:t>Gersten</w:t>
      </w:r>
      <w:r>
        <w:rPr>
          <w:rFonts w:cs="Palatino-Roman"/>
          <w:szCs w:val="24"/>
        </w:rPr>
        <w:t>, R.</w:t>
      </w:r>
      <w:r w:rsidRPr="006E7129">
        <w:rPr>
          <w:rFonts w:cs="Palatino-Roman"/>
          <w:szCs w:val="24"/>
        </w:rPr>
        <w:t xml:space="preserve"> (1985)</w:t>
      </w:r>
      <w:r>
        <w:rPr>
          <w:rFonts w:cs="Palatino-Roman"/>
          <w:szCs w:val="24"/>
        </w:rPr>
        <w:t xml:space="preserve">. Direct instruction with special education students: A review of evaluation research. </w:t>
      </w:r>
      <w:r>
        <w:rPr>
          <w:rFonts w:cs="Palatino-Roman"/>
          <w:i/>
          <w:szCs w:val="24"/>
        </w:rPr>
        <w:t>The Journal of Special Education, 19</w:t>
      </w:r>
      <w:r>
        <w:rPr>
          <w:rFonts w:cs="Palatino-Roman"/>
          <w:szCs w:val="24"/>
        </w:rPr>
        <w:t>(1), 41-58.</w:t>
      </w:r>
    </w:p>
    <w:p w:rsidR="005D0D56" w:rsidRPr="006E7129" w:rsidRDefault="005D0D56" w:rsidP="005D0D56">
      <w:pPr>
        <w:ind w:left="720" w:hanging="720"/>
        <w:rPr>
          <w:rFonts w:cs="Palatino-Roman"/>
          <w:szCs w:val="24"/>
        </w:rPr>
      </w:pPr>
      <w:r w:rsidRPr="006E7129">
        <w:rPr>
          <w:szCs w:val="24"/>
        </w:rPr>
        <w:t xml:space="preserve">Hoerst, C. M. &amp; Whittington, M. S. (2009). The current status of classroom inclusion activities of secondary agriculture teachers. </w:t>
      </w:r>
      <w:r w:rsidRPr="006E7129">
        <w:rPr>
          <w:i/>
          <w:iCs/>
          <w:szCs w:val="24"/>
        </w:rPr>
        <w:t>Journal of Agricultural Education, 50</w:t>
      </w:r>
      <w:r w:rsidRPr="006E7129">
        <w:rPr>
          <w:szCs w:val="24"/>
        </w:rPr>
        <w:t>(2), 38-51. doi:10.5032/jae.2009.02038</w:t>
      </w:r>
    </w:p>
    <w:p w:rsidR="005D0D56" w:rsidRDefault="005D0D56" w:rsidP="005D0D56">
      <w:pPr>
        <w:ind w:left="720" w:hanging="720"/>
        <w:rPr>
          <w:rFonts w:eastAsia="Times New Roman"/>
          <w:szCs w:val="24"/>
        </w:rPr>
      </w:pPr>
      <w:r w:rsidRPr="006E7129">
        <w:rPr>
          <w:rFonts w:eastAsia="Times New Roman"/>
          <w:szCs w:val="24"/>
        </w:rPr>
        <w:t>Individuals with Disabilities Education Improvement Act of 2004, Pub. L. No. 108-446 (2004).</w:t>
      </w:r>
    </w:p>
    <w:p w:rsidR="005D0D56" w:rsidRPr="00F00A24" w:rsidRDefault="005D0D56" w:rsidP="005D0D56">
      <w:pPr>
        <w:ind w:left="720" w:hanging="720"/>
        <w:rPr>
          <w:rFonts w:cs="Palatino-Roman"/>
          <w:szCs w:val="24"/>
        </w:rPr>
      </w:pPr>
      <w:r w:rsidRPr="006E7129">
        <w:rPr>
          <w:rFonts w:cs="Palatino-Roman"/>
          <w:szCs w:val="24"/>
        </w:rPr>
        <w:t>Klingner</w:t>
      </w:r>
      <w:r>
        <w:rPr>
          <w:rFonts w:cs="Palatino-Roman"/>
          <w:szCs w:val="24"/>
        </w:rPr>
        <w:t>, J. K.</w:t>
      </w:r>
      <w:r w:rsidRPr="006E7129">
        <w:rPr>
          <w:rFonts w:cs="Palatino-Roman"/>
          <w:szCs w:val="24"/>
        </w:rPr>
        <w:t>, Vaughn</w:t>
      </w:r>
      <w:r>
        <w:rPr>
          <w:rFonts w:cs="Palatino-Roman"/>
          <w:szCs w:val="24"/>
        </w:rPr>
        <w:t>, S.</w:t>
      </w:r>
      <w:r w:rsidRPr="006E7129">
        <w:rPr>
          <w:rFonts w:cs="Palatino-Roman"/>
          <w:szCs w:val="24"/>
        </w:rPr>
        <w:t>, Arguelles</w:t>
      </w:r>
      <w:r>
        <w:rPr>
          <w:rFonts w:cs="Palatino-Roman"/>
          <w:szCs w:val="24"/>
        </w:rPr>
        <w:t>, M. E.</w:t>
      </w:r>
      <w:r w:rsidRPr="006E7129">
        <w:rPr>
          <w:rFonts w:cs="Palatino-Roman"/>
          <w:szCs w:val="24"/>
        </w:rPr>
        <w:t>, Hughes</w:t>
      </w:r>
      <w:r>
        <w:rPr>
          <w:rFonts w:cs="Palatino-Roman"/>
          <w:szCs w:val="24"/>
        </w:rPr>
        <w:t>, M. T.</w:t>
      </w:r>
      <w:r w:rsidRPr="006E7129">
        <w:rPr>
          <w:rFonts w:cs="Palatino-Roman"/>
          <w:szCs w:val="24"/>
        </w:rPr>
        <w:t>, &amp; Leftwich</w:t>
      </w:r>
      <w:r>
        <w:rPr>
          <w:rFonts w:cs="Palatino-Roman"/>
          <w:szCs w:val="24"/>
        </w:rPr>
        <w:t>, S., A.</w:t>
      </w:r>
      <w:r w:rsidRPr="006E7129">
        <w:rPr>
          <w:rFonts w:cs="Palatino-Roman"/>
          <w:szCs w:val="24"/>
        </w:rPr>
        <w:t xml:space="preserve"> (2004)</w:t>
      </w:r>
      <w:r>
        <w:rPr>
          <w:rFonts w:cs="Palatino-Roman"/>
          <w:szCs w:val="24"/>
        </w:rPr>
        <w:t xml:space="preserve">. Collaborative strategic reading: “Real-world” lessons from classroom teachers. </w:t>
      </w:r>
      <w:r>
        <w:rPr>
          <w:rFonts w:cs="Palatino-Roman"/>
          <w:i/>
          <w:szCs w:val="24"/>
        </w:rPr>
        <w:t>Remedial and Special Education, 25</w:t>
      </w:r>
      <w:r>
        <w:rPr>
          <w:rFonts w:cs="Palatino-Roman"/>
          <w:szCs w:val="24"/>
        </w:rPr>
        <w:t>(5), 291-302.</w:t>
      </w:r>
    </w:p>
    <w:p w:rsidR="00B72364" w:rsidRDefault="005D0D56" w:rsidP="00DB143D">
      <w:pPr>
        <w:ind w:left="720" w:hanging="720"/>
        <w:rPr>
          <w:szCs w:val="24"/>
        </w:rPr>
      </w:pPr>
      <w:r w:rsidRPr="006E7129">
        <w:rPr>
          <w:szCs w:val="24"/>
        </w:rPr>
        <w:t>No Child Left Behind Act of 2001. Pub. L. No. 107-111 (2001).</w:t>
      </w:r>
    </w:p>
    <w:p w:rsidR="005D0D56" w:rsidRPr="006E7129" w:rsidRDefault="005D0D56" w:rsidP="005D0D56">
      <w:pPr>
        <w:ind w:left="720" w:hanging="720"/>
        <w:rPr>
          <w:rFonts w:cs="Palatino-Roman"/>
          <w:szCs w:val="24"/>
        </w:rPr>
      </w:pPr>
      <w:r w:rsidRPr="006E7129">
        <w:rPr>
          <w:rFonts w:cs="Palatino-Roman"/>
          <w:szCs w:val="24"/>
        </w:rPr>
        <w:t xml:space="preserve">Park, T. D., &amp; Osborne, E. (2006a). Content area reading strategies and textbook use in agricultural education. </w:t>
      </w:r>
      <w:r w:rsidRPr="006E7129">
        <w:rPr>
          <w:rFonts w:cs="Palatino-Roman"/>
          <w:i/>
          <w:szCs w:val="24"/>
        </w:rPr>
        <w:t>Journal of Agricultural Education, 47</w:t>
      </w:r>
      <w:r>
        <w:rPr>
          <w:rFonts w:cs="Palatino-Roman"/>
          <w:szCs w:val="24"/>
        </w:rPr>
        <w:t>(4), 1-14. doi:</w:t>
      </w:r>
      <w:r w:rsidRPr="006E7129">
        <w:rPr>
          <w:rFonts w:cs="Palatino-Roman"/>
          <w:szCs w:val="24"/>
        </w:rPr>
        <w:t>10.5032/jae.2006.04001</w:t>
      </w:r>
    </w:p>
    <w:p w:rsidR="005D0D56" w:rsidRPr="006E7129" w:rsidRDefault="005D0D56" w:rsidP="005D0D56">
      <w:pPr>
        <w:ind w:left="720" w:hanging="720"/>
        <w:rPr>
          <w:rFonts w:cs="Palatino-Roman"/>
          <w:szCs w:val="24"/>
        </w:rPr>
      </w:pPr>
      <w:r w:rsidRPr="006E7129">
        <w:rPr>
          <w:rFonts w:cs="Palatino-Roman"/>
          <w:szCs w:val="24"/>
        </w:rPr>
        <w:t xml:space="preserve">Park, T. D., &amp; Osborne, E. (2006b). Agriscience teachers’ attitudes toward implementation of content area reading strategies. </w:t>
      </w:r>
      <w:r w:rsidRPr="006E7129">
        <w:rPr>
          <w:rFonts w:cs="Palatino-Roman"/>
          <w:i/>
          <w:szCs w:val="24"/>
        </w:rPr>
        <w:t>Journal of Agricultural Education, 47</w:t>
      </w:r>
      <w:r>
        <w:rPr>
          <w:rFonts w:cs="Palatino-Roman"/>
          <w:szCs w:val="24"/>
        </w:rPr>
        <w:t>(4), 39-51. doi:</w:t>
      </w:r>
      <w:r w:rsidRPr="006E7129">
        <w:rPr>
          <w:rFonts w:cs="Palatino-Roman"/>
          <w:szCs w:val="24"/>
        </w:rPr>
        <w:t>10.5032/jae.2006.04039</w:t>
      </w:r>
    </w:p>
    <w:p w:rsidR="005D0D56" w:rsidRPr="006E7129" w:rsidRDefault="005D0D56" w:rsidP="005D0D56">
      <w:pPr>
        <w:ind w:left="720" w:hanging="720"/>
        <w:rPr>
          <w:szCs w:val="24"/>
        </w:rPr>
      </w:pPr>
      <w:r w:rsidRPr="006E7129">
        <w:rPr>
          <w:szCs w:val="24"/>
        </w:rPr>
        <w:t xml:space="preserve">Pense, S. L., Watson, D. G., &amp; Wakefield, D. B. (2010). Learning disabled student needs met through curriculum redesign of the Illinois Agricultural Education Core Curriculum. </w:t>
      </w:r>
      <w:r w:rsidRPr="006E7129">
        <w:rPr>
          <w:i/>
          <w:iCs/>
          <w:szCs w:val="24"/>
        </w:rPr>
        <w:t>Journal of Agricultural Education, 51</w:t>
      </w:r>
      <w:r w:rsidRPr="006E7129">
        <w:rPr>
          <w:szCs w:val="24"/>
        </w:rPr>
        <w:t xml:space="preserve">(2), 115-126. doi:10.5032/jae.2010.02115 </w:t>
      </w:r>
    </w:p>
    <w:p w:rsidR="005D0D56" w:rsidRPr="006E7129" w:rsidRDefault="005D0D56" w:rsidP="005D0D56">
      <w:pPr>
        <w:ind w:left="720" w:hanging="720"/>
        <w:rPr>
          <w:szCs w:val="24"/>
        </w:rPr>
      </w:pPr>
      <w:r w:rsidRPr="006E7129">
        <w:rPr>
          <w:szCs w:val="24"/>
        </w:rPr>
        <w:lastRenderedPageBreak/>
        <w:t xml:space="preserve">Richardson, J. M. &amp; Washburn S. (2006). Strategies employed by North Carolina agriculture teachers in serving students with mild to moderate learning disabilities. </w:t>
      </w:r>
      <w:r w:rsidRPr="006E7129">
        <w:rPr>
          <w:i/>
          <w:iCs/>
          <w:szCs w:val="24"/>
        </w:rPr>
        <w:t xml:space="preserve">Proceedings from the Annual Research Conference of the American Association for Agricultural Education, Charlotte, NC, </w:t>
      </w:r>
      <w:r w:rsidRPr="006E7129">
        <w:rPr>
          <w:szCs w:val="24"/>
        </w:rPr>
        <w:t>317-331. Retrieved from http://aaaeonline.org/</w:t>
      </w:r>
    </w:p>
    <w:p w:rsidR="005D0D56" w:rsidRPr="006E7129" w:rsidRDefault="005D0D56" w:rsidP="005D0D56">
      <w:pPr>
        <w:ind w:left="720" w:hanging="720"/>
        <w:rPr>
          <w:szCs w:val="24"/>
        </w:rPr>
      </w:pPr>
      <w:r w:rsidRPr="006E7129">
        <w:rPr>
          <w:szCs w:val="24"/>
        </w:rPr>
        <w:t xml:space="preserve">Stair, K. S., Moore, G. E., Wilson, B., Croom, B., &amp; Jayaratne, K. S. U. (2010). Identifying confidence levels and instructional strategies of high school agricultural education teachers when working with students with special needs. </w:t>
      </w:r>
      <w:r w:rsidRPr="006E7129">
        <w:rPr>
          <w:i/>
          <w:iCs/>
          <w:szCs w:val="24"/>
        </w:rPr>
        <w:t>Journal of Agricultural Education, 51</w:t>
      </w:r>
      <w:r w:rsidRPr="006E7129">
        <w:rPr>
          <w:szCs w:val="24"/>
        </w:rPr>
        <w:t>(2), 90-</w:t>
      </w:r>
      <w:r>
        <w:rPr>
          <w:szCs w:val="24"/>
        </w:rPr>
        <w:t>101. doi:10.5032/jae.2010.02090</w:t>
      </w:r>
    </w:p>
    <w:p w:rsidR="005D0D56" w:rsidRDefault="005D0D56" w:rsidP="00DB143D">
      <w:pPr>
        <w:ind w:left="720" w:hanging="720"/>
      </w:pPr>
      <w:r w:rsidRPr="006E7129">
        <w:rPr>
          <w:rFonts w:cs="Palatino-Roman"/>
          <w:szCs w:val="24"/>
        </w:rPr>
        <w:t xml:space="preserve">Swanson, H. L. (1999). Instructional components that predict treatment outcomes for students with learning disabilities: Support for a combined strategy and direct instruction model. </w:t>
      </w:r>
      <w:r w:rsidRPr="006E7129">
        <w:rPr>
          <w:rFonts w:cs="Palatino-Roman"/>
          <w:i/>
          <w:szCs w:val="24"/>
        </w:rPr>
        <w:t>Learning Disabilities Research &amp; Practice, 14</w:t>
      </w:r>
      <w:r w:rsidRPr="006E7129">
        <w:rPr>
          <w:rFonts w:cs="Palatino-Roman"/>
          <w:szCs w:val="24"/>
        </w:rPr>
        <w:t>(3), 129-140. Retrieved from http://web.ebscohost.com/ehost/detail?hid=112&amp;sid=57531268-dc81-4e0b-bcd7-b28faeada119%40sessionmgr110&amp;vid=1&amp;bdata=JnNpdGU9ZWhvc3QtbGl2ZSZzY29wZT1zaXRl#db=a2h&amp;AN=3349400</w:t>
      </w:r>
    </w:p>
    <w:sectPr w:rsidR="005D0D56" w:rsidSect="00CD7BE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21A" w:rsidRDefault="0091621A" w:rsidP="00B72364">
      <w:pPr>
        <w:spacing w:after="0"/>
      </w:pPr>
      <w:r>
        <w:separator/>
      </w:r>
    </w:p>
  </w:endnote>
  <w:endnote w:type="continuationSeparator" w:id="0">
    <w:p w:rsidR="0091621A" w:rsidRDefault="0091621A" w:rsidP="00B7236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Palatino-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4867158"/>
      <w:docPartObj>
        <w:docPartGallery w:val="Page Numbers (Bottom of Page)"/>
        <w:docPartUnique/>
      </w:docPartObj>
    </w:sdtPr>
    <w:sdtEndPr/>
    <w:sdtContent>
      <w:p w:rsidR="008273FC" w:rsidRDefault="00631432">
        <w:pPr>
          <w:pStyle w:val="Footer"/>
          <w:jc w:val="center"/>
        </w:pPr>
        <w:r>
          <w:fldChar w:fldCharType="begin"/>
        </w:r>
        <w:r>
          <w:instrText xml:space="preserve"> PAGE   \* MERGEFORMAT </w:instrText>
        </w:r>
        <w:r>
          <w:fldChar w:fldCharType="separate"/>
        </w:r>
        <w:r w:rsidR="00E72C19">
          <w:rPr>
            <w:noProof/>
          </w:rPr>
          <w:t>1</w:t>
        </w:r>
        <w:r>
          <w:rPr>
            <w:noProof/>
          </w:rPr>
          <w:fldChar w:fldCharType="end"/>
        </w:r>
      </w:p>
    </w:sdtContent>
  </w:sdt>
  <w:p w:rsidR="008273FC" w:rsidRDefault="008273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21A" w:rsidRDefault="0091621A" w:rsidP="00B72364">
      <w:pPr>
        <w:spacing w:after="0"/>
      </w:pPr>
      <w:r>
        <w:separator/>
      </w:r>
    </w:p>
  </w:footnote>
  <w:footnote w:type="continuationSeparator" w:id="0">
    <w:p w:rsidR="0091621A" w:rsidRDefault="0091621A" w:rsidP="00B72364">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F55AA"/>
    <w:multiLevelType w:val="hybridMultilevel"/>
    <w:tmpl w:val="C4BAB27C"/>
    <w:lvl w:ilvl="0" w:tplc="51C8DF0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364"/>
    <w:rsid w:val="00105256"/>
    <w:rsid w:val="001E5BF5"/>
    <w:rsid w:val="00295457"/>
    <w:rsid w:val="002B7B71"/>
    <w:rsid w:val="002C24AC"/>
    <w:rsid w:val="00313711"/>
    <w:rsid w:val="00383FA8"/>
    <w:rsid w:val="003E2151"/>
    <w:rsid w:val="003E3D11"/>
    <w:rsid w:val="004123A7"/>
    <w:rsid w:val="004556F1"/>
    <w:rsid w:val="00506A10"/>
    <w:rsid w:val="00563289"/>
    <w:rsid w:val="00581D8A"/>
    <w:rsid w:val="0058311B"/>
    <w:rsid w:val="00584955"/>
    <w:rsid w:val="005867D9"/>
    <w:rsid w:val="005D0D56"/>
    <w:rsid w:val="00631432"/>
    <w:rsid w:val="00654B23"/>
    <w:rsid w:val="006A41C1"/>
    <w:rsid w:val="006B2824"/>
    <w:rsid w:val="006F7089"/>
    <w:rsid w:val="00795E1B"/>
    <w:rsid w:val="007F06C6"/>
    <w:rsid w:val="008273FC"/>
    <w:rsid w:val="00840DAD"/>
    <w:rsid w:val="00891F1B"/>
    <w:rsid w:val="0091621A"/>
    <w:rsid w:val="00917701"/>
    <w:rsid w:val="009178C4"/>
    <w:rsid w:val="00A53AB7"/>
    <w:rsid w:val="00B72364"/>
    <w:rsid w:val="00C269B1"/>
    <w:rsid w:val="00CD7BE8"/>
    <w:rsid w:val="00DB143D"/>
    <w:rsid w:val="00DB222F"/>
    <w:rsid w:val="00DE1FC1"/>
    <w:rsid w:val="00E13E9F"/>
    <w:rsid w:val="00E6112B"/>
    <w:rsid w:val="00E72C19"/>
    <w:rsid w:val="00E81A2A"/>
    <w:rsid w:val="00F4469B"/>
    <w:rsid w:val="00F45AD6"/>
    <w:rsid w:val="00F841BE"/>
    <w:rsid w:val="00FE32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23A7"/>
    <w:pPr>
      <w:spacing w:after="240" w:line="240" w:lineRule="auto"/>
      <w:ind w:firstLine="720"/>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72364"/>
    <w:pPr>
      <w:tabs>
        <w:tab w:val="center" w:pos="4680"/>
        <w:tab w:val="right" w:pos="9360"/>
      </w:tabs>
      <w:spacing w:after="0"/>
    </w:pPr>
  </w:style>
  <w:style w:type="character" w:customStyle="1" w:styleId="HeaderChar">
    <w:name w:val="Header Char"/>
    <w:basedOn w:val="DefaultParagraphFont"/>
    <w:link w:val="Header"/>
    <w:uiPriority w:val="99"/>
    <w:semiHidden/>
    <w:rsid w:val="00B72364"/>
    <w:rPr>
      <w:rFonts w:ascii="Times New Roman" w:hAnsi="Times New Roman"/>
      <w:sz w:val="24"/>
    </w:rPr>
  </w:style>
  <w:style w:type="paragraph" w:styleId="Footer">
    <w:name w:val="footer"/>
    <w:basedOn w:val="Normal"/>
    <w:link w:val="FooterChar"/>
    <w:uiPriority w:val="99"/>
    <w:unhideWhenUsed/>
    <w:rsid w:val="00B72364"/>
    <w:pPr>
      <w:tabs>
        <w:tab w:val="center" w:pos="4680"/>
        <w:tab w:val="right" w:pos="9360"/>
      </w:tabs>
      <w:spacing w:after="0"/>
    </w:pPr>
  </w:style>
  <w:style w:type="character" w:customStyle="1" w:styleId="FooterChar">
    <w:name w:val="Footer Char"/>
    <w:basedOn w:val="DefaultParagraphFont"/>
    <w:link w:val="Footer"/>
    <w:uiPriority w:val="99"/>
    <w:rsid w:val="00B72364"/>
    <w:rPr>
      <w:rFonts w:ascii="Times New Roman" w:hAnsi="Times New Roman"/>
      <w:sz w:val="24"/>
    </w:rPr>
  </w:style>
  <w:style w:type="paragraph" w:styleId="BalloonText">
    <w:name w:val="Balloon Text"/>
    <w:basedOn w:val="Normal"/>
    <w:link w:val="BalloonTextChar"/>
    <w:uiPriority w:val="99"/>
    <w:semiHidden/>
    <w:unhideWhenUsed/>
    <w:rsid w:val="00E81A2A"/>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A2A"/>
    <w:rPr>
      <w:rFonts w:ascii="Tahoma" w:hAnsi="Tahoma" w:cs="Tahoma"/>
      <w:sz w:val="16"/>
      <w:szCs w:val="16"/>
    </w:rPr>
  </w:style>
  <w:style w:type="character" w:styleId="Hyperlink">
    <w:name w:val="Hyperlink"/>
    <w:basedOn w:val="DefaultParagraphFont"/>
    <w:uiPriority w:val="99"/>
    <w:unhideWhenUsed/>
    <w:rsid w:val="0058311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23A7"/>
    <w:pPr>
      <w:spacing w:after="240" w:line="240" w:lineRule="auto"/>
      <w:ind w:firstLine="720"/>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72364"/>
    <w:pPr>
      <w:tabs>
        <w:tab w:val="center" w:pos="4680"/>
        <w:tab w:val="right" w:pos="9360"/>
      </w:tabs>
      <w:spacing w:after="0"/>
    </w:pPr>
  </w:style>
  <w:style w:type="character" w:customStyle="1" w:styleId="HeaderChar">
    <w:name w:val="Header Char"/>
    <w:basedOn w:val="DefaultParagraphFont"/>
    <w:link w:val="Header"/>
    <w:uiPriority w:val="99"/>
    <w:semiHidden/>
    <w:rsid w:val="00B72364"/>
    <w:rPr>
      <w:rFonts w:ascii="Times New Roman" w:hAnsi="Times New Roman"/>
      <w:sz w:val="24"/>
    </w:rPr>
  </w:style>
  <w:style w:type="paragraph" w:styleId="Footer">
    <w:name w:val="footer"/>
    <w:basedOn w:val="Normal"/>
    <w:link w:val="FooterChar"/>
    <w:uiPriority w:val="99"/>
    <w:unhideWhenUsed/>
    <w:rsid w:val="00B72364"/>
    <w:pPr>
      <w:tabs>
        <w:tab w:val="center" w:pos="4680"/>
        <w:tab w:val="right" w:pos="9360"/>
      </w:tabs>
      <w:spacing w:after="0"/>
    </w:pPr>
  </w:style>
  <w:style w:type="character" w:customStyle="1" w:styleId="FooterChar">
    <w:name w:val="Footer Char"/>
    <w:basedOn w:val="DefaultParagraphFont"/>
    <w:link w:val="Footer"/>
    <w:uiPriority w:val="99"/>
    <w:rsid w:val="00B72364"/>
    <w:rPr>
      <w:rFonts w:ascii="Times New Roman" w:hAnsi="Times New Roman"/>
      <w:sz w:val="24"/>
    </w:rPr>
  </w:style>
  <w:style w:type="paragraph" w:styleId="BalloonText">
    <w:name w:val="Balloon Text"/>
    <w:basedOn w:val="Normal"/>
    <w:link w:val="BalloonTextChar"/>
    <w:uiPriority w:val="99"/>
    <w:semiHidden/>
    <w:unhideWhenUsed/>
    <w:rsid w:val="00E81A2A"/>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A2A"/>
    <w:rPr>
      <w:rFonts w:ascii="Tahoma" w:hAnsi="Tahoma" w:cs="Tahoma"/>
      <w:sz w:val="16"/>
      <w:szCs w:val="16"/>
    </w:rPr>
  </w:style>
  <w:style w:type="character" w:styleId="Hyperlink">
    <w:name w:val="Hyperlink"/>
    <w:basedOn w:val="DefaultParagraphFont"/>
    <w:uiPriority w:val="99"/>
    <w:unhideWhenUsed/>
    <w:rsid w:val="0058311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1662</Words>
  <Characters>9478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Killingsworth</dc:creator>
  <cp:lastModifiedBy>Lucas D. Maxwell</cp:lastModifiedBy>
  <cp:revision>2</cp:revision>
  <dcterms:created xsi:type="dcterms:W3CDTF">2014-02-28T23:04:00Z</dcterms:created>
  <dcterms:modified xsi:type="dcterms:W3CDTF">2014-02-28T23:04:00Z</dcterms:modified>
</cp:coreProperties>
</file>