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85A" w:rsidRPr="0002703A" w:rsidRDefault="002A085A" w:rsidP="002A085A">
      <w:pPr>
        <w:ind w:right="-360" w:hanging="720"/>
        <w:jc w:val="center"/>
        <w:rPr>
          <w:b/>
        </w:rPr>
      </w:pPr>
      <w:r w:rsidRPr="0002703A">
        <w:rPr>
          <w:b/>
        </w:rPr>
        <w:t xml:space="preserve">                                                                                                                                                  Research Poster</w:t>
      </w: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9714B8" w:rsidRPr="0002703A" w:rsidRDefault="009714B8" w:rsidP="002A085A">
      <w:pPr>
        <w:ind w:right="-360" w:hanging="720"/>
        <w:jc w:val="center"/>
        <w:rPr>
          <w:b/>
        </w:rPr>
      </w:pPr>
    </w:p>
    <w:p w:rsidR="009714B8" w:rsidRPr="0002703A" w:rsidRDefault="009714B8" w:rsidP="002A085A">
      <w:pPr>
        <w:ind w:right="-360" w:hanging="720"/>
        <w:jc w:val="center"/>
        <w:rPr>
          <w:b/>
        </w:rPr>
      </w:pPr>
    </w:p>
    <w:p w:rsidR="009714B8" w:rsidRPr="0002703A" w:rsidRDefault="009714B8" w:rsidP="002A085A">
      <w:pPr>
        <w:ind w:right="-360" w:hanging="720"/>
        <w:jc w:val="center"/>
        <w:rPr>
          <w:b/>
        </w:rPr>
      </w:pPr>
    </w:p>
    <w:p w:rsidR="002A085A" w:rsidRPr="0002703A" w:rsidRDefault="002A085A" w:rsidP="002A085A">
      <w:pPr>
        <w:ind w:right="-360" w:hanging="720"/>
        <w:jc w:val="center"/>
        <w:rPr>
          <w:b/>
        </w:rPr>
      </w:pPr>
    </w:p>
    <w:p w:rsidR="000402A4" w:rsidRPr="0002703A" w:rsidRDefault="000402A4" w:rsidP="000402A4">
      <w:pPr>
        <w:ind w:right="-360" w:hanging="720"/>
        <w:jc w:val="center"/>
        <w:rPr>
          <w:b/>
        </w:rPr>
      </w:pPr>
      <w:r>
        <w:rPr>
          <w:b/>
        </w:rPr>
        <w:t xml:space="preserve">Influence of </w:t>
      </w:r>
      <w:r w:rsidRPr="0002703A">
        <w:rPr>
          <w:b/>
        </w:rPr>
        <w:t xml:space="preserve">National Agricultural Research Agenda Priority Areas </w:t>
      </w:r>
      <w:r>
        <w:rPr>
          <w:b/>
        </w:rPr>
        <w:t>on</w:t>
      </w:r>
      <w:r w:rsidRPr="0002703A">
        <w:rPr>
          <w:b/>
        </w:rPr>
        <w:t xml:space="preserve"> Agricultural and Extension Education</w:t>
      </w:r>
      <w:r>
        <w:rPr>
          <w:b/>
        </w:rPr>
        <w:t xml:space="preserve"> Scholarship</w:t>
      </w:r>
      <w:r w:rsidRPr="0002703A">
        <w:rPr>
          <w:b/>
        </w:rPr>
        <w:t xml:space="preserve">:  A Review of the </w:t>
      </w:r>
      <w:r w:rsidRPr="0002703A">
        <w:rPr>
          <w:b/>
          <w:i/>
        </w:rPr>
        <w:t>Journal of Agricultural Education</w:t>
      </w:r>
      <w:r w:rsidRPr="0002703A">
        <w:rPr>
          <w:b/>
        </w:rPr>
        <w:t xml:space="preserve"> (2009-2013)</w:t>
      </w: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pPr>
      <w:r w:rsidRPr="0002703A">
        <w:t>Anil Kumar Chaudhary</w:t>
      </w:r>
    </w:p>
    <w:p w:rsidR="002A085A" w:rsidRPr="0002703A" w:rsidRDefault="002A085A" w:rsidP="002A085A">
      <w:pPr>
        <w:ind w:right="-360" w:hanging="720"/>
        <w:jc w:val="center"/>
      </w:pPr>
      <w:r w:rsidRPr="0002703A">
        <w:t>Graduate Assistant</w:t>
      </w:r>
    </w:p>
    <w:p w:rsidR="002A085A" w:rsidRPr="0002703A" w:rsidRDefault="002A085A" w:rsidP="002A085A">
      <w:pPr>
        <w:ind w:right="-360" w:hanging="720"/>
        <w:jc w:val="center"/>
      </w:pPr>
      <w:r w:rsidRPr="0002703A">
        <w:t>Department of Agricultural Economics, Sociology and Education</w:t>
      </w:r>
    </w:p>
    <w:p w:rsidR="00B94524" w:rsidRPr="0002703A" w:rsidRDefault="00B94524" w:rsidP="002A085A">
      <w:pPr>
        <w:ind w:right="-360" w:hanging="720"/>
        <w:jc w:val="center"/>
      </w:pPr>
      <w:r w:rsidRPr="0002703A">
        <w:t>009 Ferguson Building</w:t>
      </w:r>
    </w:p>
    <w:p w:rsidR="002A085A" w:rsidRPr="0002703A" w:rsidRDefault="002A085A" w:rsidP="002A085A">
      <w:pPr>
        <w:ind w:right="-360" w:hanging="720"/>
        <w:jc w:val="center"/>
      </w:pPr>
      <w:r w:rsidRPr="0002703A">
        <w:t>The Pennsylvania State University</w:t>
      </w:r>
    </w:p>
    <w:p w:rsidR="002A085A" w:rsidRPr="0002703A" w:rsidRDefault="002A085A" w:rsidP="002A085A">
      <w:pPr>
        <w:ind w:right="-360" w:hanging="720"/>
        <w:jc w:val="center"/>
      </w:pPr>
      <w:r w:rsidRPr="0002703A">
        <w:t>University Park, PA 16802</w:t>
      </w:r>
    </w:p>
    <w:p w:rsidR="009714B8" w:rsidRPr="0002703A" w:rsidRDefault="009714B8" w:rsidP="009714B8">
      <w:pPr>
        <w:ind w:right="-360" w:hanging="720"/>
        <w:jc w:val="center"/>
      </w:pPr>
      <w:r w:rsidRPr="0002703A">
        <w:t xml:space="preserve">Tel: </w:t>
      </w:r>
      <w:r w:rsidR="00153D16" w:rsidRPr="0002703A">
        <w:t>(</w:t>
      </w:r>
      <w:r w:rsidRPr="0002703A">
        <w:t>814</w:t>
      </w:r>
      <w:r w:rsidR="00153D16" w:rsidRPr="0002703A">
        <w:t xml:space="preserve">) </w:t>
      </w:r>
      <w:r w:rsidRPr="0002703A">
        <w:t>441-6209</w:t>
      </w:r>
    </w:p>
    <w:p w:rsidR="009714B8" w:rsidRPr="0002703A" w:rsidRDefault="009714B8" w:rsidP="002A085A">
      <w:pPr>
        <w:ind w:right="-360" w:hanging="720"/>
        <w:jc w:val="center"/>
      </w:pPr>
      <w:r w:rsidRPr="0002703A">
        <w:t xml:space="preserve">e-mail: </w:t>
      </w:r>
      <w:hyperlink r:id="rId6" w:history="1">
        <w:r w:rsidRPr="0002703A">
          <w:rPr>
            <w:rStyle w:val="Hyperlink"/>
          </w:rPr>
          <w:t>auk259@psu.edu</w:t>
        </w:r>
      </w:hyperlink>
    </w:p>
    <w:p w:rsidR="009714B8" w:rsidRPr="0002703A" w:rsidRDefault="009714B8" w:rsidP="002A085A">
      <w:pPr>
        <w:ind w:right="-360" w:hanging="720"/>
        <w:jc w:val="center"/>
      </w:pPr>
    </w:p>
    <w:p w:rsidR="009714B8" w:rsidRPr="0002703A" w:rsidRDefault="009714B8" w:rsidP="002A085A">
      <w:pPr>
        <w:ind w:right="-360" w:hanging="720"/>
        <w:jc w:val="center"/>
      </w:pPr>
    </w:p>
    <w:p w:rsidR="002A085A" w:rsidRPr="0002703A" w:rsidRDefault="002A085A" w:rsidP="002A085A">
      <w:pPr>
        <w:ind w:right="-360" w:hanging="720"/>
        <w:jc w:val="center"/>
      </w:pPr>
    </w:p>
    <w:p w:rsidR="002A085A" w:rsidRPr="0002703A" w:rsidRDefault="002A085A" w:rsidP="002A085A">
      <w:pPr>
        <w:ind w:right="-360" w:hanging="720"/>
        <w:jc w:val="center"/>
      </w:pPr>
      <w:r w:rsidRPr="0002703A">
        <w:br/>
        <w:t>Rama Radhakrishna, Professor</w:t>
      </w:r>
    </w:p>
    <w:p w:rsidR="002A085A" w:rsidRPr="0002703A" w:rsidRDefault="002A085A" w:rsidP="002A085A">
      <w:pPr>
        <w:ind w:right="-360" w:hanging="720"/>
        <w:jc w:val="center"/>
      </w:pPr>
      <w:r w:rsidRPr="0002703A">
        <w:t>Department of Agricultural Economics, Sociology and Education</w:t>
      </w:r>
    </w:p>
    <w:p w:rsidR="002A085A" w:rsidRPr="0002703A" w:rsidRDefault="002A085A" w:rsidP="002A085A">
      <w:pPr>
        <w:ind w:right="-360" w:hanging="720"/>
        <w:jc w:val="center"/>
      </w:pPr>
      <w:r w:rsidRPr="0002703A">
        <w:t>102 Ferguson Building</w:t>
      </w:r>
    </w:p>
    <w:p w:rsidR="002A085A" w:rsidRPr="0002703A" w:rsidRDefault="002A085A" w:rsidP="002A085A">
      <w:pPr>
        <w:ind w:right="-360" w:hanging="720"/>
        <w:jc w:val="center"/>
      </w:pPr>
      <w:r w:rsidRPr="0002703A">
        <w:t>The Pennsylvania State University</w:t>
      </w:r>
    </w:p>
    <w:p w:rsidR="002A085A" w:rsidRPr="0002703A" w:rsidRDefault="002A085A" w:rsidP="002A085A">
      <w:pPr>
        <w:ind w:right="-360" w:hanging="720"/>
        <w:jc w:val="center"/>
      </w:pPr>
      <w:r w:rsidRPr="0002703A">
        <w:t>University Park, PA 16802</w:t>
      </w:r>
    </w:p>
    <w:p w:rsidR="002A085A" w:rsidRPr="0002703A" w:rsidRDefault="002A085A" w:rsidP="002A085A">
      <w:pPr>
        <w:ind w:right="-360" w:hanging="720"/>
        <w:jc w:val="center"/>
      </w:pPr>
      <w:r w:rsidRPr="0002703A">
        <w:t>Tel: (814) 863-7420</w:t>
      </w:r>
    </w:p>
    <w:p w:rsidR="002A085A" w:rsidRPr="0002703A" w:rsidRDefault="002A085A" w:rsidP="002A085A">
      <w:pPr>
        <w:ind w:right="-360" w:hanging="720"/>
        <w:jc w:val="center"/>
      </w:pPr>
      <w:r w:rsidRPr="0002703A">
        <w:t xml:space="preserve">e-mail: </w:t>
      </w:r>
      <w:hyperlink r:id="rId7" w:history="1">
        <w:r w:rsidRPr="0002703A">
          <w:rPr>
            <w:rStyle w:val="Hyperlink"/>
          </w:rPr>
          <w:t>brr100@psu.edu</w:t>
        </w:r>
      </w:hyperlink>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2A085A" w:rsidP="002A085A">
      <w:pPr>
        <w:ind w:right="-360" w:hanging="720"/>
        <w:jc w:val="center"/>
        <w:rPr>
          <w:b/>
        </w:rPr>
      </w:pPr>
    </w:p>
    <w:p w:rsidR="002A085A" w:rsidRPr="0002703A" w:rsidRDefault="00CF7626" w:rsidP="002A085A">
      <w:pPr>
        <w:ind w:right="-360" w:hanging="720"/>
        <w:jc w:val="center"/>
        <w:rPr>
          <w:b/>
        </w:rPr>
      </w:pPr>
      <w:r>
        <w:rPr>
          <w:b/>
        </w:rPr>
        <w:t xml:space="preserve">Influence of </w:t>
      </w:r>
      <w:r w:rsidR="002A085A" w:rsidRPr="0002703A">
        <w:rPr>
          <w:b/>
        </w:rPr>
        <w:t>National Agricultural Research Agenda</w:t>
      </w:r>
      <w:r w:rsidR="009714B8" w:rsidRPr="0002703A">
        <w:rPr>
          <w:b/>
        </w:rPr>
        <w:t xml:space="preserve"> Priority Areas </w:t>
      </w:r>
      <w:r>
        <w:rPr>
          <w:b/>
        </w:rPr>
        <w:t>on</w:t>
      </w:r>
      <w:r w:rsidR="002A085A" w:rsidRPr="0002703A">
        <w:rPr>
          <w:b/>
        </w:rPr>
        <w:t xml:space="preserve"> Agricultural and Extension Education</w:t>
      </w:r>
      <w:r>
        <w:rPr>
          <w:b/>
        </w:rPr>
        <w:t xml:space="preserve"> Scholarship</w:t>
      </w:r>
      <w:r w:rsidR="002A085A" w:rsidRPr="0002703A">
        <w:rPr>
          <w:b/>
        </w:rPr>
        <w:t xml:space="preserve">:  A Review of the </w:t>
      </w:r>
      <w:r w:rsidR="002A085A" w:rsidRPr="0002703A">
        <w:rPr>
          <w:b/>
          <w:i/>
        </w:rPr>
        <w:t>Journal of Agricultural Education</w:t>
      </w:r>
      <w:r w:rsidR="002A085A" w:rsidRPr="0002703A">
        <w:rPr>
          <w:b/>
        </w:rPr>
        <w:t xml:space="preserve"> (2009-2013)</w:t>
      </w:r>
    </w:p>
    <w:p w:rsidR="002A085A" w:rsidRPr="00F8400E" w:rsidRDefault="002A085A" w:rsidP="002A085A">
      <w:pPr>
        <w:ind w:right="-360" w:hanging="720"/>
        <w:jc w:val="center"/>
        <w:rPr>
          <w:b/>
          <w:sz w:val="16"/>
          <w:szCs w:val="16"/>
        </w:rPr>
      </w:pPr>
    </w:p>
    <w:p w:rsidR="002A085A" w:rsidRPr="0002703A" w:rsidRDefault="002A085A" w:rsidP="00F17D2E">
      <w:pPr>
        <w:ind w:right="-360" w:hanging="720"/>
        <w:jc w:val="center"/>
        <w:rPr>
          <w:b/>
        </w:rPr>
      </w:pPr>
      <w:r w:rsidRPr="0002703A">
        <w:rPr>
          <w:b/>
        </w:rPr>
        <w:t>Introduction</w:t>
      </w:r>
      <w:r w:rsidR="00F17D2E">
        <w:rPr>
          <w:b/>
        </w:rPr>
        <w:t>/Conceptual Framework</w:t>
      </w:r>
    </w:p>
    <w:p w:rsidR="00DC71D0" w:rsidRPr="00F8400E" w:rsidRDefault="00DC71D0" w:rsidP="002A085A">
      <w:pPr>
        <w:ind w:right="-360" w:hanging="720"/>
        <w:rPr>
          <w:b/>
          <w:sz w:val="16"/>
          <w:szCs w:val="16"/>
        </w:rPr>
      </w:pPr>
    </w:p>
    <w:p w:rsidR="00E20C90" w:rsidRDefault="00430932" w:rsidP="0048137C">
      <w:pPr>
        <w:autoSpaceDE w:val="0"/>
        <w:autoSpaceDN w:val="0"/>
        <w:adjustRightInd w:val="0"/>
        <w:ind w:right="-450"/>
        <w:rPr>
          <w:iCs/>
        </w:rPr>
      </w:pPr>
      <w:r>
        <w:rPr>
          <w:rFonts w:eastAsiaTheme="minorHAnsi"/>
          <w:color w:val="231F20"/>
        </w:rPr>
        <w:t>In the last 20 plus years, the subject of agricultural education scholarship has been discussed, debated, presented, and published</w:t>
      </w:r>
      <w:r w:rsidR="00E20C90">
        <w:rPr>
          <w:rFonts w:eastAsiaTheme="minorHAnsi"/>
          <w:color w:val="231F20"/>
        </w:rPr>
        <w:t xml:space="preserve"> by a</w:t>
      </w:r>
      <w:r>
        <w:rPr>
          <w:rFonts w:eastAsiaTheme="minorHAnsi"/>
          <w:color w:val="231F20"/>
        </w:rPr>
        <w:t xml:space="preserve"> host of researchers in the profession (</w:t>
      </w:r>
      <w:r w:rsidR="00AD522B" w:rsidRPr="0002703A">
        <w:t>Buriak, &amp; Shinn</w:t>
      </w:r>
      <w:r w:rsidR="00AD522B">
        <w:t>, 1993</w:t>
      </w:r>
      <w:r w:rsidR="00AD522B" w:rsidRPr="0002703A">
        <w:t>,</w:t>
      </w:r>
      <w:r w:rsidR="00AD522B" w:rsidRPr="00AD522B">
        <w:t xml:space="preserve"> </w:t>
      </w:r>
      <w:r w:rsidR="00AD522B" w:rsidRPr="0002703A">
        <w:t>Radhakrishna, &amp; Xu, 1997</w:t>
      </w:r>
      <w:r w:rsidR="00AD522B">
        <w:t>;</w:t>
      </w:r>
      <w:r w:rsidR="00AD522B" w:rsidRPr="00AD522B">
        <w:t xml:space="preserve"> </w:t>
      </w:r>
      <w:r w:rsidR="00AD522B" w:rsidRPr="0002703A">
        <w:t>Silva-Guerrero</w:t>
      </w:r>
      <w:r w:rsidR="00AD522B">
        <w:t xml:space="preserve"> </w:t>
      </w:r>
      <w:r w:rsidR="00AD522B" w:rsidRPr="0002703A">
        <w:t xml:space="preserve">&amp; Sutphin, </w:t>
      </w:r>
      <w:r w:rsidR="00AD522B">
        <w:t>1990;</w:t>
      </w:r>
      <w:r w:rsidR="00AD522B" w:rsidRPr="00AD522B">
        <w:t xml:space="preserve"> </w:t>
      </w:r>
      <w:r w:rsidR="00AD522B" w:rsidRPr="0002703A">
        <w:t xml:space="preserve">Radhakrishna, </w:t>
      </w:r>
      <w:r w:rsidR="00AD522B">
        <w:t>&amp; Mbaga, 1995;</w:t>
      </w:r>
      <w:r w:rsidR="00AD522B" w:rsidRPr="00AD522B">
        <w:t xml:space="preserve"> </w:t>
      </w:r>
      <w:r w:rsidR="00AD522B" w:rsidRPr="0002703A">
        <w:t xml:space="preserve">Edgar, Edgar, Briers, </w:t>
      </w:r>
      <w:r w:rsidR="00AD522B">
        <w:t>Rutherford,</w:t>
      </w:r>
      <w:r w:rsidR="00AD522B" w:rsidRPr="0002703A">
        <w:t xml:space="preserve"> (2008).</w:t>
      </w:r>
      <w:r w:rsidR="00AD522B">
        <w:t xml:space="preserve"> </w:t>
      </w:r>
      <w:r w:rsidR="00E20C90">
        <w:t xml:space="preserve"> Consensus from these studies suggested for a systematic research agenda for the profession. </w:t>
      </w:r>
      <w:r w:rsidR="0002703A">
        <w:rPr>
          <w:rFonts w:eastAsiaTheme="minorHAnsi"/>
          <w:color w:val="231F20"/>
        </w:rPr>
        <w:t>With this need and to provide a direction to the profession</w:t>
      </w:r>
      <w:r w:rsidR="000402A4">
        <w:rPr>
          <w:rFonts w:eastAsiaTheme="minorHAnsi"/>
          <w:color w:val="231F20"/>
        </w:rPr>
        <w:t>,</w:t>
      </w:r>
      <w:r w:rsidR="0002703A">
        <w:rPr>
          <w:rFonts w:eastAsiaTheme="minorHAnsi"/>
          <w:color w:val="231F20"/>
        </w:rPr>
        <w:t xml:space="preserve"> </w:t>
      </w:r>
      <w:r w:rsidR="005433CA">
        <w:rPr>
          <w:rFonts w:eastAsiaTheme="minorHAnsi"/>
          <w:color w:val="231F20"/>
        </w:rPr>
        <w:t xml:space="preserve">a </w:t>
      </w:r>
      <w:r w:rsidR="005433CA" w:rsidRPr="0002703A">
        <w:rPr>
          <w:rFonts w:eastAsiaTheme="minorHAnsi"/>
          <w:color w:val="231F20"/>
        </w:rPr>
        <w:t xml:space="preserve">27-member development team met in Orlando, Florida in December 2005 to begin work </w:t>
      </w:r>
      <w:r w:rsidR="000402A4">
        <w:rPr>
          <w:rFonts w:eastAsiaTheme="minorHAnsi"/>
          <w:color w:val="231F20"/>
        </w:rPr>
        <w:t>on a national research agenda for the profession.</w:t>
      </w:r>
      <w:r w:rsidR="0002703A">
        <w:rPr>
          <w:rFonts w:eastAsiaTheme="minorHAnsi"/>
          <w:color w:val="231F20"/>
        </w:rPr>
        <w:t xml:space="preserve"> </w:t>
      </w:r>
      <w:r w:rsidR="00E20C90">
        <w:rPr>
          <w:rFonts w:eastAsiaTheme="minorHAnsi"/>
          <w:color w:val="231F20"/>
        </w:rPr>
        <w:t xml:space="preserve">After three days of intense </w:t>
      </w:r>
      <w:r w:rsidR="005611DB">
        <w:rPr>
          <w:rFonts w:eastAsiaTheme="minorHAnsi"/>
          <w:color w:val="231F20"/>
        </w:rPr>
        <w:t>deliberations</w:t>
      </w:r>
      <w:r w:rsidR="00E20C90">
        <w:rPr>
          <w:rFonts w:eastAsiaTheme="minorHAnsi"/>
          <w:color w:val="231F20"/>
        </w:rPr>
        <w:t xml:space="preserve"> the team crafted the first National Research Agenda</w:t>
      </w:r>
      <w:r w:rsidR="00C60A55">
        <w:rPr>
          <w:rFonts w:eastAsiaTheme="minorHAnsi"/>
          <w:color w:val="231F20"/>
        </w:rPr>
        <w:t xml:space="preserve"> (NRA)</w:t>
      </w:r>
      <w:r w:rsidR="00E20C90">
        <w:rPr>
          <w:rFonts w:eastAsiaTheme="minorHAnsi"/>
          <w:color w:val="231F20"/>
        </w:rPr>
        <w:t xml:space="preserve"> and organized into five broad </w:t>
      </w:r>
      <w:r w:rsidR="00AD522B" w:rsidRPr="0002703A">
        <w:rPr>
          <w:rFonts w:eastAsiaTheme="minorHAnsi"/>
          <w:color w:val="231F20"/>
        </w:rPr>
        <w:t xml:space="preserve">disciplinary dimensions: agricultural communications, agricultural leadership, </w:t>
      </w:r>
      <w:r w:rsidR="005611DB" w:rsidRPr="0002703A">
        <w:rPr>
          <w:rFonts w:eastAsiaTheme="minorHAnsi"/>
          <w:color w:val="231F20"/>
        </w:rPr>
        <w:t>and extension</w:t>
      </w:r>
      <w:r w:rsidR="00AD522B" w:rsidRPr="0002703A">
        <w:rPr>
          <w:rFonts w:eastAsiaTheme="minorHAnsi"/>
          <w:color w:val="231F20"/>
        </w:rPr>
        <w:t xml:space="preserve"> and outreach education, agricultural education in university and postsecondary settings, and school based agricultural education</w:t>
      </w:r>
      <w:r w:rsidR="007D495F">
        <w:rPr>
          <w:rFonts w:eastAsiaTheme="minorHAnsi"/>
          <w:color w:val="231F20"/>
        </w:rPr>
        <w:t xml:space="preserve"> (Osborne, 2007)</w:t>
      </w:r>
      <w:r w:rsidR="00AD522B" w:rsidRPr="0002703A">
        <w:rPr>
          <w:rFonts w:eastAsiaTheme="minorHAnsi"/>
          <w:color w:val="231F20"/>
        </w:rPr>
        <w:t xml:space="preserve">. </w:t>
      </w:r>
      <w:r w:rsidR="00E20C90" w:rsidRPr="00E20C90">
        <w:rPr>
          <w:rFonts w:eastAsiaTheme="minorHAnsi"/>
          <w:iCs/>
          <w:color w:val="231F20"/>
        </w:rPr>
        <w:t>In 2008,</w:t>
      </w:r>
      <w:r w:rsidR="00E20C90">
        <w:rPr>
          <w:rFonts w:eastAsiaTheme="minorHAnsi"/>
          <w:i/>
          <w:iCs/>
          <w:color w:val="231F20"/>
        </w:rPr>
        <w:t xml:space="preserve"> </w:t>
      </w:r>
      <w:r w:rsidR="00AD522B" w:rsidRPr="0002703A">
        <w:t>Edg</w:t>
      </w:r>
      <w:r w:rsidR="00C60A55">
        <w:t>a</w:t>
      </w:r>
      <w:r w:rsidR="00AD522B" w:rsidRPr="0002703A">
        <w:t xml:space="preserve">r, </w:t>
      </w:r>
      <w:r w:rsidR="007D495F">
        <w:t xml:space="preserve">Edgar, </w:t>
      </w:r>
      <w:r w:rsidR="00AD522B" w:rsidRPr="0002703A">
        <w:t xml:space="preserve">Briers &amp; Rutherford (2008) </w:t>
      </w:r>
      <w:r w:rsidR="00E20C90">
        <w:t xml:space="preserve">examined </w:t>
      </w:r>
      <w:r w:rsidR="00C60A55">
        <w:t xml:space="preserve">over </w:t>
      </w:r>
      <w:r w:rsidR="00E20C90">
        <w:t xml:space="preserve">1151 articles </w:t>
      </w:r>
      <w:r w:rsidR="00C60A55">
        <w:t xml:space="preserve">from </w:t>
      </w:r>
      <w:r w:rsidR="00E20C90">
        <w:t>five premier journals (</w:t>
      </w:r>
      <w:r w:rsidR="00E20C90" w:rsidRPr="00C60A55">
        <w:rPr>
          <w:i/>
        </w:rPr>
        <w:t>JAE, JOE, JIAEE, NACTA, JAC, and JLE</w:t>
      </w:r>
      <w:r w:rsidR="00E20C90">
        <w:t>)</w:t>
      </w:r>
      <w:r w:rsidR="00AD522B" w:rsidRPr="0002703A">
        <w:t xml:space="preserve"> </w:t>
      </w:r>
      <w:r w:rsidR="00E20C90">
        <w:t xml:space="preserve">to identify </w:t>
      </w:r>
      <w:r w:rsidR="00AD522B" w:rsidRPr="0002703A">
        <w:rPr>
          <w:iCs/>
        </w:rPr>
        <w:t>research themes and</w:t>
      </w:r>
      <w:r w:rsidR="00C60A55">
        <w:rPr>
          <w:iCs/>
        </w:rPr>
        <w:t xml:space="preserve"> </w:t>
      </w:r>
      <w:r w:rsidR="00AD522B" w:rsidRPr="0002703A">
        <w:rPr>
          <w:iCs/>
        </w:rPr>
        <w:t>gap</w:t>
      </w:r>
      <w:r w:rsidR="00C60A55">
        <w:rPr>
          <w:iCs/>
        </w:rPr>
        <w:t>s in NRA priority areas.</w:t>
      </w:r>
      <w:r w:rsidR="00AD522B" w:rsidRPr="0002703A">
        <w:rPr>
          <w:iCs/>
        </w:rPr>
        <w:t xml:space="preserve"> </w:t>
      </w:r>
      <w:r w:rsidR="00E20C90">
        <w:rPr>
          <w:iCs/>
        </w:rPr>
        <w:t>They</w:t>
      </w:r>
      <w:r w:rsidR="00AD522B" w:rsidRPr="0002703A">
        <w:rPr>
          <w:iCs/>
        </w:rPr>
        <w:t xml:space="preserve"> found that food, agriculture, natural resources, health, and family being the most researched theme area and RPA 9 (ascertain the public’s knowledge, views, and openness regarding the agri-food and natural resource system) was the most frequently researched priority area. </w:t>
      </w:r>
      <w:r w:rsidR="00AD522B">
        <w:rPr>
          <w:iCs/>
        </w:rPr>
        <w:t xml:space="preserve">They concluded that </w:t>
      </w:r>
      <w:r w:rsidR="00AD522B" w:rsidRPr="0002703A">
        <w:rPr>
          <w:iCs/>
        </w:rPr>
        <w:t xml:space="preserve">there is no gap in the </w:t>
      </w:r>
      <w:r w:rsidR="00C60A55">
        <w:rPr>
          <w:iCs/>
        </w:rPr>
        <w:t>NRA</w:t>
      </w:r>
      <w:r w:rsidR="00AD522B" w:rsidRPr="0002703A">
        <w:rPr>
          <w:iCs/>
        </w:rPr>
        <w:t>, but found that the priority areas are very broad.</w:t>
      </w:r>
      <w:r w:rsidR="00AD522B">
        <w:rPr>
          <w:iCs/>
        </w:rPr>
        <w:t xml:space="preserve"> </w:t>
      </w:r>
      <w:r w:rsidR="00107224">
        <w:rPr>
          <w:iCs/>
        </w:rPr>
        <w:t>In</w:t>
      </w:r>
      <w:r w:rsidR="00032B93">
        <w:rPr>
          <w:iCs/>
        </w:rPr>
        <w:t xml:space="preserve"> 2010, the Association for Public Land Grant Universities </w:t>
      </w:r>
      <w:r w:rsidR="00107224">
        <w:rPr>
          <w:iCs/>
        </w:rPr>
        <w:t>developed</w:t>
      </w:r>
      <w:r w:rsidR="00032B93">
        <w:rPr>
          <w:iCs/>
        </w:rPr>
        <w:t xml:space="preserve"> a “Science Roadmap” for addressing disciplinary needs and opportunities for multidisciplinary collaboration</w:t>
      </w:r>
      <w:r w:rsidR="00107224">
        <w:rPr>
          <w:iCs/>
        </w:rPr>
        <w:t xml:space="preserve"> in the social sciences</w:t>
      </w:r>
      <w:r w:rsidR="00032B93">
        <w:rPr>
          <w:iCs/>
        </w:rPr>
        <w:t xml:space="preserve"> (Osborne, 2012). Collectively, </w:t>
      </w:r>
      <w:r w:rsidR="00107224">
        <w:rPr>
          <w:iCs/>
        </w:rPr>
        <w:t>the current status of</w:t>
      </w:r>
      <w:r w:rsidR="00032B93">
        <w:rPr>
          <w:iCs/>
        </w:rPr>
        <w:t xml:space="preserve"> </w:t>
      </w:r>
      <w:r w:rsidR="00C60A55">
        <w:rPr>
          <w:iCs/>
        </w:rPr>
        <w:t xml:space="preserve">agricultural education </w:t>
      </w:r>
      <w:r w:rsidR="00032B93">
        <w:rPr>
          <w:iCs/>
        </w:rPr>
        <w:t>scholarship, the lessons learned from the first NRA and the Science Roadmap from APLU influence</w:t>
      </w:r>
      <w:r w:rsidR="00E20C90">
        <w:rPr>
          <w:iCs/>
        </w:rPr>
        <w:t>d</w:t>
      </w:r>
      <w:r w:rsidR="00032B93">
        <w:rPr>
          <w:iCs/>
        </w:rPr>
        <w:t xml:space="preserve"> the </w:t>
      </w:r>
      <w:r w:rsidR="00E20C90">
        <w:rPr>
          <w:iCs/>
        </w:rPr>
        <w:t>de</w:t>
      </w:r>
      <w:r w:rsidR="00C60A55">
        <w:rPr>
          <w:iCs/>
        </w:rPr>
        <w:t>ve</w:t>
      </w:r>
      <w:r w:rsidR="00E20C90">
        <w:rPr>
          <w:iCs/>
        </w:rPr>
        <w:t>lopment</w:t>
      </w:r>
      <w:r w:rsidR="00032B93">
        <w:rPr>
          <w:iCs/>
        </w:rPr>
        <w:t xml:space="preserve"> of </w:t>
      </w:r>
      <w:r w:rsidR="00E20C90">
        <w:rPr>
          <w:iCs/>
        </w:rPr>
        <w:t>t</w:t>
      </w:r>
      <w:r w:rsidR="00AD522B">
        <w:rPr>
          <w:iCs/>
        </w:rPr>
        <w:t xml:space="preserve">he second National Research Agenda </w:t>
      </w:r>
      <w:r w:rsidR="0014458B">
        <w:rPr>
          <w:iCs/>
        </w:rPr>
        <w:t>(2011-15) (</w:t>
      </w:r>
      <w:r w:rsidR="000402A4" w:rsidRPr="0002703A">
        <w:rPr>
          <w:rFonts w:eastAsiaTheme="minorHAnsi"/>
        </w:rPr>
        <w:t xml:space="preserve">Doerfert, </w:t>
      </w:r>
      <w:r w:rsidR="0014458B">
        <w:rPr>
          <w:iCs/>
        </w:rPr>
        <w:t>2011</w:t>
      </w:r>
      <w:r w:rsidR="00107224">
        <w:rPr>
          <w:iCs/>
        </w:rPr>
        <w:t>, Osborne, 2012</w:t>
      </w:r>
      <w:r w:rsidR="00032B93">
        <w:rPr>
          <w:iCs/>
        </w:rPr>
        <w:t>).  This 2</w:t>
      </w:r>
      <w:r w:rsidR="00032B93" w:rsidRPr="00032B93">
        <w:rPr>
          <w:iCs/>
          <w:vertAlign w:val="superscript"/>
        </w:rPr>
        <w:t>nd</w:t>
      </w:r>
      <w:r w:rsidR="00032B93">
        <w:rPr>
          <w:iCs/>
        </w:rPr>
        <w:t xml:space="preserve"> NRA had six priorities</w:t>
      </w:r>
      <w:r w:rsidR="00032B93" w:rsidRPr="0002703A">
        <w:t xml:space="preserve">: PR1) </w:t>
      </w:r>
      <w:r w:rsidR="00032B93" w:rsidRPr="0002703A">
        <w:rPr>
          <w:i/>
        </w:rPr>
        <w:t>Public and Policy maker Understanding of Agriculture and Natural Resources</w:t>
      </w:r>
      <w:r w:rsidR="00032B93" w:rsidRPr="0002703A">
        <w:t xml:space="preserve">, PR2) </w:t>
      </w:r>
      <w:r w:rsidR="00032B93" w:rsidRPr="0002703A">
        <w:rPr>
          <w:i/>
        </w:rPr>
        <w:t>New Technologies, practices and products Adoption Decisions</w:t>
      </w:r>
      <w:r w:rsidR="00032B93" w:rsidRPr="0002703A">
        <w:t xml:space="preserve">, PR3) </w:t>
      </w:r>
      <w:r w:rsidR="00032B93" w:rsidRPr="0002703A">
        <w:rPr>
          <w:i/>
        </w:rPr>
        <w:t>Sufficient Scientific and Professional Workforce that Addresses the Challenges of the 21</w:t>
      </w:r>
      <w:r w:rsidR="00032B93" w:rsidRPr="0002703A">
        <w:rPr>
          <w:i/>
          <w:vertAlign w:val="superscript"/>
        </w:rPr>
        <w:t>st</w:t>
      </w:r>
      <w:r w:rsidR="00032B93" w:rsidRPr="0002703A">
        <w:rPr>
          <w:i/>
        </w:rPr>
        <w:t xml:space="preserve"> Century</w:t>
      </w:r>
      <w:r w:rsidR="00032B93" w:rsidRPr="0002703A">
        <w:t xml:space="preserve">, PR4) </w:t>
      </w:r>
      <w:r w:rsidR="00032B93" w:rsidRPr="0002703A">
        <w:rPr>
          <w:i/>
        </w:rPr>
        <w:t>Meaningful, Engaged Learning all Environments</w:t>
      </w:r>
      <w:r w:rsidR="00032B93" w:rsidRPr="0002703A">
        <w:t xml:space="preserve">, PR5) </w:t>
      </w:r>
      <w:r w:rsidR="00032B93" w:rsidRPr="0002703A">
        <w:rPr>
          <w:i/>
        </w:rPr>
        <w:t>Efficient and Effective Agricultural Education Programs</w:t>
      </w:r>
      <w:r w:rsidR="00032B93" w:rsidRPr="0002703A">
        <w:t xml:space="preserve">, and PR6) </w:t>
      </w:r>
      <w:r w:rsidR="00032B93" w:rsidRPr="0002703A">
        <w:rPr>
          <w:i/>
        </w:rPr>
        <w:t>Vibrant, Resilient Communities</w:t>
      </w:r>
      <w:r w:rsidR="00032B93" w:rsidRPr="0002703A">
        <w:t>.</w:t>
      </w:r>
      <w:r w:rsidR="00032B93">
        <w:rPr>
          <w:iCs/>
        </w:rPr>
        <w:t xml:space="preserve"> </w:t>
      </w:r>
    </w:p>
    <w:p w:rsidR="00E20C90" w:rsidRPr="00F8400E" w:rsidRDefault="00E20C90" w:rsidP="0048137C">
      <w:pPr>
        <w:autoSpaceDE w:val="0"/>
        <w:autoSpaceDN w:val="0"/>
        <w:adjustRightInd w:val="0"/>
        <w:ind w:right="-450"/>
        <w:rPr>
          <w:iCs/>
          <w:sz w:val="16"/>
          <w:szCs w:val="16"/>
        </w:rPr>
      </w:pPr>
    </w:p>
    <w:p w:rsidR="0002703A" w:rsidRDefault="0002703A" w:rsidP="00107224">
      <w:pPr>
        <w:autoSpaceDE w:val="0"/>
        <w:autoSpaceDN w:val="0"/>
        <w:adjustRightInd w:val="0"/>
        <w:ind w:right="-630"/>
        <w:rPr>
          <w:rFonts w:eastAsiaTheme="minorHAnsi"/>
          <w:color w:val="231F20"/>
        </w:rPr>
      </w:pPr>
      <w:r>
        <w:rPr>
          <w:rFonts w:eastAsiaTheme="minorHAnsi"/>
          <w:color w:val="231F20"/>
        </w:rPr>
        <w:t xml:space="preserve">Five years </w:t>
      </w:r>
      <w:r w:rsidR="00032B93">
        <w:rPr>
          <w:rFonts w:eastAsiaTheme="minorHAnsi"/>
          <w:color w:val="231F20"/>
        </w:rPr>
        <w:t>have passed since the 2</w:t>
      </w:r>
      <w:r w:rsidR="00032B93" w:rsidRPr="00032B93">
        <w:rPr>
          <w:rFonts w:eastAsiaTheme="minorHAnsi"/>
          <w:color w:val="231F20"/>
          <w:vertAlign w:val="superscript"/>
        </w:rPr>
        <w:t>nd</w:t>
      </w:r>
      <w:r w:rsidR="00032B93">
        <w:rPr>
          <w:rFonts w:eastAsiaTheme="minorHAnsi"/>
          <w:color w:val="231F20"/>
        </w:rPr>
        <w:t xml:space="preserve"> NRA and agricultural education</w:t>
      </w:r>
      <w:r w:rsidR="00107224">
        <w:rPr>
          <w:rFonts w:eastAsiaTheme="minorHAnsi"/>
          <w:color w:val="231F20"/>
        </w:rPr>
        <w:t xml:space="preserve"> scholarship</w:t>
      </w:r>
      <w:r w:rsidR="00032B93">
        <w:rPr>
          <w:rFonts w:eastAsiaTheme="minorHAnsi"/>
          <w:color w:val="231F20"/>
        </w:rPr>
        <w:t xml:space="preserve"> has expanded significantly</w:t>
      </w:r>
      <w:r w:rsidR="00107224">
        <w:rPr>
          <w:rFonts w:eastAsiaTheme="minorHAnsi"/>
          <w:color w:val="231F20"/>
        </w:rPr>
        <w:t xml:space="preserve"> in the last 5-10 years.</w:t>
      </w:r>
      <w:r w:rsidR="00F17D2E">
        <w:rPr>
          <w:rFonts w:eastAsiaTheme="minorHAnsi"/>
          <w:color w:val="231F20"/>
        </w:rPr>
        <w:t xml:space="preserve"> </w:t>
      </w:r>
      <w:r w:rsidR="00107224">
        <w:rPr>
          <w:rFonts w:eastAsiaTheme="minorHAnsi"/>
          <w:color w:val="231F20"/>
        </w:rPr>
        <w:t>A need exists to study the influence of 2</w:t>
      </w:r>
      <w:r w:rsidR="00107224" w:rsidRPr="00107224">
        <w:rPr>
          <w:rFonts w:eastAsiaTheme="minorHAnsi"/>
          <w:color w:val="231F20"/>
          <w:vertAlign w:val="superscript"/>
        </w:rPr>
        <w:t>nd</w:t>
      </w:r>
      <w:r w:rsidR="00107224">
        <w:rPr>
          <w:rFonts w:eastAsiaTheme="minorHAnsi"/>
          <w:color w:val="231F20"/>
        </w:rPr>
        <w:t xml:space="preserve"> NRA on agricultural education scholarship</w:t>
      </w:r>
      <w:r w:rsidR="00F17D2E">
        <w:rPr>
          <w:rFonts w:eastAsiaTheme="minorHAnsi"/>
          <w:color w:val="231F20"/>
        </w:rPr>
        <w:t xml:space="preserve"> </w:t>
      </w:r>
      <w:r w:rsidR="0048137C">
        <w:rPr>
          <w:rFonts w:eastAsiaTheme="minorHAnsi"/>
          <w:color w:val="231F20"/>
        </w:rPr>
        <w:t xml:space="preserve">by reviewing articles published in the </w:t>
      </w:r>
      <w:r w:rsidR="0048137C" w:rsidRPr="0048137C">
        <w:rPr>
          <w:rFonts w:eastAsiaTheme="minorHAnsi"/>
          <w:i/>
          <w:color w:val="231F20"/>
        </w:rPr>
        <w:t>Journal of Agricultural Education</w:t>
      </w:r>
      <w:r w:rsidR="0048137C">
        <w:rPr>
          <w:rFonts w:eastAsiaTheme="minorHAnsi"/>
          <w:color w:val="231F20"/>
        </w:rPr>
        <w:t xml:space="preserve"> for the period 2009-13</w:t>
      </w:r>
      <w:r w:rsidR="00107224">
        <w:rPr>
          <w:rFonts w:eastAsiaTheme="minorHAnsi"/>
          <w:color w:val="231F20"/>
        </w:rPr>
        <w:t>,</w:t>
      </w:r>
      <w:r w:rsidR="0048137C">
        <w:rPr>
          <w:rFonts w:eastAsiaTheme="minorHAnsi"/>
          <w:color w:val="231F20"/>
        </w:rPr>
        <w:t xml:space="preserve"> and </w:t>
      </w:r>
      <w:r w:rsidR="00107224">
        <w:rPr>
          <w:rFonts w:eastAsiaTheme="minorHAnsi"/>
          <w:color w:val="231F20"/>
        </w:rPr>
        <w:t>to determine the extent of research and scholarship in the</w:t>
      </w:r>
      <w:r w:rsidR="0048137C">
        <w:rPr>
          <w:rFonts w:eastAsiaTheme="minorHAnsi"/>
          <w:color w:val="231F20"/>
        </w:rPr>
        <w:t xml:space="preserve"> six NRA priority areas.  </w:t>
      </w:r>
    </w:p>
    <w:p w:rsidR="00E20C90" w:rsidRPr="00E20C90" w:rsidRDefault="00E20C90" w:rsidP="00DC71D0">
      <w:pPr>
        <w:autoSpaceDE w:val="0"/>
        <w:autoSpaceDN w:val="0"/>
        <w:adjustRightInd w:val="0"/>
        <w:rPr>
          <w:rFonts w:eastAsiaTheme="minorHAnsi"/>
          <w:color w:val="231F20"/>
        </w:rPr>
      </w:pPr>
    </w:p>
    <w:p w:rsidR="002A085A" w:rsidRPr="0002703A" w:rsidRDefault="002A085A" w:rsidP="00E20C90">
      <w:pPr>
        <w:ind w:right="-360"/>
        <w:jc w:val="center"/>
        <w:rPr>
          <w:b/>
        </w:rPr>
      </w:pPr>
      <w:r w:rsidRPr="0002703A">
        <w:rPr>
          <w:b/>
        </w:rPr>
        <w:t>Methods and Procedures</w:t>
      </w:r>
    </w:p>
    <w:p w:rsidR="002A085A" w:rsidRPr="00F8400E" w:rsidRDefault="002A085A" w:rsidP="002A085A">
      <w:pPr>
        <w:ind w:right="-360" w:hanging="720"/>
        <w:rPr>
          <w:sz w:val="16"/>
          <w:szCs w:val="16"/>
        </w:rPr>
      </w:pPr>
      <w:r w:rsidRPr="00F8400E">
        <w:rPr>
          <w:sz w:val="16"/>
          <w:szCs w:val="16"/>
        </w:rPr>
        <w:tab/>
      </w:r>
    </w:p>
    <w:p w:rsidR="002A085A" w:rsidRPr="0002703A" w:rsidRDefault="002A085A" w:rsidP="0048137C">
      <w:pPr>
        <w:ind w:right="-630"/>
      </w:pPr>
      <w:r w:rsidRPr="0002703A">
        <w:t xml:space="preserve">The population for the study was all articles published in the </w:t>
      </w:r>
      <w:r w:rsidRPr="0002703A">
        <w:rPr>
          <w:i/>
        </w:rPr>
        <w:t>Journal of Agricultural Education</w:t>
      </w:r>
      <w:r w:rsidRPr="0002703A">
        <w:t xml:space="preserve"> (JAE) from 2009 through 2013 (N=270) representing volumes </w:t>
      </w:r>
      <w:r w:rsidR="00036CE7" w:rsidRPr="0002703A">
        <w:t>50(1-4), 51(1-4)</w:t>
      </w:r>
      <w:r w:rsidRPr="0002703A">
        <w:t>, 52</w:t>
      </w:r>
      <w:r w:rsidR="00036CE7" w:rsidRPr="0002703A">
        <w:t>(1-4)</w:t>
      </w:r>
      <w:r w:rsidRPr="0002703A">
        <w:t>, 53</w:t>
      </w:r>
      <w:r w:rsidR="00036CE7" w:rsidRPr="0002703A">
        <w:t>(1-4)</w:t>
      </w:r>
      <w:r w:rsidRPr="0002703A">
        <w:t>, and 54</w:t>
      </w:r>
      <w:r w:rsidR="00036CE7" w:rsidRPr="0002703A">
        <w:t>(1-4)</w:t>
      </w:r>
      <w:r w:rsidRPr="0002703A">
        <w:t xml:space="preserve"> of the JAE. The rationale for selecting this time frame was: 1) JAE </w:t>
      </w:r>
      <w:r w:rsidR="00F17D2E">
        <w:t>went</w:t>
      </w:r>
      <w:r w:rsidRPr="0002703A">
        <w:t xml:space="preserve"> on-line in 2009, 2) the completion of the first National Research Agenda (NRA) and the beginning of the second NRA. Distinguished lectures (N=5) were excluded from the analysis.  Once the population was determined, the next step was categorizing the 270 articles to the six priority areas of the NRA: </w:t>
      </w:r>
      <w:r w:rsidR="002625AE" w:rsidRPr="0002703A">
        <w:t>PR1</w:t>
      </w:r>
      <w:r w:rsidR="0048137C">
        <w:t xml:space="preserve">, PR2, PR3, PR4, PR5, and PR6. </w:t>
      </w:r>
      <w:r w:rsidRPr="0002703A">
        <w:t>An additional category, “Other” was created for categorizing articles that did not fit the six priorit</w:t>
      </w:r>
      <w:r w:rsidR="00F17D2E">
        <w:t>y areas</w:t>
      </w:r>
      <w:r w:rsidRPr="0002703A">
        <w:t xml:space="preserve">.  Each of the 270 articles was independently reviewed by the authors for </w:t>
      </w:r>
      <w:r w:rsidRPr="0002703A">
        <w:lastRenderedPageBreak/>
        <w:t xml:space="preserve">assigning articles to each of the six priority areas. Then, the assigned articles were examined again to determine inter-reviewer agreement </w:t>
      </w:r>
      <w:r w:rsidR="00F17D2E">
        <w:t>using</w:t>
      </w:r>
      <w:r w:rsidRPr="0002703A">
        <w:t xml:space="preserve"> Spearman rho inter-reviewer agreement formula. Review of the analysis revealed moderate to high agreement between the two reviewers (authors). </w:t>
      </w:r>
      <w:r w:rsidR="00DC71D0" w:rsidRPr="0002703A">
        <w:t xml:space="preserve">The articles which had moderate agreements were further reviewed to make sure that they were accurately assigned to each of the six priority areas. </w:t>
      </w:r>
      <w:r w:rsidRPr="0002703A">
        <w:t xml:space="preserve">Frequencies and percentages were used to summarize the data.  </w:t>
      </w:r>
    </w:p>
    <w:p w:rsidR="002A085A" w:rsidRPr="007D495F" w:rsidRDefault="002A085A" w:rsidP="002A085A">
      <w:pPr>
        <w:ind w:right="-360"/>
        <w:rPr>
          <w:sz w:val="16"/>
          <w:szCs w:val="16"/>
        </w:rPr>
      </w:pPr>
    </w:p>
    <w:p w:rsidR="009714B8" w:rsidRPr="00F17D2E" w:rsidRDefault="009714B8" w:rsidP="007D495F">
      <w:pPr>
        <w:ind w:right="-360"/>
        <w:jc w:val="center"/>
        <w:rPr>
          <w:b/>
        </w:rPr>
      </w:pPr>
      <w:r w:rsidRPr="00F17D2E">
        <w:rPr>
          <w:b/>
        </w:rPr>
        <w:t>Results</w:t>
      </w:r>
    </w:p>
    <w:p w:rsidR="009714B8" w:rsidRDefault="009714B8" w:rsidP="002A085A">
      <w:pPr>
        <w:ind w:right="-360"/>
      </w:pPr>
    </w:p>
    <w:p w:rsidR="00F17D2E" w:rsidRDefault="00F17D2E" w:rsidP="002A085A">
      <w:pPr>
        <w:ind w:right="-360"/>
      </w:pPr>
      <w:r>
        <w:t xml:space="preserve">As shown in Table 1, </w:t>
      </w:r>
      <w:r w:rsidR="0048137C">
        <w:t xml:space="preserve">of the 270 articles reviewed, </w:t>
      </w:r>
      <w:r w:rsidR="002943E3">
        <w:t xml:space="preserve">197 (73%) </w:t>
      </w:r>
      <w:r w:rsidR="002943E3" w:rsidRPr="0002703A">
        <w:t>fit with</w:t>
      </w:r>
      <w:r w:rsidR="00D42D30">
        <w:t>in</w:t>
      </w:r>
      <w:r w:rsidR="002943E3" w:rsidRPr="0002703A">
        <w:t xml:space="preserve"> one of the six </w:t>
      </w:r>
      <w:r w:rsidR="002943E3">
        <w:t xml:space="preserve">NRA </w:t>
      </w:r>
      <w:r w:rsidR="002943E3" w:rsidRPr="0002703A">
        <w:t xml:space="preserve">research </w:t>
      </w:r>
      <w:r w:rsidR="002943E3">
        <w:t xml:space="preserve">priority areas, while remaining 73 articles (27%) were categorized as “other.’ Within the six priority areas, the </w:t>
      </w:r>
      <w:r w:rsidR="002943E3" w:rsidRPr="0002703A">
        <w:t xml:space="preserve">maximum researched </w:t>
      </w:r>
      <w:r w:rsidR="002943E3">
        <w:t>priority area</w:t>
      </w:r>
      <w:r w:rsidR="00D42D30">
        <w:t xml:space="preserve"> was PR5</w:t>
      </w:r>
      <w:r w:rsidR="002943E3" w:rsidRPr="0002703A">
        <w:t xml:space="preserve">, </w:t>
      </w:r>
      <w:r w:rsidR="002943E3">
        <w:t>representing 62 articles (23%), followed by</w:t>
      </w:r>
      <w:r w:rsidR="00D42D30">
        <w:t xml:space="preserve"> PR4, representing</w:t>
      </w:r>
      <w:r w:rsidR="002943E3" w:rsidRPr="0002703A">
        <w:t xml:space="preserve"> </w:t>
      </w:r>
      <w:r w:rsidR="002943E3">
        <w:t xml:space="preserve">47 articles (17.4%), PR2 </w:t>
      </w:r>
      <w:r w:rsidR="00D42D30">
        <w:t xml:space="preserve">with </w:t>
      </w:r>
      <w:r w:rsidR="002943E3">
        <w:t xml:space="preserve">40 </w:t>
      </w:r>
      <w:r w:rsidR="00D42D30">
        <w:t>articles</w:t>
      </w:r>
      <w:r w:rsidR="002943E3">
        <w:t xml:space="preserve"> </w:t>
      </w:r>
      <w:r w:rsidR="00D42D30">
        <w:t>(</w:t>
      </w:r>
      <w:r w:rsidR="002943E3">
        <w:t xml:space="preserve">14.8%), </w:t>
      </w:r>
      <w:r w:rsidR="00D42D30">
        <w:t xml:space="preserve">PR3 with 27 articles (10%), </w:t>
      </w:r>
      <w:r w:rsidR="002943E3">
        <w:t>PR1</w:t>
      </w:r>
      <w:r w:rsidR="00D42D30">
        <w:t xml:space="preserve"> with 15 articles</w:t>
      </w:r>
      <w:r w:rsidR="002943E3">
        <w:t xml:space="preserve"> </w:t>
      </w:r>
      <w:r w:rsidR="008C2422">
        <w:t>(</w:t>
      </w:r>
      <w:r w:rsidR="002943E3">
        <w:t xml:space="preserve">5.5%), and PR6 </w:t>
      </w:r>
      <w:r w:rsidR="00D42D30">
        <w:t>with 6 articles (</w:t>
      </w:r>
      <w:r w:rsidR="002943E3">
        <w:t>2.3%)</w:t>
      </w:r>
      <w:r w:rsidR="008C2422">
        <w:t xml:space="preserve">. </w:t>
      </w:r>
      <w:r w:rsidR="002943E3">
        <w:t>However, t</w:t>
      </w:r>
      <w:r w:rsidR="008C2422">
        <w:t>he dominant category was “other,</w:t>
      </w:r>
      <w:r w:rsidR="002943E3">
        <w:t>”</w:t>
      </w:r>
      <w:r w:rsidR="008C2422">
        <w:t xml:space="preserve"> with 73 articles (27%).</w:t>
      </w:r>
    </w:p>
    <w:p w:rsidR="0048137C" w:rsidRPr="007D495F" w:rsidRDefault="0048137C" w:rsidP="002A085A">
      <w:pPr>
        <w:ind w:right="-360"/>
        <w:rPr>
          <w:sz w:val="16"/>
          <w:szCs w:val="16"/>
        </w:rPr>
      </w:pPr>
    </w:p>
    <w:tbl>
      <w:tblPr>
        <w:tblStyle w:val="TableGrid"/>
        <w:tblW w:w="96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9"/>
        <w:gridCol w:w="1069"/>
        <w:gridCol w:w="1069"/>
        <w:gridCol w:w="1069"/>
        <w:gridCol w:w="1069"/>
        <w:gridCol w:w="1069"/>
        <w:gridCol w:w="1069"/>
        <w:gridCol w:w="1069"/>
        <w:gridCol w:w="1069"/>
      </w:tblGrid>
      <w:tr w:rsidR="009714B8" w:rsidRPr="0002703A" w:rsidTr="00A85C24">
        <w:trPr>
          <w:trHeight w:val="750"/>
        </w:trPr>
        <w:tc>
          <w:tcPr>
            <w:tcW w:w="9621" w:type="dxa"/>
            <w:gridSpan w:val="9"/>
            <w:tcBorders>
              <w:bottom w:val="single" w:sz="12" w:space="0" w:color="auto"/>
            </w:tcBorders>
            <w:vAlign w:val="center"/>
          </w:tcPr>
          <w:p w:rsidR="009714B8" w:rsidRPr="0002703A" w:rsidRDefault="009714B8">
            <w:r w:rsidRPr="0002703A">
              <w:t>Table 1</w:t>
            </w:r>
          </w:p>
          <w:p w:rsidR="009714B8" w:rsidRPr="0002703A" w:rsidRDefault="009714B8"/>
          <w:p w:rsidR="009714B8" w:rsidRPr="0002703A" w:rsidRDefault="002943E3">
            <w:r>
              <w:t>Articles Categorized by Year and Priority Areas (N=270)</w:t>
            </w:r>
          </w:p>
          <w:p w:rsidR="009714B8" w:rsidRPr="0002703A" w:rsidRDefault="009714B8"/>
        </w:tc>
      </w:tr>
      <w:tr w:rsidR="009714B8" w:rsidRPr="0002703A" w:rsidTr="00A85C24">
        <w:trPr>
          <w:trHeight w:val="750"/>
        </w:trPr>
        <w:tc>
          <w:tcPr>
            <w:tcW w:w="1069" w:type="dxa"/>
            <w:tcBorders>
              <w:top w:val="single" w:sz="12" w:space="0" w:color="auto"/>
              <w:bottom w:val="single" w:sz="8" w:space="0" w:color="auto"/>
            </w:tcBorders>
            <w:vAlign w:val="center"/>
            <w:hideMark/>
          </w:tcPr>
          <w:p w:rsidR="009714B8" w:rsidRPr="0002703A" w:rsidRDefault="009714B8">
            <w:pPr>
              <w:jc w:val="center"/>
            </w:pPr>
            <w:r w:rsidRPr="0002703A">
              <w:t>Year</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No. of Articles</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PR1</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PR2</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PR3</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PR4</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PR5</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PR6</w:t>
            </w:r>
          </w:p>
        </w:tc>
        <w:tc>
          <w:tcPr>
            <w:tcW w:w="1069" w:type="dxa"/>
            <w:tcBorders>
              <w:top w:val="single" w:sz="12" w:space="0" w:color="auto"/>
              <w:bottom w:val="single" w:sz="8" w:space="0" w:color="auto"/>
            </w:tcBorders>
            <w:vAlign w:val="center"/>
            <w:hideMark/>
          </w:tcPr>
          <w:p w:rsidR="009714B8" w:rsidRPr="0002703A" w:rsidRDefault="009714B8">
            <w:pPr>
              <w:jc w:val="center"/>
            </w:pPr>
            <w:r w:rsidRPr="0002703A">
              <w:t>Other</w:t>
            </w:r>
          </w:p>
        </w:tc>
      </w:tr>
      <w:tr w:rsidR="009714B8" w:rsidRPr="0002703A" w:rsidTr="00A85C24">
        <w:trPr>
          <w:trHeight w:val="364"/>
        </w:trPr>
        <w:tc>
          <w:tcPr>
            <w:tcW w:w="1069" w:type="dxa"/>
            <w:tcBorders>
              <w:top w:val="single" w:sz="8" w:space="0" w:color="auto"/>
            </w:tcBorders>
            <w:hideMark/>
          </w:tcPr>
          <w:p w:rsidR="009714B8" w:rsidRPr="0002703A" w:rsidRDefault="009714B8" w:rsidP="005016ED">
            <w:pPr>
              <w:jc w:val="center"/>
            </w:pPr>
            <w:r w:rsidRPr="0002703A">
              <w:t>2013</w:t>
            </w:r>
          </w:p>
        </w:tc>
        <w:tc>
          <w:tcPr>
            <w:tcW w:w="1069" w:type="dxa"/>
            <w:tcBorders>
              <w:top w:val="single" w:sz="8" w:space="0" w:color="auto"/>
            </w:tcBorders>
            <w:hideMark/>
          </w:tcPr>
          <w:p w:rsidR="009714B8" w:rsidRPr="0002703A" w:rsidRDefault="009714B8" w:rsidP="005016ED">
            <w:pPr>
              <w:jc w:val="center"/>
            </w:pPr>
            <w:r w:rsidRPr="0002703A">
              <w:t>67</w:t>
            </w:r>
          </w:p>
        </w:tc>
        <w:tc>
          <w:tcPr>
            <w:tcW w:w="1069" w:type="dxa"/>
            <w:tcBorders>
              <w:top w:val="single" w:sz="8" w:space="0" w:color="auto"/>
            </w:tcBorders>
            <w:hideMark/>
          </w:tcPr>
          <w:p w:rsidR="009714B8" w:rsidRPr="0002703A" w:rsidRDefault="009714B8" w:rsidP="005016ED">
            <w:pPr>
              <w:jc w:val="center"/>
            </w:pPr>
            <w:r w:rsidRPr="0002703A">
              <w:t>4</w:t>
            </w:r>
          </w:p>
        </w:tc>
        <w:tc>
          <w:tcPr>
            <w:tcW w:w="1069" w:type="dxa"/>
            <w:tcBorders>
              <w:top w:val="single" w:sz="8" w:space="0" w:color="auto"/>
            </w:tcBorders>
            <w:hideMark/>
          </w:tcPr>
          <w:p w:rsidR="009714B8" w:rsidRPr="0002703A" w:rsidRDefault="009714B8" w:rsidP="005016ED">
            <w:pPr>
              <w:jc w:val="center"/>
            </w:pPr>
            <w:r w:rsidRPr="0002703A">
              <w:t>11</w:t>
            </w:r>
          </w:p>
        </w:tc>
        <w:tc>
          <w:tcPr>
            <w:tcW w:w="1069" w:type="dxa"/>
            <w:tcBorders>
              <w:top w:val="single" w:sz="8" w:space="0" w:color="auto"/>
            </w:tcBorders>
            <w:hideMark/>
          </w:tcPr>
          <w:p w:rsidR="009714B8" w:rsidRPr="0002703A" w:rsidRDefault="009714B8" w:rsidP="005016ED">
            <w:pPr>
              <w:jc w:val="center"/>
            </w:pPr>
            <w:r w:rsidRPr="0002703A">
              <w:t>11</w:t>
            </w:r>
          </w:p>
        </w:tc>
        <w:tc>
          <w:tcPr>
            <w:tcW w:w="1069" w:type="dxa"/>
            <w:tcBorders>
              <w:top w:val="single" w:sz="8" w:space="0" w:color="auto"/>
            </w:tcBorders>
            <w:hideMark/>
          </w:tcPr>
          <w:p w:rsidR="009714B8" w:rsidRPr="0002703A" w:rsidRDefault="009714B8" w:rsidP="005016ED">
            <w:pPr>
              <w:jc w:val="center"/>
            </w:pPr>
            <w:r w:rsidRPr="0002703A">
              <w:t>18</w:t>
            </w:r>
          </w:p>
        </w:tc>
        <w:tc>
          <w:tcPr>
            <w:tcW w:w="1069" w:type="dxa"/>
            <w:tcBorders>
              <w:top w:val="single" w:sz="8" w:space="0" w:color="auto"/>
            </w:tcBorders>
            <w:hideMark/>
          </w:tcPr>
          <w:p w:rsidR="009714B8" w:rsidRPr="0002703A" w:rsidRDefault="009714B8" w:rsidP="005016ED">
            <w:pPr>
              <w:jc w:val="center"/>
            </w:pPr>
            <w:r w:rsidRPr="0002703A">
              <w:t>11</w:t>
            </w:r>
          </w:p>
        </w:tc>
        <w:tc>
          <w:tcPr>
            <w:tcW w:w="1069" w:type="dxa"/>
            <w:tcBorders>
              <w:top w:val="single" w:sz="8" w:space="0" w:color="auto"/>
            </w:tcBorders>
            <w:hideMark/>
          </w:tcPr>
          <w:p w:rsidR="009714B8" w:rsidRPr="0002703A" w:rsidRDefault="009714B8" w:rsidP="005016ED">
            <w:pPr>
              <w:jc w:val="center"/>
            </w:pPr>
            <w:r w:rsidRPr="0002703A">
              <w:t>4</w:t>
            </w:r>
          </w:p>
        </w:tc>
        <w:tc>
          <w:tcPr>
            <w:tcW w:w="1069" w:type="dxa"/>
            <w:tcBorders>
              <w:top w:val="single" w:sz="8" w:space="0" w:color="auto"/>
            </w:tcBorders>
            <w:hideMark/>
          </w:tcPr>
          <w:p w:rsidR="009714B8" w:rsidRPr="0002703A" w:rsidRDefault="009714B8" w:rsidP="005016ED">
            <w:pPr>
              <w:jc w:val="center"/>
            </w:pPr>
            <w:r w:rsidRPr="0002703A">
              <w:t>8</w:t>
            </w:r>
          </w:p>
        </w:tc>
      </w:tr>
      <w:tr w:rsidR="009714B8" w:rsidRPr="0002703A" w:rsidTr="00A85C24">
        <w:trPr>
          <w:trHeight w:val="364"/>
        </w:trPr>
        <w:tc>
          <w:tcPr>
            <w:tcW w:w="1069" w:type="dxa"/>
            <w:hideMark/>
          </w:tcPr>
          <w:p w:rsidR="009714B8" w:rsidRPr="0002703A" w:rsidRDefault="009714B8" w:rsidP="005016ED">
            <w:pPr>
              <w:jc w:val="center"/>
            </w:pPr>
            <w:r w:rsidRPr="0002703A">
              <w:t>2012</w:t>
            </w:r>
          </w:p>
        </w:tc>
        <w:tc>
          <w:tcPr>
            <w:tcW w:w="1069" w:type="dxa"/>
            <w:hideMark/>
          </w:tcPr>
          <w:p w:rsidR="009714B8" w:rsidRPr="0002703A" w:rsidRDefault="009714B8" w:rsidP="005016ED">
            <w:pPr>
              <w:jc w:val="center"/>
            </w:pPr>
            <w:r w:rsidRPr="0002703A">
              <w:t>53</w:t>
            </w:r>
          </w:p>
        </w:tc>
        <w:tc>
          <w:tcPr>
            <w:tcW w:w="1069" w:type="dxa"/>
            <w:hideMark/>
          </w:tcPr>
          <w:p w:rsidR="009714B8" w:rsidRPr="0002703A" w:rsidRDefault="009714B8" w:rsidP="005016ED">
            <w:pPr>
              <w:jc w:val="center"/>
            </w:pPr>
            <w:r w:rsidRPr="0002703A">
              <w:t>1</w:t>
            </w:r>
          </w:p>
        </w:tc>
        <w:tc>
          <w:tcPr>
            <w:tcW w:w="1069" w:type="dxa"/>
            <w:hideMark/>
          </w:tcPr>
          <w:p w:rsidR="009714B8" w:rsidRPr="0002703A" w:rsidRDefault="009714B8" w:rsidP="005016ED">
            <w:pPr>
              <w:jc w:val="center"/>
            </w:pPr>
            <w:r w:rsidRPr="0002703A">
              <w:t>13</w:t>
            </w:r>
          </w:p>
        </w:tc>
        <w:tc>
          <w:tcPr>
            <w:tcW w:w="1069" w:type="dxa"/>
            <w:hideMark/>
          </w:tcPr>
          <w:p w:rsidR="009714B8" w:rsidRPr="0002703A" w:rsidRDefault="009714B8" w:rsidP="005016ED">
            <w:pPr>
              <w:jc w:val="center"/>
            </w:pPr>
            <w:r w:rsidRPr="0002703A">
              <w:t>5</w:t>
            </w:r>
          </w:p>
        </w:tc>
        <w:tc>
          <w:tcPr>
            <w:tcW w:w="1069" w:type="dxa"/>
            <w:hideMark/>
          </w:tcPr>
          <w:p w:rsidR="009714B8" w:rsidRPr="0002703A" w:rsidRDefault="009714B8" w:rsidP="005016ED">
            <w:pPr>
              <w:jc w:val="center"/>
            </w:pPr>
            <w:r w:rsidRPr="0002703A">
              <w:t>7</w:t>
            </w:r>
          </w:p>
        </w:tc>
        <w:tc>
          <w:tcPr>
            <w:tcW w:w="1069" w:type="dxa"/>
            <w:hideMark/>
          </w:tcPr>
          <w:p w:rsidR="009714B8" w:rsidRPr="0002703A" w:rsidRDefault="009714B8" w:rsidP="005016ED">
            <w:pPr>
              <w:jc w:val="center"/>
            </w:pPr>
            <w:r w:rsidRPr="0002703A">
              <w:t>11</w:t>
            </w:r>
          </w:p>
        </w:tc>
        <w:tc>
          <w:tcPr>
            <w:tcW w:w="1069" w:type="dxa"/>
            <w:hideMark/>
          </w:tcPr>
          <w:p w:rsidR="009714B8" w:rsidRPr="0002703A" w:rsidRDefault="009714B8" w:rsidP="005016ED">
            <w:pPr>
              <w:jc w:val="center"/>
            </w:pPr>
            <w:r w:rsidRPr="0002703A">
              <w:t>1</w:t>
            </w:r>
          </w:p>
        </w:tc>
        <w:tc>
          <w:tcPr>
            <w:tcW w:w="1069" w:type="dxa"/>
            <w:hideMark/>
          </w:tcPr>
          <w:p w:rsidR="009714B8" w:rsidRPr="0002703A" w:rsidRDefault="009714B8" w:rsidP="005016ED">
            <w:pPr>
              <w:jc w:val="center"/>
            </w:pPr>
            <w:r w:rsidRPr="0002703A">
              <w:t>15</w:t>
            </w:r>
          </w:p>
        </w:tc>
      </w:tr>
      <w:tr w:rsidR="009714B8" w:rsidRPr="0002703A" w:rsidTr="00A85C24">
        <w:trPr>
          <w:trHeight w:val="386"/>
        </w:trPr>
        <w:tc>
          <w:tcPr>
            <w:tcW w:w="1069" w:type="dxa"/>
            <w:hideMark/>
          </w:tcPr>
          <w:p w:rsidR="009714B8" w:rsidRPr="0002703A" w:rsidRDefault="009714B8" w:rsidP="005016ED">
            <w:pPr>
              <w:jc w:val="center"/>
            </w:pPr>
            <w:r w:rsidRPr="0002703A">
              <w:t>2011</w:t>
            </w:r>
          </w:p>
        </w:tc>
        <w:tc>
          <w:tcPr>
            <w:tcW w:w="1069" w:type="dxa"/>
            <w:hideMark/>
          </w:tcPr>
          <w:p w:rsidR="009714B8" w:rsidRPr="0002703A" w:rsidRDefault="009714B8" w:rsidP="005016ED">
            <w:pPr>
              <w:jc w:val="center"/>
            </w:pPr>
            <w:r w:rsidRPr="0002703A">
              <w:t>58</w:t>
            </w:r>
          </w:p>
        </w:tc>
        <w:tc>
          <w:tcPr>
            <w:tcW w:w="1069" w:type="dxa"/>
            <w:hideMark/>
          </w:tcPr>
          <w:p w:rsidR="009714B8" w:rsidRPr="0002703A" w:rsidRDefault="009714B8" w:rsidP="005016ED">
            <w:pPr>
              <w:jc w:val="center"/>
            </w:pPr>
            <w:r w:rsidRPr="0002703A">
              <w:t>4</w:t>
            </w:r>
          </w:p>
        </w:tc>
        <w:tc>
          <w:tcPr>
            <w:tcW w:w="1069" w:type="dxa"/>
            <w:hideMark/>
          </w:tcPr>
          <w:p w:rsidR="009714B8" w:rsidRPr="0002703A" w:rsidRDefault="009714B8" w:rsidP="005016ED">
            <w:pPr>
              <w:jc w:val="center"/>
            </w:pPr>
            <w:r w:rsidRPr="0002703A">
              <w:t>9</w:t>
            </w:r>
          </w:p>
        </w:tc>
        <w:tc>
          <w:tcPr>
            <w:tcW w:w="1069" w:type="dxa"/>
            <w:hideMark/>
          </w:tcPr>
          <w:p w:rsidR="009714B8" w:rsidRPr="0002703A" w:rsidRDefault="009714B8" w:rsidP="005016ED">
            <w:pPr>
              <w:jc w:val="center"/>
            </w:pPr>
            <w:r w:rsidRPr="0002703A">
              <w:t>6</w:t>
            </w:r>
          </w:p>
        </w:tc>
        <w:tc>
          <w:tcPr>
            <w:tcW w:w="1069" w:type="dxa"/>
            <w:hideMark/>
          </w:tcPr>
          <w:p w:rsidR="009714B8" w:rsidRPr="0002703A" w:rsidRDefault="009714B8" w:rsidP="005016ED">
            <w:pPr>
              <w:jc w:val="center"/>
            </w:pPr>
            <w:r w:rsidRPr="0002703A">
              <w:t>9</w:t>
            </w:r>
          </w:p>
        </w:tc>
        <w:tc>
          <w:tcPr>
            <w:tcW w:w="1069" w:type="dxa"/>
            <w:hideMark/>
          </w:tcPr>
          <w:p w:rsidR="009714B8" w:rsidRPr="0002703A" w:rsidRDefault="009714B8" w:rsidP="005016ED">
            <w:pPr>
              <w:jc w:val="center"/>
            </w:pPr>
            <w:r w:rsidRPr="0002703A">
              <w:t>10</w:t>
            </w:r>
          </w:p>
        </w:tc>
        <w:tc>
          <w:tcPr>
            <w:tcW w:w="1069" w:type="dxa"/>
            <w:hideMark/>
          </w:tcPr>
          <w:p w:rsidR="009714B8" w:rsidRPr="0002703A" w:rsidRDefault="009714B8" w:rsidP="005016ED">
            <w:pPr>
              <w:jc w:val="center"/>
            </w:pPr>
            <w:r w:rsidRPr="0002703A">
              <w:t>1</w:t>
            </w:r>
          </w:p>
        </w:tc>
        <w:tc>
          <w:tcPr>
            <w:tcW w:w="1069" w:type="dxa"/>
            <w:hideMark/>
          </w:tcPr>
          <w:p w:rsidR="009714B8" w:rsidRPr="0002703A" w:rsidRDefault="009714B8" w:rsidP="005016ED">
            <w:pPr>
              <w:jc w:val="center"/>
            </w:pPr>
            <w:r w:rsidRPr="0002703A">
              <w:t>19</w:t>
            </w:r>
          </w:p>
        </w:tc>
      </w:tr>
      <w:tr w:rsidR="009714B8" w:rsidRPr="0002703A" w:rsidTr="00A85C24">
        <w:trPr>
          <w:trHeight w:val="364"/>
        </w:trPr>
        <w:tc>
          <w:tcPr>
            <w:tcW w:w="1069" w:type="dxa"/>
            <w:hideMark/>
          </w:tcPr>
          <w:p w:rsidR="009714B8" w:rsidRPr="0002703A" w:rsidRDefault="009714B8" w:rsidP="005016ED">
            <w:pPr>
              <w:jc w:val="center"/>
            </w:pPr>
            <w:r w:rsidRPr="0002703A">
              <w:t>2010</w:t>
            </w:r>
          </w:p>
        </w:tc>
        <w:tc>
          <w:tcPr>
            <w:tcW w:w="1069" w:type="dxa"/>
            <w:hideMark/>
          </w:tcPr>
          <w:p w:rsidR="009714B8" w:rsidRPr="0002703A" w:rsidRDefault="009714B8" w:rsidP="005016ED">
            <w:pPr>
              <w:jc w:val="center"/>
            </w:pPr>
            <w:r w:rsidRPr="0002703A">
              <w:t>49</w:t>
            </w:r>
          </w:p>
        </w:tc>
        <w:tc>
          <w:tcPr>
            <w:tcW w:w="1069" w:type="dxa"/>
            <w:hideMark/>
          </w:tcPr>
          <w:p w:rsidR="009714B8" w:rsidRPr="0002703A" w:rsidRDefault="009714B8" w:rsidP="005016ED">
            <w:pPr>
              <w:jc w:val="center"/>
            </w:pPr>
            <w:r w:rsidRPr="0002703A">
              <w:t>4</w:t>
            </w:r>
          </w:p>
        </w:tc>
        <w:tc>
          <w:tcPr>
            <w:tcW w:w="1069" w:type="dxa"/>
            <w:hideMark/>
          </w:tcPr>
          <w:p w:rsidR="009714B8" w:rsidRPr="0002703A" w:rsidRDefault="009714B8" w:rsidP="005016ED">
            <w:pPr>
              <w:jc w:val="center"/>
            </w:pPr>
            <w:r w:rsidRPr="0002703A">
              <w:t>3</w:t>
            </w:r>
          </w:p>
        </w:tc>
        <w:tc>
          <w:tcPr>
            <w:tcW w:w="1069" w:type="dxa"/>
            <w:hideMark/>
          </w:tcPr>
          <w:p w:rsidR="009714B8" w:rsidRPr="0002703A" w:rsidRDefault="009714B8" w:rsidP="005016ED">
            <w:pPr>
              <w:jc w:val="center"/>
            </w:pPr>
            <w:r w:rsidRPr="0002703A">
              <w:t>1</w:t>
            </w:r>
          </w:p>
        </w:tc>
        <w:tc>
          <w:tcPr>
            <w:tcW w:w="1069" w:type="dxa"/>
            <w:hideMark/>
          </w:tcPr>
          <w:p w:rsidR="009714B8" w:rsidRPr="0002703A" w:rsidRDefault="009714B8" w:rsidP="005016ED">
            <w:pPr>
              <w:jc w:val="center"/>
            </w:pPr>
            <w:r w:rsidRPr="0002703A">
              <w:t>5</w:t>
            </w:r>
          </w:p>
        </w:tc>
        <w:tc>
          <w:tcPr>
            <w:tcW w:w="1069" w:type="dxa"/>
            <w:hideMark/>
          </w:tcPr>
          <w:p w:rsidR="009714B8" w:rsidRPr="0002703A" w:rsidRDefault="009714B8" w:rsidP="005016ED">
            <w:pPr>
              <w:jc w:val="center"/>
            </w:pPr>
            <w:r w:rsidRPr="0002703A">
              <w:t>19</w:t>
            </w:r>
          </w:p>
        </w:tc>
        <w:tc>
          <w:tcPr>
            <w:tcW w:w="1069" w:type="dxa"/>
            <w:hideMark/>
          </w:tcPr>
          <w:p w:rsidR="009714B8" w:rsidRPr="0002703A" w:rsidRDefault="009714B8" w:rsidP="005016ED">
            <w:pPr>
              <w:jc w:val="center"/>
            </w:pPr>
            <w:r w:rsidRPr="0002703A">
              <w:t>0</w:t>
            </w:r>
          </w:p>
        </w:tc>
        <w:tc>
          <w:tcPr>
            <w:tcW w:w="1069" w:type="dxa"/>
            <w:hideMark/>
          </w:tcPr>
          <w:p w:rsidR="009714B8" w:rsidRPr="0002703A" w:rsidRDefault="009714B8" w:rsidP="005016ED">
            <w:pPr>
              <w:jc w:val="center"/>
            </w:pPr>
            <w:r w:rsidRPr="0002703A">
              <w:t>17</w:t>
            </w:r>
          </w:p>
        </w:tc>
      </w:tr>
      <w:tr w:rsidR="009714B8" w:rsidRPr="0002703A" w:rsidTr="00A85C24">
        <w:trPr>
          <w:trHeight w:val="364"/>
        </w:trPr>
        <w:tc>
          <w:tcPr>
            <w:tcW w:w="1069" w:type="dxa"/>
            <w:hideMark/>
          </w:tcPr>
          <w:p w:rsidR="009714B8" w:rsidRPr="0002703A" w:rsidRDefault="009714B8" w:rsidP="005016ED">
            <w:pPr>
              <w:jc w:val="center"/>
            </w:pPr>
            <w:r w:rsidRPr="0002703A">
              <w:t>2009</w:t>
            </w:r>
          </w:p>
        </w:tc>
        <w:tc>
          <w:tcPr>
            <w:tcW w:w="1069" w:type="dxa"/>
            <w:hideMark/>
          </w:tcPr>
          <w:p w:rsidR="009714B8" w:rsidRPr="0002703A" w:rsidRDefault="009714B8" w:rsidP="005016ED">
            <w:pPr>
              <w:jc w:val="center"/>
            </w:pPr>
            <w:r w:rsidRPr="0002703A">
              <w:t>43</w:t>
            </w:r>
          </w:p>
        </w:tc>
        <w:tc>
          <w:tcPr>
            <w:tcW w:w="1069" w:type="dxa"/>
            <w:hideMark/>
          </w:tcPr>
          <w:p w:rsidR="009714B8" w:rsidRPr="0002703A" w:rsidRDefault="009714B8" w:rsidP="005016ED">
            <w:pPr>
              <w:jc w:val="center"/>
            </w:pPr>
            <w:r w:rsidRPr="0002703A">
              <w:t>2</w:t>
            </w:r>
          </w:p>
        </w:tc>
        <w:tc>
          <w:tcPr>
            <w:tcW w:w="1069" w:type="dxa"/>
            <w:hideMark/>
          </w:tcPr>
          <w:p w:rsidR="009714B8" w:rsidRPr="0002703A" w:rsidRDefault="009714B8" w:rsidP="005016ED">
            <w:pPr>
              <w:jc w:val="center"/>
            </w:pPr>
            <w:r w:rsidRPr="0002703A">
              <w:t>4</w:t>
            </w:r>
          </w:p>
        </w:tc>
        <w:tc>
          <w:tcPr>
            <w:tcW w:w="1069" w:type="dxa"/>
            <w:hideMark/>
          </w:tcPr>
          <w:p w:rsidR="009714B8" w:rsidRPr="0002703A" w:rsidRDefault="009714B8" w:rsidP="005016ED">
            <w:pPr>
              <w:jc w:val="center"/>
            </w:pPr>
            <w:r w:rsidRPr="0002703A">
              <w:t>4</w:t>
            </w:r>
          </w:p>
        </w:tc>
        <w:tc>
          <w:tcPr>
            <w:tcW w:w="1069" w:type="dxa"/>
            <w:hideMark/>
          </w:tcPr>
          <w:p w:rsidR="009714B8" w:rsidRPr="0002703A" w:rsidRDefault="009714B8" w:rsidP="005016ED">
            <w:pPr>
              <w:jc w:val="center"/>
            </w:pPr>
            <w:r w:rsidRPr="0002703A">
              <w:t>8</w:t>
            </w:r>
          </w:p>
        </w:tc>
        <w:tc>
          <w:tcPr>
            <w:tcW w:w="1069" w:type="dxa"/>
            <w:hideMark/>
          </w:tcPr>
          <w:p w:rsidR="009714B8" w:rsidRPr="0002703A" w:rsidRDefault="009714B8" w:rsidP="005016ED">
            <w:pPr>
              <w:jc w:val="center"/>
            </w:pPr>
            <w:r w:rsidRPr="0002703A">
              <w:t>11</w:t>
            </w:r>
          </w:p>
        </w:tc>
        <w:tc>
          <w:tcPr>
            <w:tcW w:w="1069" w:type="dxa"/>
            <w:hideMark/>
          </w:tcPr>
          <w:p w:rsidR="009714B8" w:rsidRPr="0002703A" w:rsidRDefault="009714B8" w:rsidP="005016ED">
            <w:pPr>
              <w:jc w:val="center"/>
            </w:pPr>
            <w:r w:rsidRPr="0002703A">
              <w:t>0</w:t>
            </w:r>
          </w:p>
        </w:tc>
        <w:tc>
          <w:tcPr>
            <w:tcW w:w="1069" w:type="dxa"/>
            <w:hideMark/>
          </w:tcPr>
          <w:p w:rsidR="009714B8" w:rsidRPr="0002703A" w:rsidRDefault="009714B8" w:rsidP="005016ED">
            <w:pPr>
              <w:jc w:val="center"/>
            </w:pPr>
            <w:r w:rsidRPr="0002703A">
              <w:t>14</w:t>
            </w:r>
          </w:p>
        </w:tc>
      </w:tr>
      <w:tr w:rsidR="00A85C24" w:rsidRPr="0002703A" w:rsidTr="00A85C24">
        <w:trPr>
          <w:trHeight w:val="364"/>
        </w:trPr>
        <w:tc>
          <w:tcPr>
            <w:tcW w:w="1069" w:type="dxa"/>
          </w:tcPr>
          <w:p w:rsidR="00A85C24" w:rsidRPr="00A85C24" w:rsidRDefault="00A85C24" w:rsidP="00A85C24">
            <w:pPr>
              <w:jc w:val="center"/>
              <w:rPr>
                <w:b/>
              </w:rPr>
            </w:pPr>
            <w:r w:rsidRPr="0002703A">
              <w:rPr>
                <w:b/>
              </w:rPr>
              <w:t>Total</w:t>
            </w:r>
          </w:p>
        </w:tc>
        <w:tc>
          <w:tcPr>
            <w:tcW w:w="1069" w:type="dxa"/>
          </w:tcPr>
          <w:p w:rsidR="00A85C24" w:rsidRPr="00A85C24" w:rsidRDefault="00A85C24" w:rsidP="005016ED">
            <w:pPr>
              <w:jc w:val="center"/>
              <w:rPr>
                <w:b/>
              </w:rPr>
            </w:pPr>
            <w:r w:rsidRPr="00A85C24">
              <w:rPr>
                <w:b/>
              </w:rPr>
              <w:t>270</w:t>
            </w:r>
          </w:p>
        </w:tc>
        <w:tc>
          <w:tcPr>
            <w:tcW w:w="1069" w:type="dxa"/>
          </w:tcPr>
          <w:p w:rsidR="00A85C24" w:rsidRPr="00A85C24" w:rsidRDefault="00A85C24" w:rsidP="005016ED">
            <w:pPr>
              <w:jc w:val="center"/>
              <w:rPr>
                <w:b/>
              </w:rPr>
            </w:pPr>
            <w:r w:rsidRPr="00A85C24">
              <w:rPr>
                <w:b/>
              </w:rPr>
              <w:t>15</w:t>
            </w:r>
          </w:p>
        </w:tc>
        <w:tc>
          <w:tcPr>
            <w:tcW w:w="1069" w:type="dxa"/>
          </w:tcPr>
          <w:p w:rsidR="00A85C24" w:rsidRPr="00A85C24" w:rsidRDefault="00A85C24" w:rsidP="005016ED">
            <w:pPr>
              <w:jc w:val="center"/>
              <w:rPr>
                <w:b/>
              </w:rPr>
            </w:pPr>
            <w:r w:rsidRPr="00A85C24">
              <w:rPr>
                <w:b/>
              </w:rPr>
              <w:t>40</w:t>
            </w:r>
          </w:p>
        </w:tc>
        <w:tc>
          <w:tcPr>
            <w:tcW w:w="1069" w:type="dxa"/>
          </w:tcPr>
          <w:p w:rsidR="00A85C24" w:rsidRPr="00A85C24" w:rsidRDefault="00A85C24" w:rsidP="005016ED">
            <w:pPr>
              <w:jc w:val="center"/>
              <w:rPr>
                <w:b/>
              </w:rPr>
            </w:pPr>
            <w:r w:rsidRPr="00A85C24">
              <w:rPr>
                <w:b/>
              </w:rPr>
              <w:t>27</w:t>
            </w:r>
          </w:p>
        </w:tc>
        <w:tc>
          <w:tcPr>
            <w:tcW w:w="1069" w:type="dxa"/>
          </w:tcPr>
          <w:p w:rsidR="00A85C24" w:rsidRPr="00A85C24" w:rsidRDefault="00A85C24" w:rsidP="005016ED">
            <w:pPr>
              <w:jc w:val="center"/>
              <w:rPr>
                <w:b/>
              </w:rPr>
            </w:pPr>
            <w:r w:rsidRPr="00A85C24">
              <w:rPr>
                <w:b/>
              </w:rPr>
              <w:t>47</w:t>
            </w:r>
          </w:p>
        </w:tc>
        <w:tc>
          <w:tcPr>
            <w:tcW w:w="1069" w:type="dxa"/>
          </w:tcPr>
          <w:p w:rsidR="00A85C24" w:rsidRPr="00A85C24" w:rsidRDefault="00A85C24" w:rsidP="005016ED">
            <w:pPr>
              <w:jc w:val="center"/>
              <w:rPr>
                <w:b/>
              </w:rPr>
            </w:pPr>
            <w:r w:rsidRPr="00A85C24">
              <w:rPr>
                <w:b/>
              </w:rPr>
              <w:t>62</w:t>
            </w:r>
          </w:p>
        </w:tc>
        <w:tc>
          <w:tcPr>
            <w:tcW w:w="1069" w:type="dxa"/>
          </w:tcPr>
          <w:p w:rsidR="00A85C24" w:rsidRPr="00A85C24" w:rsidRDefault="00A85C24" w:rsidP="005016ED">
            <w:pPr>
              <w:jc w:val="center"/>
              <w:rPr>
                <w:b/>
              </w:rPr>
            </w:pPr>
            <w:r w:rsidRPr="00A85C24">
              <w:rPr>
                <w:b/>
              </w:rPr>
              <w:t>6</w:t>
            </w:r>
          </w:p>
        </w:tc>
        <w:tc>
          <w:tcPr>
            <w:tcW w:w="1069" w:type="dxa"/>
          </w:tcPr>
          <w:p w:rsidR="00A85C24" w:rsidRPr="00A85C24" w:rsidRDefault="00A85C24" w:rsidP="005016ED">
            <w:pPr>
              <w:jc w:val="center"/>
              <w:rPr>
                <w:b/>
              </w:rPr>
            </w:pPr>
            <w:r w:rsidRPr="00A85C24">
              <w:rPr>
                <w:b/>
              </w:rPr>
              <w:t>73</w:t>
            </w:r>
          </w:p>
        </w:tc>
      </w:tr>
      <w:tr w:rsidR="00A85C24" w:rsidRPr="0002703A" w:rsidTr="00A85C24">
        <w:trPr>
          <w:trHeight w:val="364"/>
        </w:trPr>
        <w:tc>
          <w:tcPr>
            <w:tcW w:w="1069" w:type="dxa"/>
            <w:tcBorders>
              <w:bottom w:val="single" w:sz="12" w:space="0" w:color="auto"/>
            </w:tcBorders>
          </w:tcPr>
          <w:p w:rsidR="00A85C24" w:rsidRPr="0002703A" w:rsidRDefault="00A85C24" w:rsidP="00A85C24">
            <w:pPr>
              <w:jc w:val="center"/>
              <w:rPr>
                <w:b/>
              </w:rPr>
            </w:pPr>
            <w:r>
              <w:rPr>
                <w:b/>
              </w:rPr>
              <w:t>(%)</w:t>
            </w:r>
          </w:p>
        </w:tc>
        <w:tc>
          <w:tcPr>
            <w:tcW w:w="1069" w:type="dxa"/>
            <w:tcBorders>
              <w:bottom w:val="single" w:sz="12" w:space="0" w:color="auto"/>
            </w:tcBorders>
          </w:tcPr>
          <w:p w:rsidR="00A85C24" w:rsidRPr="00A85C24" w:rsidRDefault="00A85C24" w:rsidP="005016ED">
            <w:pPr>
              <w:jc w:val="center"/>
              <w:rPr>
                <w:b/>
              </w:rPr>
            </w:pPr>
            <w:r w:rsidRPr="00A85C24">
              <w:rPr>
                <w:b/>
              </w:rPr>
              <w:t>100</w:t>
            </w:r>
          </w:p>
        </w:tc>
        <w:tc>
          <w:tcPr>
            <w:tcW w:w="1069" w:type="dxa"/>
            <w:tcBorders>
              <w:bottom w:val="single" w:sz="12" w:space="0" w:color="auto"/>
            </w:tcBorders>
          </w:tcPr>
          <w:p w:rsidR="00A85C24" w:rsidRPr="00A85C24" w:rsidRDefault="00A85C24" w:rsidP="005016ED">
            <w:pPr>
              <w:jc w:val="center"/>
              <w:rPr>
                <w:b/>
              </w:rPr>
            </w:pPr>
            <w:r w:rsidRPr="00A85C24">
              <w:rPr>
                <w:b/>
              </w:rPr>
              <w:t>5.50</w:t>
            </w:r>
          </w:p>
        </w:tc>
        <w:tc>
          <w:tcPr>
            <w:tcW w:w="1069" w:type="dxa"/>
            <w:tcBorders>
              <w:bottom w:val="single" w:sz="12" w:space="0" w:color="auto"/>
            </w:tcBorders>
          </w:tcPr>
          <w:p w:rsidR="00A85C24" w:rsidRPr="00A85C24" w:rsidRDefault="00A85C24" w:rsidP="005016ED">
            <w:pPr>
              <w:jc w:val="center"/>
              <w:rPr>
                <w:b/>
              </w:rPr>
            </w:pPr>
            <w:r w:rsidRPr="00A85C24">
              <w:rPr>
                <w:b/>
              </w:rPr>
              <w:t>14.80</w:t>
            </w:r>
          </w:p>
        </w:tc>
        <w:tc>
          <w:tcPr>
            <w:tcW w:w="1069" w:type="dxa"/>
            <w:tcBorders>
              <w:bottom w:val="single" w:sz="12" w:space="0" w:color="auto"/>
            </w:tcBorders>
          </w:tcPr>
          <w:p w:rsidR="00A85C24" w:rsidRPr="00A85C24" w:rsidRDefault="00A85C24" w:rsidP="005016ED">
            <w:pPr>
              <w:jc w:val="center"/>
              <w:rPr>
                <w:b/>
              </w:rPr>
            </w:pPr>
            <w:r w:rsidRPr="00A85C24">
              <w:rPr>
                <w:b/>
              </w:rPr>
              <w:t>10.0</w:t>
            </w:r>
          </w:p>
        </w:tc>
        <w:tc>
          <w:tcPr>
            <w:tcW w:w="1069" w:type="dxa"/>
            <w:tcBorders>
              <w:bottom w:val="single" w:sz="12" w:space="0" w:color="auto"/>
            </w:tcBorders>
          </w:tcPr>
          <w:p w:rsidR="00A85C24" w:rsidRPr="00A85C24" w:rsidRDefault="00A85C24" w:rsidP="005016ED">
            <w:pPr>
              <w:jc w:val="center"/>
              <w:rPr>
                <w:b/>
              </w:rPr>
            </w:pPr>
            <w:r w:rsidRPr="00A85C24">
              <w:rPr>
                <w:b/>
              </w:rPr>
              <w:t>17.4</w:t>
            </w:r>
          </w:p>
        </w:tc>
        <w:tc>
          <w:tcPr>
            <w:tcW w:w="1069" w:type="dxa"/>
            <w:tcBorders>
              <w:bottom w:val="single" w:sz="12" w:space="0" w:color="auto"/>
            </w:tcBorders>
          </w:tcPr>
          <w:p w:rsidR="00A85C24" w:rsidRPr="00A85C24" w:rsidRDefault="00A85C24" w:rsidP="005016ED">
            <w:pPr>
              <w:jc w:val="center"/>
              <w:rPr>
                <w:b/>
              </w:rPr>
            </w:pPr>
            <w:r w:rsidRPr="00A85C24">
              <w:rPr>
                <w:b/>
              </w:rPr>
              <w:t>23.0</w:t>
            </w:r>
          </w:p>
        </w:tc>
        <w:tc>
          <w:tcPr>
            <w:tcW w:w="1069" w:type="dxa"/>
            <w:tcBorders>
              <w:bottom w:val="single" w:sz="12" w:space="0" w:color="auto"/>
            </w:tcBorders>
          </w:tcPr>
          <w:p w:rsidR="00A85C24" w:rsidRPr="00A85C24" w:rsidRDefault="00A85C24" w:rsidP="005016ED">
            <w:pPr>
              <w:jc w:val="center"/>
              <w:rPr>
                <w:b/>
              </w:rPr>
            </w:pPr>
            <w:r w:rsidRPr="00A85C24">
              <w:rPr>
                <w:b/>
              </w:rPr>
              <w:t>2.3</w:t>
            </w:r>
          </w:p>
        </w:tc>
        <w:tc>
          <w:tcPr>
            <w:tcW w:w="1069" w:type="dxa"/>
            <w:tcBorders>
              <w:bottom w:val="single" w:sz="12" w:space="0" w:color="auto"/>
            </w:tcBorders>
          </w:tcPr>
          <w:p w:rsidR="00A85C24" w:rsidRPr="00A85C24" w:rsidRDefault="00A85C24" w:rsidP="005016ED">
            <w:pPr>
              <w:jc w:val="center"/>
              <w:rPr>
                <w:b/>
              </w:rPr>
            </w:pPr>
            <w:r w:rsidRPr="00A85C24">
              <w:rPr>
                <w:b/>
              </w:rPr>
              <w:t>27.0</w:t>
            </w:r>
          </w:p>
        </w:tc>
      </w:tr>
    </w:tbl>
    <w:p w:rsidR="009714B8" w:rsidRPr="007D495F" w:rsidRDefault="009714B8" w:rsidP="009714B8">
      <w:pPr>
        <w:autoSpaceDE w:val="0"/>
        <w:autoSpaceDN w:val="0"/>
        <w:adjustRightInd w:val="0"/>
        <w:rPr>
          <w:sz w:val="16"/>
          <w:szCs w:val="16"/>
        </w:rPr>
      </w:pPr>
    </w:p>
    <w:p w:rsidR="00E6269A" w:rsidRPr="0002703A" w:rsidRDefault="00E6269A" w:rsidP="007D495F">
      <w:pPr>
        <w:autoSpaceDE w:val="0"/>
        <w:autoSpaceDN w:val="0"/>
        <w:adjustRightInd w:val="0"/>
        <w:jc w:val="center"/>
        <w:rPr>
          <w:b/>
        </w:rPr>
      </w:pPr>
      <w:r w:rsidRPr="0002703A">
        <w:rPr>
          <w:b/>
        </w:rPr>
        <w:t>Conclusions:</w:t>
      </w:r>
    </w:p>
    <w:p w:rsidR="00F8400E" w:rsidRDefault="00F8400E" w:rsidP="00F8400E">
      <w:pPr>
        <w:spacing w:before="100" w:beforeAutospacing="1" w:after="100" w:afterAutospacing="1"/>
      </w:pPr>
      <w:r>
        <w:t xml:space="preserve">Findings </w:t>
      </w:r>
      <w:r w:rsidR="00653EDD">
        <w:t xml:space="preserve">from this study </w:t>
      </w:r>
      <w:r>
        <w:t xml:space="preserve">revealed that </w:t>
      </w:r>
      <w:r w:rsidR="00653EDD">
        <w:t>three</w:t>
      </w:r>
      <w:r>
        <w:t xml:space="preserve"> out of every four articles published in JAE</w:t>
      </w:r>
      <w:r w:rsidR="00653EDD">
        <w:t xml:space="preserve"> (2009-13)</w:t>
      </w:r>
      <w:r>
        <w:t xml:space="preserve"> fit into </w:t>
      </w:r>
      <w:r w:rsidR="00653EDD">
        <w:t xml:space="preserve">the </w:t>
      </w:r>
      <w:r>
        <w:t xml:space="preserve">NRA priority areas – a good </w:t>
      </w:r>
      <w:r w:rsidR="00653EDD">
        <w:t>indication</w:t>
      </w:r>
      <w:r>
        <w:t xml:space="preserve"> sugges</w:t>
      </w:r>
      <w:r w:rsidR="00653EDD">
        <w:t>ting</w:t>
      </w:r>
      <w:r>
        <w:t xml:space="preserve"> that agricultural education research is focused, interdisciplinary, and collaborative. However, nearly 56% articles dominate</w:t>
      </w:r>
      <w:r w:rsidR="00653EDD">
        <w:t>d three priority areas</w:t>
      </w:r>
      <w:r>
        <w:t xml:space="preserve"> </w:t>
      </w:r>
      <w:r w:rsidR="00653EDD">
        <w:t>(</w:t>
      </w:r>
      <w:r>
        <w:t xml:space="preserve">PR2, PR4 </w:t>
      </w:r>
      <w:r w:rsidR="00653EDD">
        <w:t>and</w:t>
      </w:r>
      <w:r>
        <w:t xml:space="preserve"> PR5</w:t>
      </w:r>
      <w:r w:rsidR="00653EDD">
        <w:t>)</w:t>
      </w:r>
      <w:r>
        <w:t xml:space="preserve"> suggest</w:t>
      </w:r>
      <w:r w:rsidR="00653EDD">
        <w:t>ing</w:t>
      </w:r>
      <w:r>
        <w:t xml:space="preserve"> that a gap exists relative to </w:t>
      </w:r>
      <w:r w:rsidR="00653EDD">
        <w:t>other three priority (</w:t>
      </w:r>
      <w:r>
        <w:t>PR1, PR3 and PR6</w:t>
      </w:r>
      <w:r w:rsidR="00653EDD">
        <w:t>)</w:t>
      </w:r>
      <w:r>
        <w:t xml:space="preserve"> areas. Further, </w:t>
      </w:r>
      <w:r w:rsidR="00653EDD">
        <w:t>27</w:t>
      </w:r>
      <w:r>
        <w:t xml:space="preserve">% of the articles could not be categorized into any of the priority areas, </w:t>
      </w:r>
      <w:r w:rsidR="00653EDD">
        <w:t>indicating</w:t>
      </w:r>
      <w:r>
        <w:t xml:space="preserve"> that </w:t>
      </w:r>
      <w:r w:rsidR="00653EDD">
        <w:t>research carried out</w:t>
      </w:r>
      <w:r>
        <w:t xml:space="preserve"> </w:t>
      </w:r>
      <w:r w:rsidR="00653EDD">
        <w:t xml:space="preserve">is </w:t>
      </w:r>
      <w:r>
        <w:t>too broad</w:t>
      </w:r>
      <w:r w:rsidR="00653EDD">
        <w:t xml:space="preserve">.  This finding is </w:t>
      </w:r>
      <w:r>
        <w:t>consistent with the findings of Edger, Briers &amp; Rutherford (2008). As we look to next 10 years, need exists to revisit the priority areas for communication and synergy development within the profession. The recent position announcements related to graduate assistants</w:t>
      </w:r>
      <w:r w:rsidR="007D495F">
        <w:t xml:space="preserve"> and faculty positions</w:t>
      </w:r>
      <w:r>
        <w:t xml:space="preserve"> </w:t>
      </w:r>
      <w:r w:rsidR="007D495F">
        <w:t>in</w:t>
      </w:r>
      <w:r>
        <w:t xml:space="preserve"> Purdue, Florida and Arkansas suggests that </w:t>
      </w:r>
      <w:r w:rsidR="007D495F">
        <w:t xml:space="preserve">the </w:t>
      </w:r>
      <w:r>
        <w:t xml:space="preserve">profession is moving in the right direction. </w:t>
      </w:r>
      <w:r w:rsidR="007D495F">
        <w:t>They also</w:t>
      </w:r>
      <w:r>
        <w:t xml:space="preserve"> indicate that the profession is preparing the next generation of scholars/scientists keeping in mind the NRA. The findings of the study provided both challenges and oppor</w:t>
      </w:r>
      <w:r w:rsidR="00A00917">
        <w:t xml:space="preserve">tunities and serves as a springboard </w:t>
      </w:r>
      <w:r>
        <w:t>for further research and refinement of the NRA. </w:t>
      </w:r>
      <w:bookmarkStart w:id="0" w:name="_GoBack"/>
      <w:bookmarkEnd w:id="0"/>
    </w:p>
    <w:p w:rsidR="009714B8" w:rsidRPr="0002703A" w:rsidRDefault="009714B8" w:rsidP="009714B8">
      <w:pPr>
        <w:autoSpaceDE w:val="0"/>
        <w:autoSpaceDN w:val="0"/>
        <w:adjustRightInd w:val="0"/>
        <w:jc w:val="center"/>
        <w:rPr>
          <w:b/>
        </w:rPr>
      </w:pPr>
      <w:r w:rsidRPr="0002703A">
        <w:rPr>
          <w:b/>
        </w:rPr>
        <w:lastRenderedPageBreak/>
        <w:t>References</w:t>
      </w:r>
    </w:p>
    <w:p w:rsidR="009714B8" w:rsidRPr="0002703A" w:rsidRDefault="009714B8" w:rsidP="009714B8"/>
    <w:p w:rsidR="009714B8" w:rsidRPr="00417D46" w:rsidRDefault="009714B8" w:rsidP="00417D46">
      <w:pPr>
        <w:autoSpaceDE w:val="0"/>
        <w:autoSpaceDN w:val="0"/>
        <w:adjustRightInd w:val="0"/>
        <w:ind w:left="720" w:hanging="720"/>
        <w:rPr>
          <w:rFonts w:eastAsiaTheme="minorHAnsi"/>
        </w:rPr>
      </w:pPr>
      <w:r w:rsidRPr="0002703A">
        <w:rPr>
          <w:rFonts w:eastAsiaTheme="minorHAnsi"/>
        </w:rPr>
        <w:t>Association of Public and Land-grant Universities (APLU), Experiment Station Committee</w:t>
      </w:r>
      <w:r w:rsidR="00417D46">
        <w:rPr>
          <w:rFonts w:eastAsiaTheme="minorHAnsi"/>
        </w:rPr>
        <w:t xml:space="preserve"> </w:t>
      </w:r>
      <w:r w:rsidRPr="0002703A">
        <w:rPr>
          <w:rFonts w:eastAsiaTheme="minorHAnsi"/>
        </w:rPr>
        <w:t xml:space="preserve">on Organization and Policy—Science and Technology Committee. (2010). </w:t>
      </w:r>
      <w:r w:rsidRPr="0002703A">
        <w:rPr>
          <w:rFonts w:eastAsiaTheme="minorHAnsi"/>
          <w:i/>
          <w:iCs/>
        </w:rPr>
        <w:t>A science</w:t>
      </w:r>
      <w:r w:rsidR="00417D46">
        <w:rPr>
          <w:rFonts w:eastAsiaTheme="minorHAnsi"/>
        </w:rPr>
        <w:t xml:space="preserve"> </w:t>
      </w:r>
      <w:r w:rsidRPr="0002703A">
        <w:rPr>
          <w:rFonts w:eastAsiaTheme="minorHAnsi"/>
          <w:i/>
          <w:iCs/>
        </w:rPr>
        <w:t>roadmap for food and agriculture</w:t>
      </w:r>
      <w:r w:rsidR="00417D46">
        <w:rPr>
          <w:rFonts w:eastAsiaTheme="minorHAnsi"/>
        </w:rPr>
        <w:t xml:space="preserve">. Retrieved from </w:t>
      </w:r>
      <w:r w:rsidRPr="0002703A">
        <w:rPr>
          <w:rFonts w:eastAsiaTheme="minorHAnsi"/>
        </w:rPr>
        <w:t>escop.ncsu.edu/docs/scienceroadmap.pdf</w:t>
      </w:r>
    </w:p>
    <w:p w:rsidR="009714B8" w:rsidRPr="0002703A" w:rsidRDefault="009714B8" w:rsidP="009714B8">
      <w:pPr>
        <w:autoSpaceDE w:val="0"/>
        <w:autoSpaceDN w:val="0"/>
        <w:adjustRightInd w:val="0"/>
      </w:pPr>
    </w:p>
    <w:p w:rsidR="009714B8" w:rsidRPr="0002703A" w:rsidRDefault="009714B8" w:rsidP="00A85C24">
      <w:pPr>
        <w:autoSpaceDE w:val="0"/>
        <w:autoSpaceDN w:val="0"/>
        <w:adjustRightInd w:val="0"/>
        <w:ind w:left="720" w:hanging="720"/>
      </w:pPr>
      <w:r w:rsidRPr="0002703A">
        <w:t xml:space="preserve">Buriak, P., &amp; Shinn, G., C. (1993). Structuring Research for Agricultural Education: A National Delphi Involving Internal Experts. </w:t>
      </w:r>
      <w:r w:rsidRPr="0002703A">
        <w:rPr>
          <w:i/>
          <w:iCs/>
        </w:rPr>
        <w:t>Journal of Agricultural Education, 34</w:t>
      </w:r>
      <w:r w:rsidRPr="0002703A">
        <w:t>(2), 31-36.</w:t>
      </w:r>
    </w:p>
    <w:p w:rsidR="009714B8" w:rsidRPr="0002703A" w:rsidRDefault="009714B8" w:rsidP="009714B8">
      <w:pPr>
        <w:autoSpaceDE w:val="0"/>
        <w:autoSpaceDN w:val="0"/>
        <w:adjustRightInd w:val="0"/>
      </w:pPr>
    </w:p>
    <w:p w:rsidR="009714B8" w:rsidRPr="0002703A" w:rsidRDefault="009714B8" w:rsidP="00A85C24">
      <w:pPr>
        <w:ind w:left="720" w:hanging="720"/>
      </w:pPr>
      <w:r w:rsidRPr="0002703A">
        <w:t xml:space="preserve">Edgar, L. E., Edgar, D. W., Briers, G. E., &amp; Rutherford, T. (2008). Research themes in agricultural education: Future gap analysis of the National Research Agenda. </w:t>
      </w:r>
      <w:r w:rsidRPr="0002703A">
        <w:rPr>
          <w:i/>
        </w:rPr>
        <w:t>Journal of Southern Agricultural Education Research, 58</w:t>
      </w:r>
      <w:r w:rsidRPr="0002703A">
        <w:t xml:space="preserve">(1). Retrieved September 28, 2008, from </w:t>
      </w:r>
      <w:hyperlink r:id="rId8" w:history="1">
        <w:r w:rsidRPr="0002703A">
          <w:rPr>
            <w:rStyle w:val="Hyperlink"/>
          </w:rPr>
          <w:t>http://pubs.aged.tamu.edu/jsaer/pdf/Vol58/58-01-061.pdf</w:t>
        </w:r>
      </w:hyperlink>
    </w:p>
    <w:p w:rsidR="009714B8" w:rsidRPr="0002703A" w:rsidRDefault="009714B8" w:rsidP="009714B8">
      <w:pPr>
        <w:autoSpaceDE w:val="0"/>
        <w:autoSpaceDN w:val="0"/>
        <w:adjustRightInd w:val="0"/>
      </w:pPr>
    </w:p>
    <w:p w:rsidR="009714B8" w:rsidRPr="0002703A" w:rsidRDefault="009714B8" w:rsidP="00A85C24">
      <w:pPr>
        <w:autoSpaceDE w:val="0"/>
        <w:autoSpaceDN w:val="0"/>
        <w:adjustRightInd w:val="0"/>
        <w:ind w:left="720" w:hanging="720"/>
        <w:rPr>
          <w:rFonts w:eastAsiaTheme="minorHAnsi"/>
          <w:i/>
          <w:iCs/>
        </w:rPr>
      </w:pPr>
      <w:r w:rsidRPr="0002703A">
        <w:rPr>
          <w:rFonts w:eastAsiaTheme="minorHAnsi"/>
        </w:rPr>
        <w:t xml:space="preserve">Doerfert, D. L. (Ed.) (2011). </w:t>
      </w:r>
      <w:r w:rsidRPr="0002703A">
        <w:rPr>
          <w:rFonts w:eastAsiaTheme="minorHAnsi"/>
          <w:i/>
          <w:iCs/>
        </w:rPr>
        <w:t>National research agenda: American Association for Agricultural</w:t>
      </w:r>
    </w:p>
    <w:p w:rsidR="009714B8" w:rsidRPr="008C2422" w:rsidRDefault="009714B8" w:rsidP="00A85C24">
      <w:pPr>
        <w:autoSpaceDE w:val="0"/>
        <w:autoSpaceDN w:val="0"/>
        <w:adjustRightInd w:val="0"/>
        <w:ind w:left="720" w:hanging="720"/>
        <w:rPr>
          <w:rFonts w:eastAsiaTheme="minorHAnsi"/>
        </w:rPr>
      </w:pPr>
      <w:r w:rsidRPr="0002703A">
        <w:rPr>
          <w:rFonts w:eastAsiaTheme="minorHAnsi"/>
          <w:i/>
          <w:iCs/>
        </w:rPr>
        <w:t>Education’s research priority areas for 2011-2015</w:t>
      </w:r>
      <w:r w:rsidRPr="0002703A">
        <w:rPr>
          <w:rFonts w:eastAsiaTheme="minorHAnsi"/>
        </w:rPr>
        <w:t>. Lubbock, TX: Texas Tech University, Department of</w:t>
      </w:r>
      <w:r w:rsidR="008C2422">
        <w:rPr>
          <w:rFonts w:eastAsiaTheme="minorHAnsi"/>
        </w:rPr>
        <w:t xml:space="preserve"> </w:t>
      </w:r>
      <w:r w:rsidRPr="0002703A">
        <w:rPr>
          <w:rFonts w:eastAsiaTheme="minorHAnsi"/>
        </w:rPr>
        <w:t>Agricultural Education and Communications.</w:t>
      </w:r>
    </w:p>
    <w:p w:rsidR="009714B8" w:rsidRPr="0002703A" w:rsidRDefault="009714B8" w:rsidP="009714B8">
      <w:pPr>
        <w:autoSpaceDE w:val="0"/>
        <w:autoSpaceDN w:val="0"/>
        <w:adjustRightInd w:val="0"/>
      </w:pPr>
    </w:p>
    <w:p w:rsidR="009714B8" w:rsidRDefault="007D495F" w:rsidP="00A85C24">
      <w:pPr>
        <w:autoSpaceDE w:val="0"/>
        <w:autoSpaceDN w:val="0"/>
        <w:adjustRightInd w:val="0"/>
        <w:ind w:left="720" w:hanging="720"/>
      </w:pPr>
      <w:r>
        <w:t xml:space="preserve">Osborne, E.W. (2012).  </w:t>
      </w:r>
      <w:r w:rsidRPr="00A85C24">
        <w:rPr>
          <w:i/>
        </w:rPr>
        <w:t>AEE 501 Class Presentation</w:t>
      </w:r>
      <w:r w:rsidR="00A85C24">
        <w:t xml:space="preserve"> [PowerPoint slides]. Lecture conducted for The</w:t>
      </w:r>
      <w:r>
        <w:t xml:space="preserve"> Pennsylvania State University, Department of Agricultural and Extension Educ</w:t>
      </w:r>
      <w:r w:rsidR="00A85C24">
        <w:t>ation, University Park, PA</w:t>
      </w:r>
      <w:r>
        <w:t>.</w:t>
      </w:r>
    </w:p>
    <w:p w:rsidR="007D495F" w:rsidRPr="0002703A" w:rsidRDefault="007D495F" w:rsidP="009714B8">
      <w:pPr>
        <w:autoSpaceDE w:val="0"/>
        <w:autoSpaceDN w:val="0"/>
        <w:adjustRightInd w:val="0"/>
      </w:pPr>
    </w:p>
    <w:p w:rsidR="009714B8" w:rsidRPr="0002703A" w:rsidRDefault="009714B8" w:rsidP="00A85C24">
      <w:pPr>
        <w:ind w:left="720" w:hanging="720"/>
      </w:pPr>
      <w:r w:rsidRPr="0002703A">
        <w:t>Osborne, E. W. (Ed.) (2007). National research agenda: Agricultural education and communication, 2007-2010. Gainesville, FL: University of Florida, Department of Agricultural Education and Communication.</w:t>
      </w:r>
    </w:p>
    <w:p w:rsidR="009714B8" w:rsidRPr="0002703A" w:rsidRDefault="009714B8" w:rsidP="009714B8"/>
    <w:p w:rsidR="009714B8" w:rsidRPr="0002703A" w:rsidRDefault="009714B8" w:rsidP="00A85C24">
      <w:pPr>
        <w:autoSpaceDE w:val="0"/>
        <w:autoSpaceDN w:val="0"/>
        <w:adjustRightInd w:val="0"/>
        <w:ind w:left="720" w:hanging="720"/>
      </w:pPr>
      <w:r w:rsidRPr="0002703A">
        <w:t xml:space="preserve">Radhakrishna, R. B., &amp; Jackson, G. B. (1992). </w:t>
      </w:r>
      <w:r w:rsidRPr="0002703A">
        <w:rPr>
          <w:i/>
          <w:iCs/>
        </w:rPr>
        <w:t>Journal of Agricultural Education</w:t>
      </w:r>
      <w:r w:rsidRPr="0002703A">
        <w:t xml:space="preserve">: An empirical analysis. </w:t>
      </w:r>
      <w:r w:rsidRPr="0002703A">
        <w:rPr>
          <w:i/>
          <w:iCs/>
        </w:rPr>
        <w:t>Proceedings of the</w:t>
      </w:r>
      <w:r w:rsidRPr="0002703A">
        <w:t xml:space="preserve"> </w:t>
      </w:r>
      <w:r w:rsidRPr="0002703A">
        <w:rPr>
          <w:i/>
          <w:iCs/>
        </w:rPr>
        <w:t>Eastern Region Agricultural Education</w:t>
      </w:r>
      <w:r w:rsidRPr="0002703A">
        <w:t xml:space="preserve"> </w:t>
      </w:r>
      <w:r w:rsidRPr="0002703A">
        <w:rPr>
          <w:i/>
          <w:iCs/>
        </w:rPr>
        <w:t xml:space="preserve">Research Meeting, </w:t>
      </w:r>
      <w:r w:rsidRPr="0002703A">
        <w:t>Annapolis, MD, 50-57.</w:t>
      </w:r>
    </w:p>
    <w:p w:rsidR="009714B8" w:rsidRPr="0002703A" w:rsidRDefault="009714B8" w:rsidP="009714B8">
      <w:pPr>
        <w:autoSpaceDE w:val="0"/>
        <w:autoSpaceDN w:val="0"/>
        <w:adjustRightInd w:val="0"/>
      </w:pPr>
    </w:p>
    <w:p w:rsidR="009714B8" w:rsidRPr="0002703A" w:rsidRDefault="009714B8" w:rsidP="00A85C24">
      <w:pPr>
        <w:autoSpaceDE w:val="0"/>
        <w:autoSpaceDN w:val="0"/>
        <w:adjustRightInd w:val="0"/>
        <w:ind w:left="720" w:hanging="720"/>
      </w:pPr>
      <w:r w:rsidRPr="0002703A">
        <w:t xml:space="preserve">Radhakrishna, R. B., &amp; Xu, W. (1997). A review of subject matter topics researched in agricultural and extension education. </w:t>
      </w:r>
      <w:r w:rsidRPr="0002703A">
        <w:rPr>
          <w:i/>
          <w:iCs/>
        </w:rPr>
        <w:t>Journal of Agricultural Education, 38</w:t>
      </w:r>
      <w:r w:rsidRPr="0002703A">
        <w:t>(3), 59-69.</w:t>
      </w:r>
    </w:p>
    <w:p w:rsidR="009714B8" w:rsidRPr="0002703A" w:rsidRDefault="009714B8" w:rsidP="009714B8">
      <w:pPr>
        <w:autoSpaceDE w:val="0"/>
        <w:autoSpaceDN w:val="0"/>
        <w:adjustRightInd w:val="0"/>
      </w:pPr>
    </w:p>
    <w:p w:rsidR="009714B8" w:rsidRPr="0002703A" w:rsidRDefault="009714B8" w:rsidP="00A85C24">
      <w:pPr>
        <w:autoSpaceDE w:val="0"/>
        <w:autoSpaceDN w:val="0"/>
        <w:adjustRightInd w:val="0"/>
        <w:ind w:left="720" w:hanging="720"/>
      </w:pPr>
      <w:r w:rsidRPr="0002703A">
        <w:t>Radhakrishna, R. B., &amp; Mbaga, L. (1995). Content analysis of papers presented at National Agricultural Education Research Meetings (NAERM—1985-1994). Proceedings of the National Agricultural Education Research Meeting. Denver, CO.</w:t>
      </w:r>
    </w:p>
    <w:p w:rsidR="009714B8" w:rsidRPr="0002703A" w:rsidRDefault="009714B8" w:rsidP="009714B8">
      <w:pPr>
        <w:autoSpaceDE w:val="0"/>
        <w:autoSpaceDN w:val="0"/>
        <w:adjustRightInd w:val="0"/>
      </w:pPr>
    </w:p>
    <w:p w:rsidR="009714B8" w:rsidRPr="0002703A" w:rsidRDefault="009714B8" w:rsidP="00A85C24">
      <w:pPr>
        <w:autoSpaceDE w:val="0"/>
        <w:autoSpaceDN w:val="0"/>
        <w:adjustRightInd w:val="0"/>
        <w:ind w:left="720" w:hanging="720"/>
      </w:pPr>
      <w:r w:rsidRPr="0002703A">
        <w:t xml:space="preserve">Silva-Guerrero, L., &amp; Sutphin, H., D. (1990). Priorities for Research in Agricultural Education. </w:t>
      </w:r>
      <w:r w:rsidRPr="0002703A">
        <w:rPr>
          <w:i/>
          <w:iCs/>
        </w:rPr>
        <w:t>Journal of Agricultural Education, 31</w:t>
      </w:r>
      <w:r w:rsidRPr="0002703A">
        <w:t>(3), 2-13.</w:t>
      </w:r>
    </w:p>
    <w:p w:rsidR="009714B8" w:rsidRPr="0002703A" w:rsidRDefault="009714B8" w:rsidP="009714B8">
      <w:pPr>
        <w:autoSpaceDE w:val="0"/>
        <w:autoSpaceDN w:val="0"/>
        <w:adjustRightInd w:val="0"/>
      </w:pPr>
    </w:p>
    <w:p w:rsidR="009714B8" w:rsidRPr="0002703A" w:rsidRDefault="009714B8" w:rsidP="009714B8">
      <w:pPr>
        <w:autoSpaceDE w:val="0"/>
        <w:autoSpaceDN w:val="0"/>
        <w:adjustRightInd w:val="0"/>
      </w:pPr>
    </w:p>
    <w:sectPr w:rsidR="009714B8" w:rsidRPr="000270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73133"/>
    <w:multiLevelType w:val="hybridMultilevel"/>
    <w:tmpl w:val="5240DEB2"/>
    <w:lvl w:ilvl="0" w:tplc="E39A19AA">
      <w:start w:val="1"/>
      <w:numFmt w:val="bullet"/>
      <w:lvlText w:val=""/>
      <w:lvlJc w:val="left"/>
      <w:pPr>
        <w:tabs>
          <w:tab w:val="num" w:pos="720"/>
        </w:tabs>
        <w:ind w:left="720" w:hanging="360"/>
      </w:pPr>
      <w:rPr>
        <w:rFonts w:ascii="Wingdings" w:hAnsi="Wingdings" w:hint="default"/>
      </w:rPr>
    </w:lvl>
    <w:lvl w:ilvl="1" w:tplc="0F6E6F88">
      <w:start w:val="1"/>
      <w:numFmt w:val="bullet"/>
      <w:lvlText w:val=""/>
      <w:lvlJc w:val="left"/>
      <w:pPr>
        <w:tabs>
          <w:tab w:val="num" w:pos="1440"/>
        </w:tabs>
        <w:ind w:left="1440" w:hanging="360"/>
      </w:pPr>
      <w:rPr>
        <w:rFonts w:ascii="Wingdings" w:hAnsi="Wingdings" w:hint="default"/>
      </w:rPr>
    </w:lvl>
    <w:lvl w:ilvl="2" w:tplc="28D28E82">
      <w:start w:val="1"/>
      <w:numFmt w:val="bullet"/>
      <w:lvlText w:val=""/>
      <w:lvlJc w:val="left"/>
      <w:pPr>
        <w:tabs>
          <w:tab w:val="num" w:pos="2160"/>
        </w:tabs>
        <w:ind w:left="2160" w:hanging="360"/>
      </w:pPr>
      <w:rPr>
        <w:rFonts w:ascii="Wingdings" w:hAnsi="Wingdings" w:hint="default"/>
      </w:rPr>
    </w:lvl>
    <w:lvl w:ilvl="3" w:tplc="AE441CFE">
      <w:start w:val="1"/>
      <w:numFmt w:val="bullet"/>
      <w:lvlText w:val=""/>
      <w:lvlJc w:val="left"/>
      <w:pPr>
        <w:tabs>
          <w:tab w:val="num" w:pos="2880"/>
        </w:tabs>
        <w:ind w:left="2880" w:hanging="360"/>
      </w:pPr>
      <w:rPr>
        <w:rFonts w:ascii="Wingdings" w:hAnsi="Wingdings" w:hint="default"/>
      </w:rPr>
    </w:lvl>
    <w:lvl w:ilvl="4" w:tplc="C03A0F26">
      <w:start w:val="1"/>
      <w:numFmt w:val="bullet"/>
      <w:lvlText w:val=""/>
      <w:lvlJc w:val="left"/>
      <w:pPr>
        <w:tabs>
          <w:tab w:val="num" w:pos="3600"/>
        </w:tabs>
        <w:ind w:left="3600" w:hanging="360"/>
      </w:pPr>
      <w:rPr>
        <w:rFonts w:ascii="Wingdings" w:hAnsi="Wingdings" w:hint="default"/>
      </w:rPr>
    </w:lvl>
    <w:lvl w:ilvl="5" w:tplc="7FC4FC58">
      <w:start w:val="1"/>
      <w:numFmt w:val="bullet"/>
      <w:lvlText w:val=""/>
      <w:lvlJc w:val="left"/>
      <w:pPr>
        <w:tabs>
          <w:tab w:val="num" w:pos="4320"/>
        </w:tabs>
        <w:ind w:left="4320" w:hanging="360"/>
      </w:pPr>
      <w:rPr>
        <w:rFonts w:ascii="Wingdings" w:hAnsi="Wingdings" w:hint="default"/>
      </w:rPr>
    </w:lvl>
    <w:lvl w:ilvl="6" w:tplc="5896E13E">
      <w:start w:val="1"/>
      <w:numFmt w:val="bullet"/>
      <w:lvlText w:val=""/>
      <w:lvlJc w:val="left"/>
      <w:pPr>
        <w:tabs>
          <w:tab w:val="num" w:pos="5040"/>
        </w:tabs>
        <w:ind w:left="5040" w:hanging="360"/>
      </w:pPr>
      <w:rPr>
        <w:rFonts w:ascii="Wingdings" w:hAnsi="Wingdings" w:hint="default"/>
      </w:rPr>
    </w:lvl>
    <w:lvl w:ilvl="7" w:tplc="9056CDD8">
      <w:start w:val="1"/>
      <w:numFmt w:val="bullet"/>
      <w:lvlText w:val=""/>
      <w:lvlJc w:val="left"/>
      <w:pPr>
        <w:tabs>
          <w:tab w:val="num" w:pos="5760"/>
        </w:tabs>
        <w:ind w:left="5760" w:hanging="360"/>
      </w:pPr>
      <w:rPr>
        <w:rFonts w:ascii="Wingdings" w:hAnsi="Wingdings" w:hint="default"/>
      </w:rPr>
    </w:lvl>
    <w:lvl w:ilvl="8" w:tplc="896ECD32">
      <w:start w:val="1"/>
      <w:numFmt w:val="bullet"/>
      <w:lvlText w:val=""/>
      <w:lvlJc w:val="left"/>
      <w:pPr>
        <w:tabs>
          <w:tab w:val="num" w:pos="6480"/>
        </w:tabs>
        <w:ind w:left="6480" w:hanging="360"/>
      </w:pPr>
      <w:rPr>
        <w:rFonts w:ascii="Wingdings" w:hAnsi="Wingdings" w:hint="default"/>
      </w:rPr>
    </w:lvl>
  </w:abstractNum>
  <w:abstractNum w:abstractNumId="1">
    <w:nsid w:val="453252C0"/>
    <w:multiLevelType w:val="hybridMultilevel"/>
    <w:tmpl w:val="CCC42696"/>
    <w:lvl w:ilvl="0" w:tplc="913A0B3C">
      <w:start w:val="1"/>
      <w:numFmt w:val="bullet"/>
      <w:lvlText w:val=""/>
      <w:lvlJc w:val="left"/>
      <w:pPr>
        <w:tabs>
          <w:tab w:val="num" w:pos="720"/>
        </w:tabs>
        <w:ind w:left="720" w:hanging="360"/>
      </w:pPr>
      <w:rPr>
        <w:rFonts w:ascii="Wingdings" w:hAnsi="Wingdings" w:hint="default"/>
      </w:rPr>
    </w:lvl>
    <w:lvl w:ilvl="1" w:tplc="378C7F8C">
      <w:start w:val="1"/>
      <w:numFmt w:val="bullet"/>
      <w:lvlText w:val=""/>
      <w:lvlJc w:val="left"/>
      <w:pPr>
        <w:tabs>
          <w:tab w:val="num" w:pos="1440"/>
        </w:tabs>
        <w:ind w:left="1440" w:hanging="360"/>
      </w:pPr>
      <w:rPr>
        <w:rFonts w:ascii="Wingdings" w:hAnsi="Wingdings" w:hint="default"/>
      </w:rPr>
    </w:lvl>
    <w:lvl w:ilvl="2" w:tplc="AB70551C">
      <w:start w:val="1"/>
      <w:numFmt w:val="bullet"/>
      <w:lvlText w:val=""/>
      <w:lvlJc w:val="left"/>
      <w:pPr>
        <w:tabs>
          <w:tab w:val="num" w:pos="2160"/>
        </w:tabs>
        <w:ind w:left="2160" w:hanging="360"/>
      </w:pPr>
      <w:rPr>
        <w:rFonts w:ascii="Wingdings" w:hAnsi="Wingdings" w:hint="default"/>
      </w:rPr>
    </w:lvl>
    <w:lvl w:ilvl="3" w:tplc="7174003C">
      <w:start w:val="1"/>
      <w:numFmt w:val="bullet"/>
      <w:lvlText w:val=""/>
      <w:lvlJc w:val="left"/>
      <w:pPr>
        <w:tabs>
          <w:tab w:val="num" w:pos="2880"/>
        </w:tabs>
        <w:ind w:left="2880" w:hanging="360"/>
      </w:pPr>
      <w:rPr>
        <w:rFonts w:ascii="Wingdings" w:hAnsi="Wingdings" w:hint="default"/>
      </w:rPr>
    </w:lvl>
    <w:lvl w:ilvl="4" w:tplc="65888818">
      <w:start w:val="1"/>
      <w:numFmt w:val="bullet"/>
      <w:lvlText w:val=""/>
      <w:lvlJc w:val="left"/>
      <w:pPr>
        <w:tabs>
          <w:tab w:val="num" w:pos="3600"/>
        </w:tabs>
        <w:ind w:left="3600" w:hanging="360"/>
      </w:pPr>
      <w:rPr>
        <w:rFonts w:ascii="Wingdings" w:hAnsi="Wingdings" w:hint="default"/>
      </w:rPr>
    </w:lvl>
    <w:lvl w:ilvl="5" w:tplc="61B8324C">
      <w:start w:val="1"/>
      <w:numFmt w:val="bullet"/>
      <w:lvlText w:val=""/>
      <w:lvlJc w:val="left"/>
      <w:pPr>
        <w:tabs>
          <w:tab w:val="num" w:pos="4320"/>
        </w:tabs>
        <w:ind w:left="4320" w:hanging="360"/>
      </w:pPr>
      <w:rPr>
        <w:rFonts w:ascii="Wingdings" w:hAnsi="Wingdings" w:hint="default"/>
      </w:rPr>
    </w:lvl>
    <w:lvl w:ilvl="6" w:tplc="EDE2AEC0">
      <w:start w:val="1"/>
      <w:numFmt w:val="bullet"/>
      <w:lvlText w:val=""/>
      <w:lvlJc w:val="left"/>
      <w:pPr>
        <w:tabs>
          <w:tab w:val="num" w:pos="5040"/>
        </w:tabs>
        <w:ind w:left="5040" w:hanging="360"/>
      </w:pPr>
      <w:rPr>
        <w:rFonts w:ascii="Wingdings" w:hAnsi="Wingdings" w:hint="default"/>
      </w:rPr>
    </w:lvl>
    <w:lvl w:ilvl="7" w:tplc="76F632FE">
      <w:start w:val="1"/>
      <w:numFmt w:val="bullet"/>
      <w:lvlText w:val=""/>
      <w:lvlJc w:val="left"/>
      <w:pPr>
        <w:tabs>
          <w:tab w:val="num" w:pos="5760"/>
        </w:tabs>
        <w:ind w:left="5760" w:hanging="360"/>
      </w:pPr>
      <w:rPr>
        <w:rFonts w:ascii="Wingdings" w:hAnsi="Wingdings" w:hint="default"/>
      </w:rPr>
    </w:lvl>
    <w:lvl w:ilvl="8" w:tplc="A8B474B4">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85A"/>
    <w:rsid w:val="0002703A"/>
    <w:rsid w:val="00032B93"/>
    <w:rsid w:val="00036CE7"/>
    <w:rsid w:val="000402A4"/>
    <w:rsid w:val="000418C0"/>
    <w:rsid w:val="000D2BFC"/>
    <w:rsid w:val="00107224"/>
    <w:rsid w:val="0014458B"/>
    <w:rsid w:val="00153D16"/>
    <w:rsid w:val="002625AE"/>
    <w:rsid w:val="002943E3"/>
    <w:rsid w:val="002A085A"/>
    <w:rsid w:val="002D455C"/>
    <w:rsid w:val="002F2D2C"/>
    <w:rsid w:val="00417D46"/>
    <w:rsid w:val="00430932"/>
    <w:rsid w:val="0048137C"/>
    <w:rsid w:val="0048586C"/>
    <w:rsid w:val="005016ED"/>
    <w:rsid w:val="005433CA"/>
    <w:rsid w:val="005611DB"/>
    <w:rsid w:val="00571B3B"/>
    <w:rsid w:val="00611BB2"/>
    <w:rsid w:val="00653EDD"/>
    <w:rsid w:val="006F4AA6"/>
    <w:rsid w:val="00785463"/>
    <w:rsid w:val="007D495F"/>
    <w:rsid w:val="00827AE5"/>
    <w:rsid w:val="008C2422"/>
    <w:rsid w:val="00911032"/>
    <w:rsid w:val="009714B8"/>
    <w:rsid w:val="009F3CCA"/>
    <w:rsid w:val="00A00917"/>
    <w:rsid w:val="00A2578D"/>
    <w:rsid w:val="00A650D1"/>
    <w:rsid w:val="00A85C24"/>
    <w:rsid w:val="00AD522B"/>
    <w:rsid w:val="00B91809"/>
    <w:rsid w:val="00B94524"/>
    <w:rsid w:val="00C60A55"/>
    <w:rsid w:val="00C755D4"/>
    <w:rsid w:val="00CF7626"/>
    <w:rsid w:val="00D42D30"/>
    <w:rsid w:val="00D74D08"/>
    <w:rsid w:val="00DA570A"/>
    <w:rsid w:val="00DC71D0"/>
    <w:rsid w:val="00DE1B43"/>
    <w:rsid w:val="00E20C90"/>
    <w:rsid w:val="00E6269A"/>
    <w:rsid w:val="00EC36D7"/>
    <w:rsid w:val="00F17D2E"/>
    <w:rsid w:val="00F303BD"/>
    <w:rsid w:val="00F8400E"/>
    <w:rsid w:val="00FA0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8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085A"/>
    <w:rPr>
      <w:color w:val="0000FF" w:themeColor="hyperlink"/>
      <w:u w:val="single"/>
    </w:rPr>
  </w:style>
  <w:style w:type="table" w:styleId="TableGrid">
    <w:name w:val="Table Grid"/>
    <w:basedOn w:val="TableNormal"/>
    <w:uiPriority w:val="59"/>
    <w:rsid w:val="009714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458B"/>
    <w:rPr>
      <w:rFonts w:ascii="Tahoma" w:hAnsi="Tahoma" w:cs="Tahoma"/>
      <w:sz w:val="16"/>
      <w:szCs w:val="16"/>
    </w:rPr>
  </w:style>
  <w:style w:type="character" w:customStyle="1" w:styleId="BalloonTextChar">
    <w:name w:val="Balloon Text Char"/>
    <w:basedOn w:val="DefaultParagraphFont"/>
    <w:link w:val="BalloonText"/>
    <w:uiPriority w:val="99"/>
    <w:semiHidden/>
    <w:rsid w:val="0014458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8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085A"/>
    <w:rPr>
      <w:color w:val="0000FF" w:themeColor="hyperlink"/>
      <w:u w:val="single"/>
    </w:rPr>
  </w:style>
  <w:style w:type="table" w:styleId="TableGrid">
    <w:name w:val="Table Grid"/>
    <w:basedOn w:val="TableNormal"/>
    <w:uiPriority w:val="59"/>
    <w:rsid w:val="009714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458B"/>
    <w:rPr>
      <w:rFonts w:ascii="Tahoma" w:hAnsi="Tahoma" w:cs="Tahoma"/>
      <w:sz w:val="16"/>
      <w:szCs w:val="16"/>
    </w:rPr>
  </w:style>
  <w:style w:type="character" w:customStyle="1" w:styleId="BalloonTextChar">
    <w:name w:val="Balloon Text Char"/>
    <w:basedOn w:val="DefaultParagraphFont"/>
    <w:link w:val="BalloonText"/>
    <w:uiPriority w:val="99"/>
    <w:semiHidden/>
    <w:rsid w:val="0014458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21278">
      <w:bodyDiv w:val="1"/>
      <w:marLeft w:val="0"/>
      <w:marRight w:val="0"/>
      <w:marTop w:val="0"/>
      <w:marBottom w:val="0"/>
      <w:divBdr>
        <w:top w:val="none" w:sz="0" w:space="0" w:color="auto"/>
        <w:left w:val="none" w:sz="0" w:space="0" w:color="auto"/>
        <w:bottom w:val="none" w:sz="0" w:space="0" w:color="auto"/>
        <w:right w:val="none" w:sz="0" w:space="0" w:color="auto"/>
      </w:divBdr>
    </w:div>
    <w:div w:id="1122459396">
      <w:bodyDiv w:val="1"/>
      <w:marLeft w:val="0"/>
      <w:marRight w:val="0"/>
      <w:marTop w:val="0"/>
      <w:marBottom w:val="0"/>
      <w:divBdr>
        <w:top w:val="none" w:sz="0" w:space="0" w:color="auto"/>
        <w:left w:val="none" w:sz="0" w:space="0" w:color="auto"/>
        <w:bottom w:val="none" w:sz="0" w:space="0" w:color="auto"/>
        <w:right w:val="none" w:sz="0" w:space="0" w:color="auto"/>
      </w:divBdr>
    </w:div>
    <w:div w:id="152339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s.aged.tamu.edu/jsaer/pdf/Vol58/58-01-061.pdf" TargetMode="External"/><Relationship Id="rId3" Type="http://schemas.microsoft.com/office/2007/relationships/stylesWithEffects" Target="stylesWithEffects.xml"/><Relationship Id="rId7" Type="http://schemas.openxmlformats.org/officeDocument/2006/relationships/hyperlink" Target="mailto:brr100@p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k259@psu.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1439</Words>
  <Characters>8204</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Penn State University</Company>
  <LinksUpToDate>false</LinksUpToDate>
  <CharactersWithSpaces>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 Radhakrishna</dc:creator>
  <cp:lastModifiedBy>Rama Radhakrishna</cp:lastModifiedBy>
  <cp:revision>2</cp:revision>
  <cp:lastPrinted>2014-02-28T21:28:00Z</cp:lastPrinted>
  <dcterms:created xsi:type="dcterms:W3CDTF">2014-03-01T00:03:00Z</dcterms:created>
  <dcterms:modified xsi:type="dcterms:W3CDTF">2014-03-01T00:03:00Z</dcterms:modified>
</cp:coreProperties>
</file>