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5D9" w:rsidRDefault="007355D9" w:rsidP="007355D9">
      <w:pPr>
        <w:spacing w:after="0"/>
        <w:jc w:val="right"/>
        <w:rPr>
          <w:rFonts w:ascii="Times New Roman" w:hAnsi="Times New Roman" w:cs="Times New Roman"/>
          <w:b/>
          <w:color w:val="000000"/>
          <w:sz w:val="24"/>
          <w:szCs w:val="24"/>
        </w:rPr>
      </w:pPr>
      <w:r>
        <w:rPr>
          <w:rFonts w:ascii="Times New Roman" w:hAnsi="Times New Roman" w:cs="Times New Roman"/>
          <w:b/>
          <w:color w:val="000000"/>
          <w:sz w:val="24"/>
          <w:szCs w:val="24"/>
        </w:rPr>
        <w:t>Research</w:t>
      </w:r>
    </w:p>
    <w:p w:rsidR="00AD4177" w:rsidRDefault="00AD4177" w:rsidP="007355D9">
      <w:pPr>
        <w:spacing w:after="0"/>
        <w:jc w:val="center"/>
        <w:rPr>
          <w:rFonts w:ascii="Times New Roman" w:hAnsi="Times New Roman" w:cs="Times New Roman"/>
          <w:b/>
          <w:color w:val="000000"/>
          <w:sz w:val="24"/>
          <w:szCs w:val="24"/>
        </w:rPr>
      </w:pPr>
    </w:p>
    <w:p w:rsidR="007355D9" w:rsidRDefault="001F480A" w:rsidP="007355D9">
      <w:pPr>
        <w:spacing w:after="0"/>
        <w:jc w:val="center"/>
        <w:rPr>
          <w:rFonts w:ascii="Times New Roman" w:hAnsi="Times New Roman" w:cs="Times New Roman"/>
          <w:b/>
          <w:color w:val="000000"/>
          <w:sz w:val="24"/>
          <w:szCs w:val="24"/>
        </w:rPr>
      </w:pPr>
      <w:bookmarkStart w:id="0" w:name="_GoBack"/>
      <w:r>
        <w:rPr>
          <w:rFonts w:ascii="Times New Roman" w:hAnsi="Times New Roman" w:cs="Times New Roman"/>
          <w:b/>
          <w:color w:val="000000"/>
          <w:sz w:val="24"/>
          <w:szCs w:val="24"/>
        </w:rPr>
        <w:t>Is Leadership the Missing Link?</w:t>
      </w:r>
      <w:r w:rsidR="00AD4177">
        <w:rPr>
          <w:rFonts w:ascii="Times New Roman" w:hAnsi="Times New Roman" w:cs="Times New Roman"/>
          <w:b/>
          <w:color w:val="000000"/>
          <w:sz w:val="24"/>
          <w:szCs w:val="24"/>
        </w:rPr>
        <w:t xml:space="preserve"> Exploring </w:t>
      </w:r>
      <w:r w:rsidR="00AF343A">
        <w:rPr>
          <w:rFonts w:ascii="Times New Roman" w:hAnsi="Times New Roman" w:cs="Times New Roman"/>
          <w:b/>
          <w:color w:val="000000"/>
          <w:sz w:val="24"/>
          <w:szCs w:val="24"/>
        </w:rPr>
        <w:t>Agriculture</w:t>
      </w:r>
      <w:r w:rsidR="00AD4177">
        <w:rPr>
          <w:rFonts w:ascii="Times New Roman" w:hAnsi="Times New Roman" w:cs="Times New Roman"/>
          <w:b/>
          <w:color w:val="000000"/>
          <w:sz w:val="24"/>
          <w:szCs w:val="24"/>
        </w:rPr>
        <w:t xml:space="preserve"> Teachers’ Self-Efficacy in Leadership </w:t>
      </w:r>
    </w:p>
    <w:bookmarkEnd w:id="0"/>
    <w:p w:rsidR="007355D9" w:rsidRPr="007355D9" w:rsidRDefault="007355D9" w:rsidP="00AD4177">
      <w:pPr>
        <w:spacing w:after="0" w:line="240" w:lineRule="auto"/>
        <w:jc w:val="center"/>
        <w:rPr>
          <w:rFonts w:ascii="Times New Roman" w:hAnsi="Times New Roman" w:cs="Times New Roman"/>
          <w:b/>
          <w:sz w:val="24"/>
          <w:szCs w:val="24"/>
        </w:rPr>
      </w:pPr>
    </w:p>
    <w:p w:rsidR="00AD4177" w:rsidRPr="007355D9" w:rsidRDefault="00AD4177" w:rsidP="00AD41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Aaron</w:t>
      </w:r>
      <w:r w:rsidRPr="007355D9">
        <w:rPr>
          <w:rFonts w:ascii="Times New Roman" w:hAnsi="Times New Roman" w:cs="Times New Roman"/>
          <w:sz w:val="24"/>
          <w:szCs w:val="24"/>
        </w:rPr>
        <w:t xml:space="preserve"> J. </w:t>
      </w:r>
      <w:r>
        <w:rPr>
          <w:rFonts w:ascii="Times New Roman" w:hAnsi="Times New Roman" w:cs="Times New Roman"/>
          <w:sz w:val="24"/>
          <w:szCs w:val="24"/>
        </w:rPr>
        <w:t>McKim</w:t>
      </w:r>
    </w:p>
    <w:p w:rsidR="00AD4177" w:rsidRPr="007355D9" w:rsidRDefault="00AD4177"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Oregon State University</w:t>
      </w:r>
    </w:p>
    <w:p w:rsidR="00AD4177" w:rsidRPr="007355D9" w:rsidRDefault="00AD4177"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112 Strand Ag Hall</w:t>
      </w:r>
    </w:p>
    <w:p w:rsidR="00AD4177" w:rsidRPr="007355D9" w:rsidRDefault="00AD4177"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Corvallis, OR 97331</w:t>
      </w:r>
    </w:p>
    <w:p w:rsidR="00AD4177" w:rsidRPr="007355D9" w:rsidRDefault="00AD4177" w:rsidP="00AD41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aaron.mckim</w:t>
      </w:r>
      <w:r w:rsidRPr="007355D9">
        <w:rPr>
          <w:rFonts w:ascii="Times New Roman" w:hAnsi="Times New Roman" w:cs="Times New Roman"/>
          <w:sz w:val="24"/>
          <w:szCs w:val="24"/>
        </w:rPr>
        <w:t>@oregonstate.edu</w:t>
      </w:r>
    </w:p>
    <w:p w:rsidR="00AD4177" w:rsidRDefault="00AD4177"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(541) 737-2661</w:t>
      </w:r>
    </w:p>
    <w:p w:rsidR="00AD4177" w:rsidRDefault="00AD4177" w:rsidP="00AD4177">
      <w:pPr>
        <w:spacing w:after="0" w:line="240" w:lineRule="auto"/>
        <w:jc w:val="center"/>
        <w:rPr>
          <w:rFonts w:ascii="Times New Roman" w:hAnsi="Times New Roman" w:cs="Times New Roman"/>
          <w:sz w:val="24"/>
          <w:szCs w:val="24"/>
        </w:rPr>
      </w:pPr>
    </w:p>
    <w:p w:rsidR="007355D9" w:rsidRPr="007355D9" w:rsidRDefault="00AD4177" w:rsidP="00AD41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Jonathan J. Velez</w:t>
      </w:r>
    </w:p>
    <w:p w:rsidR="007355D9" w:rsidRPr="007355D9" w:rsidRDefault="007355D9"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Oregon State University</w:t>
      </w:r>
    </w:p>
    <w:p w:rsidR="007355D9" w:rsidRPr="007355D9" w:rsidRDefault="007355D9"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112 Strand Ag Hall</w:t>
      </w:r>
    </w:p>
    <w:p w:rsidR="007355D9" w:rsidRPr="007355D9" w:rsidRDefault="007355D9"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Corvallis, OR 97331</w:t>
      </w:r>
    </w:p>
    <w:p w:rsidR="007355D9" w:rsidRPr="007355D9" w:rsidRDefault="00AD4177" w:rsidP="00AD41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jonathan.velez</w:t>
      </w:r>
      <w:r w:rsidR="007355D9" w:rsidRPr="007355D9">
        <w:rPr>
          <w:rFonts w:ascii="Times New Roman" w:hAnsi="Times New Roman" w:cs="Times New Roman"/>
          <w:sz w:val="24"/>
          <w:szCs w:val="24"/>
        </w:rPr>
        <w:t>@oregonstate.edu</w:t>
      </w:r>
    </w:p>
    <w:p w:rsidR="007355D9" w:rsidRDefault="007355D9" w:rsidP="00AD4177">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(541) 737-2661</w:t>
      </w:r>
    </w:p>
    <w:p w:rsidR="00D14AD1" w:rsidRDefault="00D14AD1" w:rsidP="00AD4177">
      <w:pPr>
        <w:spacing w:after="0" w:line="240" w:lineRule="auto"/>
        <w:jc w:val="center"/>
        <w:rPr>
          <w:rFonts w:ascii="Times New Roman" w:hAnsi="Times New Roman" w:cs="Times New Roman"/>
          <w:sz w:val="24"/>
          <w:szCs w:val="24"/>
        </w:rPr>
      </w:pPr>
    </w:p>
    <w:p w:rsidR="00D14AD1" w:rsidRPr="007355D9" w:rsidRDefault="00D14AD1" w:rsidP="00D14AD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Tyson J. Sorensen</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Oregon State University</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112 Strand Ag Hall</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Corvallis, OR 97331</w:t>
      </w:r>
    </w:p>
    <w:p w:rsidR="00D14AD1" w:rsidRPr="007355D9" w:rsidRDefault="00D14AD1" w:rsidP="00D14AD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tyson.sorensen</w:t>
      </w:r>
      <w:r w:rsidRPr="007355D9">
        <w:rPr>
          <w:rFonts w:ascii="Times New Roman" w:hAnsi="Times New Roman" w:cs="Times New Roman"/>
          <w:sz w:val="24"/>
          <w:szCs w:val="24"/>
        </w:rPr>
        <w:t>@oregonstate.edu</w:t>
      </w:r>
    </w:p>
    <w:p w:rsidR="00D14AD1"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(541) 737-2661</w:t>
      </w:r>
    </w:p>
    <w:p w:rsidR="00D14AD1" w:rsidRDefault="00D14AD1" w:rsidP="00AD4177">
      <w:pPr>
        <w:spacing w:after="0" w:line="240" w:lineRule="auto"/>
        <w:jc w:val="center"/>
        <w:rPr>
          <w:rFonts w:ascii="Times New Roman" w:hAnsi="Times New Roman" w:cs="Times New Roman"/>
          <w:sz w:val="24"/>
          <w:szCs w:val="24"/>
        </w:rPr>
      </w:pPr>
    </w:p>
    <w:p w:rsidR="00D14AD1" w:rsidRPr="007355D9" w:rsidRDefault="00D14AD1" w:rsidP="00D14AD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Josh Stewart</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Oregon State University</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112 Strand Ag Hall</w:t>
      </w:r>
    </w:p>
    <w:p w:rsidR="00D14AD1" w:rsidRPr="007355D9"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Corvallis, OR 97331</w:t>
      </w:r>
    </w:p>
    <w:p w:rsidR="00D14AD1" w:rsidRPr="007355D9" w:rsidRDefault="00D14AD1" w:rsidP="00D14AD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josh.stewart</w:t>
      </w:r>
      <w:r w:rsidRPr="007355D9">
        <w:rPr>
          <w:rFonts w:ascii="Times New Roman" w:hAnsi="Times New Roman" w:cs="Times New Roman"/>
          <w:sz w:val="24"/>
          <w:szCs w:val="24"/>
        </w:rPr>
        <w:t>@oregonstate.edu</w:t>
      </w:r>
    </w:p>
    <w:p w:rsidR="00D14AD1" w:rsidRDefault="00D14AD1" w:rsidP="00D14AD1">
      <w:pPr>
        <w:spacing w:after="0" w:line="240" w:lineRule="auto"/>
        <w:jc w:val="center"/>
        <w:rPr>
          <w:rFonts w:ascii="Times New Roman" w:hAnsi="Times New Roman" w:cs="Times New Roman"/>
          <w:sz w:val="24"/>
          <w:szCs w:val="24"/>
        </w:rPr>
      </w:pPr>
      <w:r w:rsidRPr="007355D9">
        <w:rPr>
          <w:rFonts w:ascii="Times New Roman" w:hAnsi="Times New Roman" w:cs="Times New Roman"/>
          <w:sz w:val="24"/>
          <w:szCs w:val="24"/>
        </w:rPr>
        <w:t>(541) 737-2661</w:t>
      </w:r>
    </w:p>
    <w:p w:rsidR="000526E0" w:rsidRDefault="000526E0" w:rsidP="007355D9">
      <w:pPr>
        <w:spacing w:after="0"/>
        <w:jc w:val="center"/>
        <w:rPr>
          <w:rFonts w:ascii="Times New Roman" w:hAnsi="Times New Roman" w:cs="Times New Roman"/>
          <w:sz w:val="24"/>
          <w:szCs w:val="24"/>
        </w:rPr>
      </w:pPr>
    </w:p>
    <w:p w:rsidR="000526E0" w:rsidRPr="007355D9" w:rsidRDefault="000526E0" w:rsidP="007355D9">
      <w:pPr>
        <w:spacing w:after="0"/>
        <w:jc w:val="center"/>
        <w:rPr>
          <w:rFonts w:ascii="Times New Roman" w:hAnsi="Times New Roman" w:cs="Times New Roman"/>
          <w:sz w:val="24"/>
          <w:szCs w:val="24"/>
        </w:rPr>
      </w:pPr>
    </w:p>
    <w:p w:rsidR="007355D9" w:rsidRPr="007355D9" w:rsidRDefault="007355D9" w:rsidP="007355D9">
      <w:pPr>
        <w:spacing w:after="0"/>
        <w:jc w:val="center"/>
        <w:rPr>
          <w:rFonts w:ascii="Times New Roman" w:hAnsi="Times New Roman" w:cs="Times New Roman"/>
          <w:sz w:val="24"/>
          <w:szCs w:val="24"/>
        </w:rPr>
      </w:pPr>
    </w:p>
    <w:p w:rsidR="007355D9" w:rsidRDefault="007355D9">
      <w:r>
        <w:br w:type="page"/>
      </w:r>
    </w:p>
    <w:p w:rsidR="00AF343A" w:rsidRDefault="001F480A" w:rsidP="008D5FC7">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Is Leadership the Missing Link? </w:t>
      </w:r>
      <w:r w:rsidR="00AF343A">
        <w:rPr>
          <w:rFonts w:ascii="Times New Roman" w:hAnsi="Times New Roman" w:cs="Times New Roman"/>
          <w:b/>
          <w:color w:val="000000"/>
          <w:sz w:val="24"/>
          <w:szCs w:val="24"/>
        </w:rPr>
        <w:t xml:space="preserve">Exploring Agriculture Teachers’ Self-Efficacy in Leadership </w:t>
      </w:r>
    </w:p>
    <w:p w:rsidR="00AF343A" w:rsidRDefault="00AF343A" w:rsidP="008D5FC7">
      <w:pPr>
        <w:spacing w:after="0" w:line="240" w:lineRule="auto"/>
        <w:jc w:val="center"/>
        <w:rPr>
          <w:rFonts w:ascii="Times New Roman" w:hAnsi="Times New Roman" w:cs="Times New Roman"/>
          <w:b/>
          <w:sz w:val="24"/>
          <w:szCs w:val="24"/>
        </w:rPr>
      </w:pPr>
    </w:p>
    <w:p w:rsidR="007355D9" w:rsidRDefault="00EE6AE8" w:rsidP="008D5F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rsidR="006E73CD" w:rsidRDefault="006E73CD" w:rsidP="008D5FC7">
      <w:pPr>
        <w:spacing w:after="0" w:line="240" w:lineRule="auto"/>
        <w:jc w:val="center"/>
        <w:rPr>
          <w:rFonts w:ascii="Times New Roman" w:hAnsi="Times New Roman" w:cs="Times New Roman"/>
          <w:b/>
          <w:sz w:val="24"/>
          <w:szCs w:val="24"/>
        </w:rPr>
      </w:pPr>
    </w:p>
    <w:p w:rsidR="0022230F" w:rsidRDefault="00AF343A"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94038">
        <w:rPr>
          <w:rFonts w:ascii="Times New Roman" w:hAnsi="Times New Roman" w:cs="Times New Roman"/>
          <w:sz w:val="24"/>
          <w:szCs w:val="24"/>
        </w:rPr>
        <w:t>When an individual assumes the role of a teacher, they also assume the role of a leader</w:t>
      </w:r>
      <w:r w:rsidR="00A60D89" w:rsidRPr="00A60D89">
        <w:rPr>
          <w:rFonts w:ascii="Times New Roman" w:hAnsi="Times New Roman" w:cs="Times New Roman"/>
          <w:sz w:val="24"/>
          <w:szCs w:val="24"/>
        </w:rPr>
        <w:t xml:space="preserve"> (Bowen, 2004; </w:t>
      </w:r>
      <w:r w:rsidR="00594038">
        <w:rPr>
          <w:rFonts w:ascii="Times New Roman" w:hAnsi="Times New Roman" w:cs="Times New Roman"/>
          <w:sz w:val="24"/>
          <w:szCs w:val="24"/>
        </w:rPr>
        <w:t xml:space="preserve">Gunter, McGregor, &amp; Gunter, 2001; </w:t>
      </w:r>
      <w:r w:rsidR="00A60D89" w:rsidRPr="00A60D89">
        <w:rPr>
          <w:rFonts w:ascii="Times New Roman" w:hAnsi="Times New Roman" w:cs="Times New Roman"/>
          <w:sz w:val="24"/>
          <w:szCs w:val="24"/>
        </w:rPr>
        <w:t xml:space="preserve">Lieberman &amp; Miller, 2005; </w:t>
      </w:r>
      <w:proofErr w:type="spellStart"/>
      <w:r w:rsidR="00A60D89" w:rsidRPr="00A60D89">
        <w:rPr>
          <w:rFonts w:ascii="Times New Roman" w:hAnsi="Times New Roman" w:cs="Times New Roman"/>
          <w:sz w:val="24"/>
          <w:szCs w:val="24"/>
        </w:rPr>
        <w:t>Urbanski</w:t>
      </w:r>
      <w:proofErr w:type="spellEnd"/>
      <w:r w:rsidR="00594038">
        <w:rPr>
          <w:rFonts w:ascii="Times New Roman" w:hAnsi="Times New Roman" w:cs="Times New Roman"/>
          <w:sz w:val="24"/>
          <w:szCs w:val="24"/>
        </w:rPr>
        <w:t xml:space="preserve"> &amp; </w:t>
      </w:r>
      <w:proofErr w:type="spellStart"/>
      <w:r w:rsidR="00594038">
        <w:rPr>
          <w:rFonts w:ascii="Times New Roman" w:eastAsia="Times New Roman" w:hAnsi="Times New Roman" w:cs="Times New Roman"/>
          <w:color w:val="000000"/>
          <w:sz w:val="24"/>
          <w:szCs w:val="24"/>
        </w:rPr>
        <w:t>Nickolaou</w:t>
      </w:r>
      <w:proofErr w:type="spellEnd"/>
      <w:r w:rsidR="00A60D89" w:rsidRPr="00A60D89">
        <w:rPr>
          <w:rFonts w:ascii="Times New Roman" w:hAnsi="Times New Roman" w:cs="Times New Roman"/>
          <w:sz w:val="24"/>
          <w:szCs w:val="24"/>
        </w:rPr>
        <w:t>, 1997</w:t>
      </w:r>
      <w:r w:rsidR="00A60D89">
        <w:rPr>
          <w:rFonts w:ascii="Times New Roman" w:hAnsi="Times New Roman" w:cs="Times New Roman"/>
          <w:sz w:val="24"/>
          <w:szCs w:val="24"/>
        </w:rPr>
        <w:t xml:space="preserve">). </w:t>
      </w:r>
      <w:r w:rsidR="00D14AD1">
        <w:rPr>
          <w:rFonts w:ascii="Times New Roman" w:hAnsi="Times New Roman" w:cs="Times New Roman"/>
          <w:sz w:val="24"/>
          <w:szCs w:val="24"/>
        </w:rPr>
        <w:t xml:space="preserve">In agricultural education, this </w:t>
      </w:r>
      <w:r w:rsidR="00D14AD1" w:rsidRPr="00D14AD1">
        <w:rPr>
          <w:rFonts w:ascii="Times New Roman" w:hAnsi="Times New Roman" w:cs="Times New Roman"/>
          <w:i/>
          <w:sz w:val="24"/>
          <w:szCs w:val="24"/>
        </w:rPr>
        <w:t>teacher as leader</w:t>
      </w:r>
      <w:r w:rsidR="00D14AD1">
        <w:rPr>
          <w:rFonts w:ascii="Times New Roman" w:hAnsi="Times New Roman" w:cs="Times New Roman"/>
          <w:sz w:val="24"/>
          <w:szCs w:val="24"/>
        </w:rPr>
        <w:t xml:space="preserve"> role is even more pronounced, as agricultural educators teach, model, and practice leadership skills (Morgan, Fuhrman, King, Flanders, &amp; Rudd, 2013). </w:t>
      </w:r>
      <w:r w:rsidR="0022230F">
        <w:rPr>
          <w:rFonts w:ascii="Times New Roman" w:hAnsi="Times New Roman" w:cs="Times New Roman"/>
          <w:sz w:val="24"/>
          <w:szCs w:val="24"/>
        </w:rPr>
        <w:t xml:space="preserve">However, a dearth of research exists exploring the relationship between agriculture teachers’ leadership </w:t>
      </w:r>
      <w:r w:rsidR="006448E0">
        <w:rPr>
          <w:rFonts w:ascii="Times New Roman" w:hAnsi="Times New Roman" w:cs="Times New Roman"/>
          <w:sz w:val="24"/>
          <w:szCs w:val="24"/>
        </w:rPr>
        <w:t xml:space="preserve">abilities </w:t>
      </w:r>
      <w:r w:rsidR="0022230F">
        <w:rPr>
          <w:rFonts w:ascii="Times New Roman" w:hAnsi="Times New Roman" w:cs="Times New Roman"/>
          <w:sz w:val="24"/>
          <w:szCs w:val="24"/>
        </w:rPr>
        <w:t xml:space="preserve">and </w:t>
      </w:r>
      <w:r w:rsidR="006448E0">
        <w:rPr>
          <w:rFonts w:ascii="Times New Roman" w:hAnsi="Times New Roman" w:cs="Times New Roman"/>
          <w:sz w:val="24"/>
          <w:szCs w:val="24"/>
        </w:rPr>
        <w:t>teaching abilities</w:t>
      </w:r>
      <w:r w:rsidR="0022230F">
        <w:rPr>
          <w:rFonts w:ascii="Times New Roman" w:hAnsi="Times New Roman" w:cs="Times New Roman"/>
          <w:sz w:val="24"/>
          <w:szCs w:val="24"/>
        </w:rPr>
        <w:t>. Although research in agricultural education has no</w:t>
      </w:r>
      <w:r w:rsidR="0099713D">
        <w:rPr>
          <w:rFonts w:ascii="Times New Roman" w:hAnsi="Times New Roman" w:cs="Times New Roman"/>
          <w:sz w:val="24"/>
          <w:szCs w:val="24"/>
        </w:rPr>
        <w:t>t</w:t>
      </w:r>
      <w:r w:rsidR="0022230F">
        <w:rPr>
          <w:rFonts w:ascii="Times New Roman" w:hAnsi="Times New Roman" w:cs="Times New Roman"/>
          <w:sz w:val="24"/>
          <w:szCs w:val="24"/>
        </w:rPr>
        <w:t xml:space="preserve"> explored this relationship, research conducted outside of agricultural education offers insight into the importance of leadership within schools. Ross and Gray (2006) found the level of leadership within a school was related to higher collective teacher efficacy, greater teacher commitment to school mission, school community, school-community partnership</w:t>
      </w:r>
      <w:r w:rsidR="00995107">
        <w:rPr>
          <w:rFonts w:ascii="Times New Roman" w:hAnsi="Times New Roman" w:cs="Times New Roman"/>
          <w:sz w:val="24"/>
          <w:szCs w:val="24"/>
        </w:rPr>
        <w:t>s</w:t>
      </w:r>
      <w:r w:rsidR="0022230F">
        <w:rPr>
          <w:rFonts w:ascii="Times New Roman" w:hAnsi="Times New Roman" w:cs="Times New Roman"/>
          <w:sz w:val="24"/>
          <w:szCs w:val="24"/>
        </w:rPr>
        <w:t xml:space="preserve">, and student achievement. </w:t>
      </w:r>
    </w:p>
    <w:p w:rsidR="006E73CD" w:rsidRDefault="006E73CD" w:rsidP="008D5FC7">
      <w:pPr>
        <w:spacing w:after="0" w:line="240" w:lineRule="auto"/>
        <w:rPr>
          <w:rFonts w:ascii="Times New Roman" w:hAnsi="Times New Roman" w:cs="Times New Roman"/>
          <w:sz w:val="24"/>
          <w:szCs w:val="24"/>
        </w:rPr>
      </w:pPr>
    </w:p>
    <w:p w:rsidR="00AF343A" w:rsidRDefault="0022230F"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purpose of this research was to </w:t>
      </w:r>
      <w:r w:rsidR="007C15C9">
        <w:rPr>
          <w:rFonts w:ascii="Times New Roman" w:hAnsi="Times New Roman" w:cs="Times New Roman"/>
          <w:sz w:val="24"/>
          <w:szCs w:val="24"/>
        </w:rPr>
        <w:t>explore the</w:t>
      </w:r>
      <w:r>
        <w:rPr>
          <w:rFonts w:ascii="Times New Roman" w:hAnsi="Times New Roman" w:cs="Times New Roman"/>
          <w:sz w:val="24"/>
          <w:szCs w:val="24"/>
        </w:rPr>
        <w:t xml:space="preserve"> </w:t>
      </w:r>
      <w:r w:rsidR="007C15C9">
        <w:rPr>
          <w:rFonts w:ascii="Times New Roman" w:hAnsi="Times New Roman" w:cs="Times New Roman"/>
          <w:sz w:val="24"/>
          <w:szCs w:val="24"/>
        </w:rPr>
        <w:t>relationship between</w:t>
      </w:r>
      <w:r w:rsidR="006E73CD">
        <w:rPr>
          <w:rFonts w:ascii="Times New Roman" w:hAnsi="Times New Roman" w:cs="Times New Roman"/>
          <w:sz w:val="24"/>
          <w:szCs w:val="24"/>
        </w:rPr>
        <w:t xml:space="preserve"> </w:t>
      </w:r>
      <w:r w:rsidR="007C15C9">
        <w:rPr>
          <w:rFonts w:ascii="Times New Roman" w:hAnsi="Times New Roman" w:cs="Times New Roman"/>
          <w:sz w:val="24"/>
          <w:szCs w:val="24"/>
        </w:rPr>
        <w:t>leadership and other teaching characteristics among early career agricultural educators</w:t>
      </w:r>
      <w:r>
        <w:rPr>
          <w:rFonts w:ascii="Times New Roman" w:hAnsi="Times New Roman" w:cs="Times New Roman"/>
          <w:sz w:val="24"/>
          <w:szCs w:val="24"/>
        </w:rPr>
        <w:t xml:space="preserve">. </w:t>
      </w:r>
      <w:r w:rsidR="006E73CD">
        <w:rPr>
          <w:rFonts w:ascii="Times New Roman" w:hAnsi="Times New Roman" w:cs="Times New Roman"/>
          <w:sz w:val="24"/>
          <w:szCs w:val="24"/>
        </w:rPr>
        <w:t>More specifically, the objective of this study was to examine the relationship between agriculture teachers’ self-efficacy in leadership and their self-efficacy in classroom management and instructional strategies. Exploring the</w:t>
      </w:r>
      <w:r w:rsidR="007C15C9">
        <w:rPr>
          <w:rFonts w:ascii="Times New Roman" w:hAnsi="Times New Roman" w:cs="Times New Roman"/>
          <w:sz w:val="24"/>
          <w:szCs w:val="24"/>
        </w:rPr>
        <w:t>s</w:t>
      </w:r>
      <w:r w:rsidR="006E73CD">
        <w:rPr>
          <w:rFonts w:ascii="Times New Roman" w:hAnsi="Times New Roman" w:cs="Times New Roman"/>
          <w:sz w:val="24"/>
          <w:szCs w:val="24"/>
        </w:rPr>
        <w:t>e</w:t>
      </w:r>
      <w:r w:rsidR="007C15C9">
        <w:rPr>
          <w:rFonts w:ascii="Times New Roman" w:hAnsi="Times New Roman" w:cs="Times New Roman"/>
          <w:sz w:val="24"/>
          <w:szCs w:val="24"/>
        </w:rPr>
        <w:t xml:space="preserve"> relationship</w:t>
      </w:r>
      <w:r w:rsidR="006E73CD">
        <w:rPr>
          <w:rFonts w:ascii="Times New Roman" w:hAnsi="Times New Roman" w:cs="Times New Roman"/>
          <w:sz w:val="24"/>
          <w:szCs w:val="24"/>
        </w:rPr>
        <w:t>s may</w:t>
      </w:r>
      <w:r w:rsidR="007C15C9">
        <w:rPr>
          <w:rFonts w:ascii="Times New Roman" w:hAnsi="Times New Roman" w:cs="Times New Roman"/>
          <w:sz w:val="24"/>
          <w:szCs w:val="24"/>
        </w:rPr>
        <w:t xml:space="preserve"> provide valuable information into teachers’ leadership characteristics and how the</w:t>
      </w:r>
      <w:r w:rsidR="006448E0">
        <w:rPr>
          <w:rFonts w:ascii="Times New Roman" w:hAnsi="Times New Roman" w:cs="Times New Roman"/>
          <w:sz w:val="24"/>
          <w:szCs w:val="24"/>
        </w:rPr>
        <w:t>se characteristics</w:t>
      </w:r>
      <w:r w:rsidR="007C15C9">
        <w:rPr>
          <w:rFonts w:ascii="Times New Roman" w:hAnsi="Times New Roman" w:cs="Times New Roman"/>
          <w:sz w:val="24"/>
          <w:szCs w:val="24"/>
        </w:rPr>
        <w:t xml:space="preserve"> relate to </w:t>
      </w:r>
      <w:r w:rsidR="006E73CD">
        <w:rPr>
          <w:rFonts w:ascii="Times New Roman" w:hAnsi="Times New Roman" w:cs="Times New Roman"/>
          <w:sz w:val="24"/>
          <w:szCs w:val="24"/>
        </w:rPr>
        <w:t>the construction of a</w:t>
      </w:r>
      <w:r w:rsidR="007C15C9">
        <w:rPr>
          <w:rFonts w:ascii="Times New Roman" w:hAnsi="Times New Roman" w:cs="Times New Roman"/>
          <w:sz w:val="24"/>
          <w:szCs w:val="24"/>
        </w:rPr>
        <w:t xml:space="preserve"> supportive learning environment for students (</w:t>
      </w:r>
      <w:proofErr w:type="spellStart"/>
      <w:r w:rsidR="007C15C9" w:rsidRPr="00711BD0">
        <w:rPr>
          <w:rFonts w:ascii="Times New Roman" w:hAnsi="Times New Roman" w:cs="Times New Roman"/>
          <w:sz w:val="24"/>
          <w:szCs w:val="24"/>
        </w:rPr>
        <w:t>Doerfert</w:t>
      </w:r>
      <w:proofErr w:type="spellEnd"/>
      <w:r w:rsidR="007C15C9" w:rsidRPr="00711BD0">
        <w:rPr>
          <w:rFonts w:ascii="Times New Roman" w:hAnsi="Times New Roman" w:cs="Times New Roman"/>
          <w:sz w:val="24"/>
          <w:szCs w:val="24"/>
        </w:rPr>
        <w:t>, 2011</w:t>
      </w:r>
      <w:r w:rsidR="007C15C9">
        <w:rPr>
          <w:rFonts w:ascii="Times New Roman" w:hAnsi="Times New Roman" w:cs="Times New Roman"/>
          <w:sz w:val="24"/>
          <w:szCs w:val="24"/>
        </w:rPr>
        <w:t xml:space="preserve">). </w:t>
      </w:r>
    </w:p>
    <w:p w:rsidR="0022230F" w:rsidRDefault="0022230F"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7355D9" w:rsidRDefault="00830328" w:rsidP="008D5F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Conceptual</w:t>
      </w:r>
      <w:r w:rsidR="00AF343A">
        <w:rPr>
          <w:rFonts w:ascii="Times New Roman" w:hAnsi="Times New Roman" w:cs="Times New Roman"/>
          <w:b/>
          <w:sz w:val="24"/>
          <w:szCs w:val="24"/>
        </w:rPr>
        <w:t xml:space="preserve"> Framework</w:t>
      </w:r>
    </w:p>
    <w:p w:rsidR="006E73CD" w:rsidRDefault="006E73CD" w:rsidP="008D5FC7">
      <w:pPr>
        <w:spacing w:after="0" w:line="240" w:lineRule="auto"/>
        <w:jc w:val="center"/>
        <w:rPr>
          <w:rFonts w:ascii="Times New Roman" w:hAnsi="Times New Roman" w:cs="Times New Roman"/>
          <w:b/>
          <w:sz w:val="24"/>
          <w:szCs w:val="24"/>
        </w:rPr>
      </w:pPr>
    </w:p>
    <w:p w:rsidR="00830328" w:rsidRPr="00830328" w:rsidRDefault="00830328" w:rsidP="00830328">
      <w:pPr>
        <w:spacing w:after="0" w:line="240" w:lineRule="auto"/>
        <w:rPr>
          <w:rFonts w:ascii="Times New Roman" w:hAnsi="Times New Roman" w:cs="Times New Roman"/>
          <w:sz w:val="24"/>
          <w:szCs w:val="24"/>
        </w:rPr>
      </w:pPr>
      <w:r>
        <w:rPr>
          <w:rFonts w:ascii="Times New Roman" w:hAnsi="Times New Roman" w:cs="Times New Roman"/>
          <w:sz w:val="24"/>
          <w:szCs w:val="24"/>
        </w:rPr>
        <w:tab/>
        <w:t>The conceptual f</w:t>
      </w:r>
      <w:r w:rsidR="006E73CD">
        <w:rPr>
          <w:rFonts w:ascii="Times New Roman" w:hAnsi="Times New Roman" w:cs="Times New Roman"/>
          <w:sz w:val="24"/>
          <w:szCs w:val="24"/>
        </w:rPr>
        <w:t>ramework used in this study paired</w:t>
      </w:r>
      <w:r>
        <w:rPr>
          <w:rFonts w:ascii="Times New Roman" w:hAnsi="Times New Roman" w:cs="Times New Roman"/>
          <w:sz w:val="24"/>
          <w:szCs w:val="24"/>
        </w:rPr>
        <w:t xml:space="preserve"> the theory of self-efficacy (Bandura, 1986) and the relationship between leadership skills and teaching agricultural education (Morgan et al., 2013). </w:t>
      </w:r>
      <w:r w:rsidR="005B347C">
        <w:rPr>
          <w:rFonts w:ascii="Times New Roman" w:hAnsi="Times New Roman" w:cs="Times New Roman"/>
          <w:sz w:val="24"/>
          <w:szCs w:val="24"/>
        </w:rPr>
        <w:t>The term self-efficacy refers to an individual’s confidence in their abilities to accomplish a given task. Furthermore, t</w:t>
      </w:r>
      <w:r>
        <w:rPr>
          <w:rFonts w:ascii="Times New Roman" w:hAnsi="Times New Roman" w:cs="Times New Roman"/>
          <w:sz w:val="24"/>
          <w:szCs w:val="24"/>
        </w:rPr>
        <w:t xml:space="preserve">he theory of self-efficacy identifies </w:t>
      </w:r>
      <w:r w:rsidR="005B347C">
        <w:rPr>
          <w:rFonts w:ascii="Times New Roman" w:hAnsi="Times New Roman" w:cs="Times New Roman"/>
          <w:sz w:val="24"/>
          <w:szCs w:val="24"/>
        </w:rPr>
        <w:t>increased levels of self-</w:t>
      </w:r>
      <w:proofErr w:type="gramStart"/>
      <w:r w:rsidR="005B347C">
        <w:rPr>
          <w:rFonts w:ascii="Times New Roman" w:hAnsi="Times New Roman" w:cs="Times New Roman"/>
          <w:sz w:val="24"/>
          <w:szCs w:val="24"/>
        </w:rPr>
        <w:t>efficacy</w:t>
      </w:r>
      <w:r>
        <w:rPr>
          <w:rFonts w:ascii="Times New Roman" w:hAnsi="Times New Roman" w:cs="Times New Roman"/>
          <w:sz w:val="24"/>
          <w:szCs w:val="24"/>
        </w:rPr>
        <w:t xml:space="preserve"> </w:t>
      </w:r>
      <w:r w:rsidR="005B347C">
        <w:rPr>
          <w:rFonts w:ascii="Times New Roman" w:hAnsi="Times New Roman" w:cs="Times New Roman"/>
          <w:sz w:val="24"/>
          <w:szCs w:val="24"/>
        </w:rPr>
        <w:t>are</w:t>
      </w:r>
      <w:proofErr w:type="gramEnd"/>
      <w:r w:rsidR="005B347C">
        <w:rPr>
          <w:rFonts w:ascii="Times New Roman" w:hAnsi="Times New Roman" w:cs="Times New Roman"/>
          <w:sz w:val="24"/>
          <w:szCs w:val="24"/>
        </w:rPr>
        <w:t xml:space="preserve"> related to success within a</w:t>
      </w:r>
      <w:r w:rsidR="006E73CD">
        <w:rPr>
          <w:rFonts w:ascii="Times New Roman" w:hAnsi="Times New Roman" w:cs="Times New Roman"/>
          <w:sz w:val="24"/>
          <w:szCs w:val="24"/>
        </w:rPr>
        <w:t xml:space="preserve"> given</w:t>
      </w:r>
      <w:r w:rsidR="005B347C">
        <w:rPr>
          <w:rFonts w:ascii="Times New Roman" w:hAnsi="Times New Roman" w:cs="Times New Roman"/>
          <w:sz w:val="24"/>
          <w:szCs w:val="24"/>
        </w:rPr>
        <w:t xml:space="preserve"> task</w:t>
      </w:r>
      <w:r>
        <w:rPr>
          <w:rFonts w:ascii="Times New Roman" w:hAnsi="Times New Roman" w:cs="Times New Roman"/>
          <w:sz w:val="24"/>
          <w:szCs w:val="24"/>
        </w:rPr>
        <w:t xml:space="preserve">. Pairing </w:t>
      </w:r>
      <w:r w:rsidR="006E73CD">
        <w:rPr>
          <w:rFonts w:ascii="Times New Roman" w:hAnsi="Times New Roman" w:cs="Times New Roman"/>
          <w:sz w:val="24"/>
          <w:szCs w:val="24"/>
        </w:rPr>
        <w:t>the concepts of self-efficacy</w:t>
      </w:r>
      <w:r>
        <w:rPr>
          <w:rFonts w:ascii="Times New Roman" w:hAnsi="Times New Roman" w:cs="Times New Roman"/>
          <w:sz w:val="24"/>
          <w:szCs w:val="24"/>
        </w:rPr>
        <w:t xml:space="preserve"> with the </w:t>
      </w:r>
      <w:r w:rsidR="006E73CD">
        <w:rPr>
          <w:rFonts w:ascii="Times New Roman" w:hAnsi="Times New Roman" w:cs="Times New Roman"/>
          <w:sz w:val="24"/>
          <w:szCs w:val="24"/>
        </w:rPr>
        <w:t>notion of agriculture teachers as leaders</w:t>
      </w:r>
      <w:r>
        <w:rPr>
          <w:rFonts w:ascii="Times New Roman" w:hAnsi="Times New Roman" w:cs="Times New Roman"/>
          <w:sz w:val="24"/>
          <w:szCs w:val="24"/>
        </w:rPr>
        <w:t xml:space="preserve"> (Morgan et al., 2013), </w:t>
      </w:r>
      <w:r w:rsidR="005B347C">
        <w:rPr>
          <w:rFonts w:ascii="Times New Roman" w:hAnsi="Times New Roman" w:cs="Times New Roman"/>
          <w:sz w:val="24"/>
          <w:szCs w:val="24"/>
        </w:rPr>
        <w:t xml:space="preserve">we posit that an agriculture teacher’s self-efficacy in leadership </w:t>
      </w:r>
      <w:r w:rsidR="006E73CD">
        <w:rPr>
          <w:rFonts w:ascii="Times New Roman" w:hAnsi="Times New Roman" w:cs="Times New Roman"/>
          <w:sz w:val="24"/>
          <w:szCs w:val="24"/>
        </w:rPr>
        <w:t>will</w:t>
      </w:r>
      <w:r w:rsidR="005B347C">
        <w:rPr>
          <w:rFonts w:ascii="Times New Roman" w:hAnsi="Times New Roman" w:cs="Times New Roman"/>
          <w:sz w:val="24"/>
          <w:szCs w:val="24"/>
        </w:rPr>
        <w:t xml:space="preserve"> be related to their ability to teach </w:t>
      </w:r>
      <w:r w:rsidR="006E73CD">
        <w:rPr>
          <w:rFonts w:ascii="Times New Roman" w:hAnsi="Times New Roman" w:cs="Times New Roman"/>
          <w:sz w:val="24"/>
          <w:szCs w:val="24"/>
        </w:rPr>
        <w:t xml:space="preserve">in </w:t>
      </w:r>
      <w:r w:rsidR="005B347C">
        <w:rPr>
          <w:rFonts w:ascii="Times New Roman" w:hAnsi="Times New Roman" w:cs="Times New Roman"/>
          <w:sz w:val="24"/>
          <w:szCs w:val="24"/>
        </w:rPr>
        <w:t>and manage an agricultural education classroom.</w:t>
      </w:r>
      <w:r>
        <w:rPr>
          <w:rFonts w:ascii="Times New Roman" w:hAnsi="Times New Roman" w:cs="Times New Roman"/>
          <w:sz w:val="24"/>
          <w:szCs w:val="24"/>
        </w:rPr>
        <w:t xml:space="preserve"> </w:t>
      </w:r>
    </w:p>
    <w:p w:rsidR="00A60D89" w:rsidRPr="008D5FC7" w:rsidRDefault="00A60D89" w:rsidP="008D5FC7">
      <w:pPr>
        <w:spacing w:after="0" w:line="240" w:lineRule="auto"/>
        <w:rPr>
          <w:rFonts w:ascii="Times New Roman" w:hAnsi="Times New Roman" w:cs="Times New Roman"/>
          <w:sz w:val="24"/>
          <w:szCs w:val="24"/>
        </w:rPr>
      </w:pPr>
    </w:p>
    <w:p w:rsidR="007355D9" w:rsidRDefault="007355D9" w:rsidP="008D5FC7">
      <w:pPr>
        <w:spacing w:after="0" w:line="240" w:lineRule="auto"/>
        <w:jc w:val="center"/>
        <w:rPr>
          <w:rFonts w:ascii="Times New Roman" w:hAnsi="Times New Roman" w:cs="Times New Roman"/>
          <w:b/>
          <w:sz w:val="24"/>
          <w:szCs w:val="24"/>
        </w:rPr>
      </w:pPr>
      <w:r w:rsidRPr="00931045">
        <w:rPr>
          <w:rFonts w:ascii="Times New Roman" w:hAnsi="Times New Roman" w:cs="Times New Roman"/>
          <w:b/>
          <w:sz w:val="24"/>
          <w:szCs w:val="24"/>
        </w:rPr>
        <w:t>Methodology</w:t>
      </w:r>
    </w:p>
    <w:p w:rsidR="006E73CD" w:rsidRDefault="006E73CD" w:rsidP="008D5FC7">
      <w:pPr>
        <w:spacing w:after="0" w:line="240" w:lineRule="auto"/>
        <w:jc w:val="center"/>
        <w:rPr>
          <w:rFonts w:ascii="Times New Roman" w:hAnsi="Times New Roman" w:cs="Times New Roman"/>
          <w:b/>
          <w:sz w:val="24"/>
          <w:szCs w:val="24"/>
        </w:rPr>
      </w:pPr>
    </w:p>
    <w:p w:rsidR="008D5FC7" w:rsidRDefault="005B347C"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99713D">
        <w:rPr>
          <w:rFonts w:ascii="Times New Roman" w:hAnsi="Times New Roman" w:cs="Times New Roman"/>
          <w:sz w:val="24"/>
          <w:szCs w:val="24"/>
        </w:rPr>
        <w:t xml:space="preserve">The </w:t>
      </w:r>
      <w:r>
        <w:rPr>
          <w:rFonts w:ascii="Times New Roman" w:hAnsi="Times New Roman" w:cs="Times New Roman"/>
          <w:sz w:val="24"/>
          <w:szCs w:val="24"/>
        </w:rPr>
        <w:t xml:space="preserve">population for this study included all </w:t>
      </w:r>
      <w:r w:rsidR="00685520">
        <w:rPr>
          <w:rFonts w:ascii="Times New Roman" w:hAnsi="Times New Roman" w:cs="Times New Roman"/>
          <w:sz w:val="24"/>
          <w:szCs w:val="24"/>
        </w:rPr>
        <w:t xml:space="preserve">first through fifth year </w:t>
      </w:r>
      <w:r>
        <w:rPr>
          <w:rFonts w:ascii="Times New Roman" w:hAnsi="Times New Roman" w:cs="Times New Roman"/>
          <w:sz w:val="24"/>
          <w:szCs w:val="24"/>
        </w:rPr>
        <w:t>agricultural education teachers in Cali</w:t>
      </w:r>
      <w:r w:rsidRPr="00D6068E">
        <w:rPr>
          <w:rFonts w:ascii="Times New Roman" w:hAnsi="Times New Roman" w:cs="Times New Roman"/>
          <w:sz w:val="24"/>
          <w:szCs w:val="24"/>
        </w:rPr>
        <w:t>fornia, Idaho, Oregon, Utah</w:t>
      </w:r>
      <w:r>
        <w:rPr>
          <w:rFonts w:ascii="Times New Roman" w:hAnsi="Times New Roman" w:cs="Times New Roman"/>
          <w:sz w:val="24"/>
          <w:szCs w:val="24"/>
        </w:rPr>
        <w:t>,</w:t>
      </w:r>
      <w:r w:rsidRPr="00D6068E">
        <w:rPr>
          <w:rFonts w:ascii="Times New Roman" w:hAnsi="Times New Roman" w:cs="Times New Roman"/>
          <w:sz w:val="24"/>
          <w:szCs w:val="24"/>
        </w:rPr>
        <w:t xml:space="preserve"> and Washington (</w:t>
      </w:r>
      <w:r w:rsidRPr="005B347C">
        <w:rPr>
          <w:rFonts w:ascii="Times New Roman" w:hAnsi="Times New Roman" w:cs="Times New Roman"/>
          <w:i/>
          <w:sz w:val="24"/>
          <w:szCs w:val="24"/>
        </w:rPr>
        <w:t>N</w:t>
      </w:r>
      <w:r>
        <w:rPr>
          <w:rFonts w:ascii="Times New Roman" w:hAnsi="Times New Roman" w:cs="Times New Roman"/>
          <w:i/>
          <w:sz w:val="24"/>
          <w:szCs w:val="24"/>
        </w:rPr>
        <w:t xml:space="preserve"> </w:t>
      </w:r>
      <w:r w:rsidRPr="00D6068E">
        <w:rPr>
          <w:rFonts w:ascii="Times New Roman" w:hAnsi="Times New Roman" w:cs="Times New Roman"/>
          <w:sz w:val="24"/>
          <w:szCs w:val="24"/>
        </w:rPr>
        <w:t>= 295)</w:t>
      </w:r>
      <w:r>
        <w:rPr>
          <w:rFonts w:ascii="Times New Roman" w:hAnsi="Times New Roman" w:cs="Times New Roman"/>
          <w:sz w:val="24"/>
          <w:szCs w:val="24"/>
        </w:rPr>
        <w:t xml:space="preserve"> during the 2012-2013 school year</w:t>
      </w:r>
      <w:r w:rsidR="0001199F">
        <w:rPr>
          <w:rFonts w:ascii="Times New Roman" w:hAnsi="Times New Roman" w:cs="Times New Roman"/>
          <w:sz w:val="24"/>
          <w:szCs w:val="24"/>
        </w:rPr>
        <w:t xml:space="preserve">. This study was part of a larger research project. </w:t>
      </w:r>
      <w:r>
        <w:rPr>
          <w:rFonts w:ascii="Times New Roman" w:hAnsi="Times New Roman" w:cs="Times New Roman"/>
          <w:sz w:val="24"/>
          <w:szCs w:val="24"/>
        </w:rPr>
        <w:t>A census of all teachers in the population</w:t>
      </w:r>
      <w:r w:rsidR="00995107">
        <w:rPr>
          <w:rFonts w:ascii="Times New Roman" w:hAnsi="Times New Roman" w:cs="Times New Roman"/>
          <w:sz w:val="24"/>
          <w:szCs w:val="24"/>
        </w:rPr>
        <w:t xml:space="preserve"> frame</w:t>
      </w:r>
      <w:r>
        <w:rPr>
          <w:rFonts w:ascii="Times New Roman" w:hAnsi="Times New Roman" w:cs="Times New Roman"/>
          <w:sz w:val="24"/>
          <w:szCs w:val="24"/>
        </w:rPr>
        <w:t xml:space="preserve"> was attempted. A total of 150 usable questionnaires were returned, yielding a useable response rate of 51%. We treated the responding teachers as a non-random sample of teacher</w:t>
      </w:r>
      <w:r w:rsidR="002D21FE">
        <w:rPr>
          <w:rFonts w:ascii="Times New Roman" w:hAnsi="Times New Roman" w:cs="Times New Roman"/>
          <w:sz w:val="24"/>
          <w:szCs w:val="24"/>
        </w:rPr>
        <w:t>s (</w:t>
      </w:r>
      <w:r w:rsidR="002D21FE" w:rsidRPr="002D21FE">
        <w:rPr>
          <w:rFonts w:ascii="Times New Roman" w:hAnsi="Times New Roman" w:cs="Times New Roman"/>
          <w:i/>
          <w:sz w:val="24"/>
          <w:szCs w:val="24"/>
        </w:rPr>
        <w:t>n</w:t>
      </w:r>
      <w:r w:rsidR="002D21FE">
        <w:rPr>
          <w:rFonts w:ascii="Times New Roman" w:hAnsi="Times New Roman" w:cs="Times New Roman"/>
          <w:sz w:val="24"/>
          <w:szCs w:val="24"/>
        </w:rPr>
        <w:t xml:space="preserve"> = 150)</w:t>
      </w:r>
      <w:r>
        <w:rPr>
          <w:rFonts w:ascii="Times New Roman" w:hAnsi="Times New Roman" w:cs="Times New Roman"/>
          <w:sz w:val="24"/>
          <w:szCs w:val="24"/>
        </w:rPr>
        <w:t xml:space="preserve"> within the population frame. </w:t>
      </w:r>
      <w:r w:rsidR="006E73CD">
        <w:rPr>
          <w:rFonts w:ascii="Times New Roman" w:hAnsi="Times New Roman" w:cs="Times New Roman"/>
          <w:sz w:val="24"/>
          <w:szCs w:val="24"/>
        </w:rPr>
        <w:t>A</w:t>
      </w:r>
      <w:r>
        <w:rPr>
          <w:rFonts w:ascii="Times New Roman" w:hAnsi="Times New Roman" w:cs="Times New Roman"/>
          <w:sz w:val="24"/>
          <w:szCs w:val="24"/>
        </w:rPr>
        <w:t xml:space="preserve"> non-response check, comparing on-time to late respondents using an independent samples </w:t>
      </w:r>
      <w:r w:rsidRPr="005B347C">
        <w:rPr>
          <w:rFonts w:ascii="Times New Roman" w:hAnsi="Times New Roman" w:cs="Times New Roman"/>
          <w:i/>
          <w:sz w:val="24"/>
          <w:szCs w:val="24"/>
        </w:rPr>
        <w:t>t</w:t>
      </w:r>
      <w:r>
        <w:rPr>
          <w:rFonts w:ascii="Times New Roman" w:hAnsi="Times New Roman" w:cs="Times New Roman"/>
          <w:sz w:val="24"/>
          <w:szCs w:val="24"/>
        </w:rPr>
        <w:t>-test</w:t>
      </w:r>
      <w:r w:rsidR="006E73CD">
        <w:rPr>
          <w:rFonts w:ascii="Times New Roman" w:hAnsi="Times New Roman" w:cs="Times New Roman"/>
          <w:sz w:val="24"/>
          <w:szCs w:val="24"/>
        </w:rPr>
        <w:t xml:space="preserve">, was </w:t>
      </w:r>
      <w:r w:rsidR="0099713D">
        <w:rPr>
          <w:rFonts w:ascii="Times New Roman" w:hAnsi="Times New Roman" w:cs="Times New Roman"/>
          <w:sz w:val="24"/>
          <w:szCs w:val="24"/>
        </w:rPr>
        <w:t xml:space="preserve">performed </w:t>
      </w:r>
      <w:r>
        <w:rPr>
          <w:rFonts w:ascii="Times New Roman" w:hAnsi="Times New Roman" w:cs="Times New Roman"/>
          <w:sz w:val="24"/>
          <w:szCs w:val="24"/>
        </w:rPr>
        <w:t xml:space="preserve">(Lindner, Murphy, &amp; Briers, 2001; Miller &amp; Smith, 1983). On-time and late respondents were statistically similar in their </w:t>
      </w:r>
      <w:r>
        <w:rPr>
          <w:rFonts w:ascii="Times New Roman" w:hAnsi="Times New Roman" w:cs="Times New Roman"/>
          <w:sz w:val="24"/>
          <w:szCs w:val="24"/>
        </w:rPr>
        <w:lastRenderedPageBreak/>
        <w:t xml:space="preserve">leadership self-efficacy, classroom management self-efficacy, and instructional strategies </w:t>
      </w:r>
      <w:r w:rsidR="006E73CD">
        <w:rPr>
          <w:rFonts w:ascii="Times New Roman" w:hAnsi="Times New Roman" w:cs="Times New Roman"/>
          <w:sz w:val="24"/>
          <w:szCs w:val="24"/>
        </w:rPr>
        <w:t>self-</w:t>
      </w:r>
      <w:r>
        <w:rPr>
          <w:rFonts w:ascii="Times New Roman" w:hAnsi="Times New Roman" w:cs="Times New Roman"/>
          <w:sz w:val="24"/>
          <w:szCs w:val="24"/>
        </w:rPr>
        <w:t xml:space="preserve">efficacy. </w:t>
      </w:r>
    </w:p>
    <w:p w:rsidR="006E73CD" w:rsidRDefault="006E73CD" w:rsidP="008D5FC7">
      <w:pPr>
        <w:spacing w:after="0" w:line="240" w:lineRule="auto"/>
        <w:rPr>
          <w:rFonts w:ascii="Times New Roman" w:hAnsi="Times New Roman" w:cs="Times New Roman"/>
          <w:sz w:val="24"/>
          <w:szCs w:val="24"/>
        </w:rPr>
      </w:pPr>
    </w:p>
    <w:p w:rsidR="00685520" w:rsidRPr="00685520" w:rsidRDefault="00685520"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Existing instruments were used to measure respondents’ self-efficacy in leadership (Individual Leadership Factors Inventory; Velez, </w:t>
      </w:r>
      <w:r w:rsidRPr="00D6068E">
        <w:rPr>
          <w:rFonts w:ascii="Times New Roman" w:hAnsi="Times New Roman" w:cs="Times New Roman"/>
          <w:sz w:val="24"/>
          <w:szCs w:val="24"/>
        </w:rPr>
        <w:t>Simonsen</w:t>
      </w:r>
      <w:r>
        <w:rPr>
          <w:rFonts w:ascii="Times New Roman" w:hAnsi="Times New Roman" w:cs="Times New Roman"/>
          <w:sz w:val="24"/>
          <w:szCs w:val="24"/>
        </w:rPr>
        <w:t>,</w:t>
      </w:r>
      <w:r w:rsidRPr="00D6068E">
        <w:rPr>
          <w:rFonts w:ascii="Times New Roman" w:hAnsi="Times New Roman" w:cs="Times New Roman"/>
          <w:sz w:val="24"/>
          <w:szCs w:val="24"/>
        </w:rPr>
        <w:t xml:space="preserve"> &amp; Birkenholz, 2012</w:t>
      </w:r>
      <w:r>
        <w:rPr>
          <w:rFonts w:ascii="Times New Roman" w:hAnsi="Times New Roman" w:cs="Times New Roman"/>
          <w:sz w:val="24"/>
          <w:szCs w:val="24"/>
        </w:rPr>
        <w:t xml:space="preserve">), classroom management, and instructional strategies (Teacher’s Sense of Self-Efficacy Scale; </w:t>
      </w:r>
      <w:proofErr w:type="spellStart"/>
      <w:r w:rsidRPr="00D6068E">
        <w:rPr>
          <w:rFonts w:ascii="Times New Roman" w:hAnsi="Times New Roman" w:cs="Times New Roman"/>
          <w:sz w:val="24"/>
          <w:szCs w:val="24"/>
        </w:rPr>
        <w:t>Tschannen</w:t>
      </w:r>
      <w:proofErr w:type="spellEnd"/>
      <w:r w:rsidRPr="00D6068E">
        <w:rPr>
          <w:rFonts w:ascii="Times New Roman" w:hAnsi="Times New Roman" w:cs="Times New Roman"/>
          <w:sz w:val="24"/>
          <w:szCs w:val="24"/>
        </w:rPr>
        <w:t>-Moran &amp; Woolfolk Hoy, 2001</w:t>
      </w:r>
      <w:r>
        <w:rPr>
          <w:rFonts w:ascii="Times New Roman" w:hAnsi="Times New Roman" w:cs="Times New Roman"/>
          <w:sz w:val="24"/>
          <w:szCs w:val="24"/>
        </w:rPr>
        <w:t xml:space="preserve">). </w:t>
      </w:r>
      <w:r w:rsidR="005807F6">
        <w:rPr>
          <w:rFonts w:ascii="Times New Roman" w:hAnsi="Times New Roman" w:cs="Times New Roman"/>
          <w:sz w:val="24"/>
          <w:szCs w:val="24"/>
        </w:rPr>
        <w:t xml:space="preserve">Items on these constructs were measured on six-point scales ranging from 1 “Strong Disagree” to 6 “Strongly Agree.” </w:t>
      </w:r>
      <w:r w:rsidR="003E73E8">
        <w:rPr>
          <w:rFonts w:ascii="Times New Roman" w:hAnsi="Times New Roman" w:cs="Times New Roman"/>
          <w:sz w:val="24"/>
          <w:szCs w:val="24"/>
        </w:rPr>
        <w:t>The three</w:t>
      </w:r>
      <w:r>
        <w:rPr>
          <w:rFonts w:ascii="Times New Roman" w:hAnsi="Times New Roman" w:cs="Times New Roman"/>
          <w:sz w:val="24"/>
          <w:szCs w:val="24"/>
        </w:rPr>
        <w:t xml:space="preserve"> constructs were pilot tested with first through fifth year agricultural education teachers in a Midwestern state, and found to be reliable at the 0.70 level (</w:t>
      </w:r>
      <w:proofErr w:type="spellStart"/>
      <w:r>
        <w:rPr>
          <w:rFonts w:ascii="Times New Roman" w:hAnsi="Times New Roman" w:cs="Times New Roman"/>
          <w:sz w:val="24"/>
          <w:szCs w:val="24"/>
        </w:rPr>
        <w:t>Cronbach’s</w:t>
      </w:r>
      <w:proofErr w:type="spellEnd"/>
      <w:r>
        <w:rPr>
          <w:rFonts w:ascii="Times New Roman" w:hAnsi="Times New Roman" w:cs="Times New Roman"/>
          <w:sz w:val="24"/>
          <w:szCs w:val="24"/>
        </w:rPr>
        <w:t xml:space="preserve"> Alphas = leadership self-efficacy 0.95; classroom management self-efficacy 0.93; and instructional strategies efficacy 0.83). </w:t>
      </w:r>
      <w:r w:rsidR="003E73E8">
        <w:rPr>
          <w:rFonts w:ascii="Times New Roman" w:hAnsi="Times New Roman" w:cs="Times New Roman"/>
          <w:sz w:val="24"/>
          <w:szCs w:val="24"/>
        </w:rPr>
        <w:t>We used Pearson’s product moment correlations (</w:t>
      </w:r>
      <w:r w:rsidR="003E73E8">
        <w:rPr>
          <w:rFonts w:ascii="Times New Roman" w:hAnsi="Times New Roman" w:cs="Times New Roman"/>
          <w:i/>
          <w:sz w:val="24"/>
          <w:szCs w:val="24"/>
        </w:rPr>
        <w:t>r</w:t>
      </w:r>
      <w:r w:rsidR="003E73E8">
        <w:rPr>
          <w:rFonts w:ascii="Times New Roman" w:hAnsi="Times New Roman" w:cs="Times New Roman"/>
          <w:sz w:val="24"/>
          <w:szCs w:val="24"/>
        </w:rPr>
        <w:t>) to measure t</w:t>
      </w:r>
      <w:r>
        <w:rPr>
          <w:rFonts w:ascii="Times New Roman" w:hAnsi="Times New Roman" w:cs="Times New Roman"/>
          <w:sz w:val="24"/>
          <w:szCs w:val="24"/>
        </w:rPr>
        <w:t>he relationship</w:t>
      </w:r>
      <w:r w:rsidR="006E73CD">
        <w:rPr>
          <w:rFonts w:ascii="Times New Roman" w:hAnsi="Times New Roman" w:cs="Times New Roman"/>
          <w:sz w:val="24"/>
          <w:szCs w:val="24"/>
        </w:rPr>
        <w:t>s</w:t>
      </w:r>
      <w:r>
        <w:rPr>
          <w:rFonts w:ascii="Times New Roman" w:hAnsi="Times New Roman" w:cs="Times New Roman"/>
          <w:sz w:val="24"/>
          <w:szCs w:val="24"/>
        </w:rPr>
        <w:t xml:space="preserve"> between agriculture teachers’ self-efficacy in leadership, classroom management and instructional strategies. </w:t>
      </w:r>
      <w:r w:rsidR="003E73E8">
        <w:rPr>
          <w:rFonts w:ascii="Times New Roman" w:hAnsi="Times New Roman" w:cs="Times New Roman"/>
          <w:sz w:val="24"/>
          <w:szCs w:val="24"/>
        </w:rPr>
        <w:t>Because we</w:t>
      </w:r>
      <w:r w:rsidR="002D21FE">
        <w:rPr>
          <w:rFonts w:ascii="Times New Roman" w:hAnsi="Times New Roman" w:cs="Times New Roman"/>
          <w:sz w:val="24"/>
          <w:szCs w:val="24"/>
        </w:rPr>
        <w:t xml:space="preserve"> treat</w:t>
      </w:r>
      <w:r w:rsidR="003E73E8">
        <w:rPr>
          <w:rFonts w:ascii="Times New Roman" w:hAnsi="Times New Roman" w:cs="Times New Roman"/>
          <w:sz w:val="24"/>
          <w:szCs w:val="24"/>
        </w:rPr>
        <w:t>ed</w:t>
      </w:r>
      <w:r w:rsidR="002D21FE">
        <w:rPr>
          <w:rFonts w:ascii="Times New Roman" w:hAnsi="Times New Roman" w:cs="Times New Roman"/>
          <w:sz w:val="24"/>
          <w:szCs w:val="24"/>
        </w:rPr>
        <w:t xml:space="preserve"> responding teachers as a sample of the population, inferential statistics were used. </w:t>
      </w:r>
      <w:r w:rsidRPr="00D6068E">
        <w:rPr>
          <w:rFonts w:ascii="Times New Roman" w:hAnsi="Times New Roman" w:cs="Times New Roman"/>
          <w:sz w:val="24"/>
          <w:szCs w:val="24"/>
        </w:rPr>
        <w:t xml:space="preserve">The significance level used in this study was set </w:t>
      </w:r>
      <w:r w:rsidRPr="00D6068E">
        <w:rPr>
          <w:rFonts w:ascii="Times New Roman" w:hAnsi="Times New Roman" w:cs="Times New Roman"/>
          <w:i/>
          <w:sz w:val="24"/>
          <w:szCs w:val="24"/>
        </w:rPr>
        <w:t>a priori</w:t>
      </w:r>
      <w:r w:rsidRPr="00D6068E">
        <w:rPr>
          <w:rFonts w:ascii="Times New Roman" w:hAnsi="Times New Roman" w:cs="Times New Roman"/>
          <w:sz w:val="24"/>
          <w:szCs w:val="24"/>
        </w:rPr>
        <w:t xml:space="preserve"> at α </w:t>
      </w:r>
      <w:r>
        <w:rPr>
          <w:rFonts w:ascii="Times New Roman" w:hAnsi="Times New Roman" w:cs="Times New Roman"/>
          <w:sz w:val="24"/>
          <w:szCs w:val="24"/>
        </w:rPr>
        <w:t>&lt;</w:t>
      </w:r>
      <w:r w:rsidRPr="00D6068E">
        <w:rPr>
          <w:rFonts w:ascii="Times New Roman" w:hAnsi="Times New Roman" w:cs="Times New Roman"/>
          <w:sz w:val="24"/>
          <w:szCs w:val="24"/>
        </w:rPr>
        <w:t xml:space="preserve"> .05.</w:t>
      </w:r>
      <w:r>
        <w:rPr>
          <w:rFonts w:ascii="Times New Roman" w:hAnsi="Times New Roman" w:cs="Times New Roman"/>
          <w:sz w:val="24"/>
          <w:szCs w:val="24"/>
        </w:rPr>
        <w:t xml:space="preserve"> Furthermore, effect sizes were used in this study, and set at small effect, </w:t>
      </w:r>
      <w:r>
        <w:rPr>
          <w:rFonts w:ascii="Times New Roman" w:hAnsi="Times New Roman" w:cs="Times New Roman"/>
          <w:i/>
          <w:sz w:val="24"/>
          <w:szCs w:val="24"/>
        </w:rPr>
        <w:t xml:space="preserve">r </w:t>
      </w:r>
      <w:r>
        <w:rPr>
          <w:rFonts w:ascii="Times New Roman" w:hAnsi="Times New Roman" w:cs="Times New Roman"/>
          <w:sz w:val="24"/>
          <w:szCs w:val="24"/>
        </w:rPr>
        <w:t xml:space="preserve">= .10; medium effect </w:t>
      </w:r>
      <w:r>
        <w:rPr>
          <w:rFonts w:ascii="Times New Roman" w:hAnsi="Times New Roman" w:cs="Times New Roman"/>
          <w:i/>
          <w:sz w:val="24"/>
          <w:szCs w:val="24"/>
        </w:rPr>
        <w:t>r</w:t>
      </w:r>
      <w:r>
        <w:rPr>
          <w:rFonts w:ascii="Times New Roman" w:hAnsi="Times New Roman" w:cs="Times New Roman"/>
          <w:sz w:val="24"/>
          <w:szCs w:val="24"/>
        </w:rPr>
        <w:t xml:space="preserve"> = .30; and large effect, </w:t>
      </w:r>
      <w:r>
        <w:rPr>
          <w:rFonts w:ascii="Times New Roman" w:hAnsi="Times New Roman" w:cs="Times New Roman"/>
          <w:i/>
          <w:sz w:val="24"/>
          <w:szCs w:val="24"/>
        </w:rPr>
        <w:t>r</w:t>
      </w:r>
      <w:r>
        <w:rPr>
          <w:rFonts w:ascii="Times New Roman" w:hAnsi="Times New Roman" w:cs="Times New Roman"/>
          <w:sz w:val="24"/>
          <w:szCs w:val="24"/>
        </w:rPr>
        <w:t xml:space="preserve"> = .50</w:t>
      </w:r>
      <w:r w:rsidR="00075B7F">
        <w:rPr>
          <w:rFonts w:ascii="Times New Roman" w:hAnsi="Times New Roman" w:cs="Times New Roman"/>
          <w:sz w:val="24"/>
          <w:szCs w:val="24"/>
        </w:rPr>
        <w:t xml:space="preserve"> (Cohen, 1988)</w:t>
      </w:r>
      <w:r>
        <w:rPr>
          <w:rFonts w:ascii="Times New Roman" w:hAnsi="Times New Roman" w:cs="Times New Roman"/>
          <w:sz w:val="24"/>
          <w:szCs w:val="24"/>
        </w:rPr>
        <w:t xml:space="preserve">. </w:t>
      </w:r>
    </w:p>
    <w:p w:rsidR="00685520" w:rsidRPr="008D5FC7" w:rsidRDefault="00685520" w:rsidP="008D5FC7">
      <w:pPr>
        <w:spacing w:after="0" w:line="240" w:lineRule="auto"/>
        <w:rPr>
          <w:rFonts w:ascii="Times New Roman" w:hAnsi="Times New Roman" w:cs="Times New Roman"/>
          <w:sz w:val="24"/>
          <w:szCs w:val="24"/>
        </w:rPr>
      </w:pPr>
    </w:p>
    <w:p w:rsidR="007355D9" w:rsidRDefault="007355D9" w:rsidP="008D5FC7">
      <w:pPr>
        <w:spacing w:after="0" w:line="240" w:lineRule="auto"/>
        <w:jc w:val="center"/>
        <w:rPr>
          <w:rFonts w:ascii="Times New Roman" w:hAnsi="Times New Roman" w:cs="Times New Roman"/>
          <w:b/>
          <w:sz w:val="24"/>
          <w:szCs w:val="24"/>
        </w:rPr>
      </w:pPr>
      <w:r w:rsidRPr="00931045">
        <w:rPr>
          <w:rFonts w:ascii="Times New Roman" w:hAnsi="Times New Roman" w:cs="Times New Roman"/>
          <w:b/>
          <w:sz w:val="24"/>
          <w:szCs w:val="24"/>
        </w:rPr>
        <w:t>Results/</w:t>
      </w:r>
      <w:r w:rsidR="004421E1">
        <w:rPr>
          <w:rFonts w:ascii="Times New Roman" w:hAnsi="Times New Roman" w:cs="Times New Roman"/>
          <w:b/>
          <w:sz w:val="24"/>
          <w:szCs w:val="24"/>
        </w:rPr>
        <w:t>F</w:t>
      </w:r>
      <w:r w:rsidRPr="00931045">
        <w:rPr>
          <w:rFonts w:ascii="Times New Roman" w:hAnsi="Times New Roman" w:cs="Times New Roman"/>
          <w:b/>
          <w:sz w:val="24"/>
          <w:szCs w:val="24"/>
        </w:rPr>
        <w:t>indings</w:t>
      </w:r>
    </w:p>
    <w:p w:rsidR="006E73CD" w:rsidRDefault="006E73CD" w:rsidP="008D5FC7">
      <w:pPr>
        <w:spacing w:after="0" w:line="240" w:lineRule="auto"/>
        <w:jc w:val="center"/>
        <w:rPr>
          <w:rFonts w:ascii="Times New Roman" w:hAnsi="Times New Roman" w:cs="Times New Roman"/>
          <w:b/>
          <w:sz w:val="24"/>
          <w:szCs w:val="24"/>
        </w:rPr>
      </w:pPr>
    </w:p>
    <w:p w:rsidR="002D21FE" w:rsidRDefault="002D21FE" w:rsidP="002D21FE">
      <w:pPr>
        <w:spacing w:after="0" w:line="240" w:lineRule="auto"/>
        <w:rPr>
          <w:rFonts w:ascii="Times New Roman" w:hAnsi="Times New Roman" w:cs="Times New Roman"/>
          <w:iCs/>
          <w:sz w:val="24"/>
          <w:szCs w:val="24"/>
        </w:rPr>
      </w:pPr>
      <w:r>
        <w:rPr>
          <w:rFonts w:ascii="Times New Roman" w:hAnsi="Times New Roman" w:cs="Times New Roman"/>
          <w:sz w:val="24"/>
          <w:szCs w:val="24"/>
        </w:rPr>
        <w:tab/>
        <w:t>Respondents</w:t>
      </w:r>
      <w:r w:rsidR="005807F6">
        <w:rPr>
          <w:rFonts w:ascii="Times New Roman" w:hAnsi="Times New Roman" w:cs="Times New Roman"/>
          <w:sz w:val="24"/>
          <w:szCs w:val="24"/>
        </w:rPr>
        <w:t xml:space="preserve"> perceived similar levels of </w:t>
      </w:r>
      <w:r>
        <w:rPr>
          <w:rFonts w:ascii="Times New Roman" w:hAnsi="Times New Roman" w:cs="Times New Roman"/>
          <w:sz w:val="24"/>
          <w:szCs w:val="24"/>
        </w:rPr>
        <w:t xml:space="preserve">self-efficacy in </w:t>
      </w:r>
      <w:r w:rsidRPr="002D21FE">
        <w:rPr>
          <w:rFonts w:ascii="Times New Roman" w:hAnsi="Times New Roman" w:cs="Times New Roman"/>
          <w:sz w:val="24"/>
          <w:szCs w:val="24"/>
        </w:rPr>
        <w:t>leadership (</w:t>
      </w:r>
      <w:r w:rsidRPr="002D21FE">
        <w:rPr>
          <w:rFonts w:ascii="Times New Roman" w:hAnsi="Times New Roman" w:cs="Times New Roman"/>
          <w:i/>
          <w:iCs/>
          <w:sz w:val="24"/>
          <w:szCs w:val="24"/>
        </w:rPr>
        <w:fldChar w:fldCharType="begin"/>
      </w:r>
      <w:r w:rsidRPr="002D21FE">
        <w:rPr>
          <w:rFonts w:ascii="Times New Roman" w:hAnsi="Times New Roman" w:cs="Times New Roman"/>
          <w:i/>
          <w:iCs/>
          <w:sz w:val="24"/>
          <w:szCs w:val="24"/>
        </w:rPr>
        <w:instrText xml:space="preserve"> </w:instrText>
      </w:r>
      <w:r w:rsidRPr="002D21FE">
        <w:rPr>
          <w:rFonts w:ascii="Times New Roman" w:hAnsi="Times New Roman" w:cs="Times New Roman"/>
          <w:i/>
          <w:sz w:val="24"/>
          <w:szCs w:val="24"/>
        </w:rPr>
        <w:instrText>EQ \O(x,ˉ)</w:instrText>
      </w:r>
      <w:r w:rsidRPr="002D21FE">
        <w:rPr>
          <w:rFonts w:ascii="Times New Roman" w:hAnsi="Times New Roman" w:cs="Times New Roman"/>
          <w:i/>
          <w:iCs/>
          <w:sz w:val="24"/>
          <w:szCs w:val="24"/>
        </w:rPr>
        <w:instrText xml:space="preserve"> </w:instrText>
      </w:r>
      <w:r w:rsidRPr="002D21FE">
        <w:rPr>
          <w:rFonts w:ascii="Times New Roman" w:hAnsi="Times New Roman" w:cs="Times New Roman"/>
          <w:i/>
          <w:iCs/>
          <w:sz w:val="24"/>
          <w:szCs w:val="24"/>
        </w:rPr>
        <w:fldChar w:fldCharType="end"/>
      </w:r>
      <w:r>
        <w:rPr>
          <w:rFonts w:ascii="Times New Roman" w:hAnsi="Times New Roman" w:cs="Times New Roman"/>
          <w:iCs/>
          <w:sz w:val="24"/>
          <w:szCs w:val="24"/>
        </w:rPr>
        <w:t>= 4.80), classroom management (</w:t>
      </w:r>
      <w:r w:rsidRPr="002D21FE">
        <w:rPr>
          <w:rFonts w:ascii="Times New Roman" w:hAnsi="Times New Roman" w:cs="Times New Roman"/>
          <w:i/>
          <w:iCs/>
          <w:sz w:val="24"/>
          <w:szCs w:val="24"/>
        </w:rPr>
        <w:fldChar w:fldCharType="begin"/>
      </w:r>
      <w:r w:rsidRPr="002D21FE">
        <w:rPr>
          <w:rFonts w:ascii="Times New Roman" w:hAnsi="Times New Roman" w:cs="Times New Roman"/>
          <w:i/>
          <w:iCs/>
          <w:sz w:val="24"/>
          <w:szCs w:val="24"/>
        </w:rPr>
        <w:instrText xml:space="preserve"> </w:instrText>
      </w:r>
      <w:r w:rsidRPr="002D21FE">
        <w:rPr>
          <w:rFonts w:ascii="Times New Roman" w:hAnsi="Times New Roman" w:cs="Times New Roman"/>
          <w:i/>
          <w:sz w:val="24"/>
          <w:szCs w:val="24"/>
        </w:rPr>
        <w:instrText>EQ \O(x,ˉ)</w:instrText>
      </w:r>
      <w:r w:rsidRPr="002D21FE">
        <w:rPr>
          <w:rFonts w:ascii="Times New Roman" w:hAnsi="Times New Roman" w:cs="Times New Roman"/>
          <w:i/>
          <w:iCs/>
          <w:sz w:val="24"/>
          <w:szCs w:val="24"/>
        </w:rPr>
        <w:instrText xml:space="preserve"> </w:instrText>
      </w:r>
      <w:r w:rsidRPr="002D21FE">
        <w:rPr>
          <w:rFonts w:ascii="Times New Roman" w:hAnsi="Times New Roman" w:cs="Times New Roman"/>
          <w:i/>
          <w:iCs/>
          <w:sz w:val="24"/>
          <w:szCs w:val="24"/>
        </w:rPr>
        <w:fldChar w:fldCharType="end"/>
      </w:r>
      <w:r>
        <w:rPr>
          <w:rFonts w:ascii="Times New Roman" w:hAnsi="Times New Roman" w:cs="Times New Roman"/>
          <w:iCs/>
          <w:sz w:val="24"/>
          <w:szCs w:val="24"/>
        </w:rPr>
        <w:t>= 5.02), and instructional strategies (</w:t>
      </w:r>
      <w:r w:rsidRPr="002D21FE">
        <w:rPr>
          <w:rFonts w:ascii="Times New Roman" w:hAnsi="Times New Roman" w:cs="Times New Roman"/>
          <w:i/>
          <w:iCs/>
          <w:sz w:val="24"/>
          <w:szCs w:val="24"/>
        </w:rPr>
        <w:fldChar w:fldCharType="begin"/>
      </w:r>
      <w:r w:rsidRPr="002D21FE">
        <w:rPr>
          <w:rFonts w:ascii="Times New Roman" w:hAnsi="Times New Roman" w:cs="Times New Roman"/>
          <w:i/>
          <w:iCs/>
          <w:sz w:val="24"/>
          <w:szCs w:val="24"/>
        </w:rPr>
        <w:instrText xml:space="preserve"> </w:instrText>
      </w:r>
      <w:r w:rsidRPr="002D21FE">
        <w:rPr>
          <w:rFonts w:ascii="Times New Roman" w:hAnsi="Times New Roman" w:cs="Times New Roman"/>
          <w:i/>
          <w:sz w:val="24"/>
          <w:szCs w:val="24"/>
        </w:rPr>
        <w:instrText>EQ \O(x,ˉ)</w:instrText>
      </w:r>
      <w:r w:rsidRPr="002D21FE">
        <w:rPr>
          <w:rFonts w:ascii="Times New Roman" w:hAnsi="Times New Roman" w:cs="Times New Roman"/>
          <w:i/>
          <w:iCs/>
          <w:sz w:val="24"/>
          <w:szCs w:val="24"/>
        </w:rPr>
        <w:instrText xml:space="preserve"> </w:instrText>
      </w:r>
      <w:r w:rsidRPr="002D21FE">
        <w:rPr>
          <w:rFonts w:ascii="Times New Roman" w:hAnsi="Times New Roman" w:cs="Times New Roman"/>
          <w:i/>
          <w:iCs/>
          <w:sz w:val="24"/>
          <w:szCs w:val="24"/>
        </w:rPr>
        <w:fldChar w:fldCharType="end"/>
      </w:r>
      <w:r>
        <w:rPr>
          <w:rFonts w:ascii="Times New Roman" w:hAnsi="Times New Roman" w:cs="Times New Roman"/>
          <w:iCs/>
          <w:sz w:val="24"/>
          <w:szCs w:val="24"/>
        </w:rPr>
        <w:t>= 4.</w:t>
      </w:r>
      <w:r w:rsidR="005807F6">
        <w:rPr>
          <w:rFonts w:ascii="Times New Roman" w:hAnsi="Times New Roman" w:cs="Times New Roman"/>
          <w:iCs/>
          <w:sz w:val="24"/>
          <w:szCs w:val="24"/>
        </w:rPr>
        <w:t>9</w:t>
      </w:r>
      <w:r>
        <w:rPr>
          <w:rFonts w:ascii="Times New Roman" w:hAnsi="Times New Roman" w:cs="Times New Roman"/>
          <w:iCs/>
          <w:sz w:val="24"/>
          <w:szCs w:val="24"/>
        </w:rPr>
        <w:t>0)</w:t>
      </w:r>
      <w:r w:rsidR="005807F6">
        <w:rPr>
          <w:rFonts w:ascii="Times New Roman" w:hAnsi="Times New Roman" w:cs="Times New Roman"/>
          <w:iCs/>
          <w:sz w:val="24"/>
          <w:szCs w:val="24"/>
        </w:rPr>
        <w:t>. A large, positive relationship was found between responding agriculture teachers’ leadership</w:t>
      </w:r>
      <w:r w:rsidR="006E73CD">
        <w:rPr>
          <w:rFonts w:ascii="Times New Roman" w:hAnsi="Times New Roman" w:cs="Times New Roman"/>
          <w:iCs/>
          <w:sz w:val="24"/>
          <w:szCs w:val="24"/>
        </w:rPr>
        <w:t xml:space="preserve"> self-efficacy</w:t>
      </w:r>
      <w:r w:rsidR="005807F6">
        <w:rPr>
          <w:rFonts w:ascii="Times New Roman" w:hAnsi="Times New Roman" w:cs="Times New Roman"/>
          <w:iCs/>
          <w:sz w:val="24"/>
          <w:szCs w:val="24"/>
        </w:rPr>
        <w:t xml:space="preserve"> and classroom management </w:t>
      </w:r>
      <w:r w:rsidR="006E73CD">
        <w:rPr>
          <w:rFonts w:ascii="Times New Roman" w:hAnsi="Times New Roman" w:cs="Times New Roman"/>
          <w:iCs/>
          <w:sz w:val="24"/>
          <w:szCs w:val="24"/>
        </w:rPr>
        <w:t xml:space="preserve">self-efficacy </w:t>
      </w:r>
      <w:r w:rsidR="005807F6">
        <w:rPr>
          <w:rFonts w:ascii="Times New Roman" w:hAnsi="Times New Roman" w:cs="Times New Roman"/>
          <w:iCs/>
          <w:sz w:val="24"/>
          <w:szCs w:val="24"/>
        </w:rPr>
        <w:t xml:space="preserve">(see Table 1). Likewise, a large, positive relationship was found between teachers’ leadership </w:t>
      </w:r>
      <w:r w:rsidR="006E73CD">
        <w:rPr>
          <w:rFonts w:ascii="Times New Roman" w:hAnsi="Times New Roman" w:cs="Times New Roman"/>
          <w:iCs/>
          <w:sz w:val="24"/>
          <w:szCs w:val="24"/>
        </w:rPr>
        <w:t xml:space="preserve">self-efficacy </w:t>
      </w:r>
      <w:r w:rsidR="005807F6">
        <w:rPr>
          <w:rFonts w:ascii="Times New Roman" w:hAnsi="Times New Roman" w:cs="Times New Roman"/>
          <w:iCs/>
          <w:sz w:val="24"/>
          <w:szCs w:val="24"/>
        </w:rPr>
        <w:t>and instructional strategies</w:t>
      </w:r>
      <w:r w:rsidR="006E73CD">
        <w:rPr>
          <w:rFonts w:ascii="Times New Roman" w:hAnsi="Times New Roman" w:cs="Times New Roman"/>
          <w:iCs/>
          <w:sz w:val="24"/>
          <w:szCs w:val="24"/>
        </w:rPr>
        <w:t xml:space="preserve"> self-efficacy</w:t>
      </w:r>
      <w:r w:rsidR="005807F6">
        <w:rPr>
          <w:rFonts w:ascii="Times New Roman" w:hAnsi="Times New Roman" w:cs="Times New Roman"/>
          <w:iCs/>
          <w:sz w:val="24"/>
          <w:szCs w:val="24"/>
        </w:rPr>
        <w:t xml:space="preserve">. </w:t>
      </w:r>
    </w:p>
    <w:p w:rsidR="005807F6" w:rsidRPr="002D21FE" w:rsidRDefault="005807F6" w:rsidP="002D21FE">
      <w:pPr>
        <w:spacing w:after="0" w:line="240" w:lineRule="auto"/>
        <w:rPr>
          <w:rFonts w:ascii="Times New Roman" w:hAnsi="Times New Roman" w:cs="Times New Roman"/>
          <w:sz w:val="24"/>
          <w:szCs w:val="24"/>
        </w:rPr>
      </w:pPr>
    </w:p>
    <w:p w:rsidR="008D5FC7" w:rsidRDefault="002D21FE" w:rsidP="008D5FC7">
      <w:pPr>
        <w:spacing w:after="0" w:line="240" w:lineRule="auto"/>
        <w:rPr>
          <w:rFonts w:ascii="Times New Roman" w:hAnsi="Times New Roman" w:cs="Times New Roman"/>
          <w:sz w:val="24"/>
          <w:szCs w:val="24"/>
        </w:rPr>
      </w:pPr>
      <w:r>
        <w:rPr>
          <w:rFonts w:ascii="Times New Roman" w:hAnsi="Times New Roman" w:cs="Times New Roman"/>
          <w:sz w:val="24"/>
          <w:szCs w:val="24"/>
        </w:rPr>
        <w:t>Table 1</w:t>
      </w:r>
    </w:p>
    <w:p w:rsidR="002D21FE" w:rsidRDefault="002D21FE" w:rsidP="008D5FC7">
      <w:pPr>
        <w:spacing w:after="0" w:line="240" w:lineRule="auto"/>
        <w:rPr>
          <w:rFonts w:ascii="Times New Roman" w:hAnsi="Times New Roman" w:cs="Times New Roman"/>
          <w:sz w:val="24"/>
          <w:szCs w:val="24"/>
        </w:rPr>
      </w:pPr>
    </w:p>
    <w:p w:rsidR="002D21FE" w:rsidRDefault="002D21FE" w:rsidP="008D5FC7">
      <w:pPr>
        <w:spacing w:after="0" w:line="240" w:lineRule="auto"/>
        <w:rPr>
          <w:rFonts w:ascii="Times New Roman" w:hAnsi="Times New Roman" w:cs="Times New Roman"/>
          <w:i/>
          <w:sz w:val="24"/>
          <w:szCs w:val="24"/>
        </w:rPr>
      </w:pPr>
      <w:r>
        <w:rPr>
          <w:rFonts w:ascii="Times New Roman" w:hAnsi="Times New Roman" w:cs="Times New Roman"/>
          <w:i/>
          <w:sz w:val="24"/>
          <w:szCs w:val="24"/>
        </w:rPr>
        <w:t>The Relationship between Classroom Management, Instructional Strategies, and Leadership</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3150"/>
        <w:gridCol w:w="1350"/>
        <w:gridCol w:w="1278"/>
      </w:tblGrid>
      <w:tr w:rsidR="002D21FE" w:rsidTr="002D21FE">
        <w:tc>
          <w:tcPr>
            <w:tcW w:w="3798" w:type="dxa"/>
            <w:tcBorders>
              <w:top w:val="single" w:sz="4" w:space="0" w:color="auto"/>
              <w:bottom w:val="single" w:sz="4" w:space="0" w:color="auto"/>
            </w:tcBorders>
          </w:tcPr>
          <w:p w:rsidR="002D21FE" w:rsidRDefault="002D21FE" w:rsidP="008D5FC7"/>
          <w:p w:rsidR="002D21FE" w:rsidRDefault="002D21FE" w:rsidP="008D5FC7">
            <w:r>
              <w:t>Variable</w:t>
            </w:r>
          </w:p>
        </w:tc>
        <w:tc>
          <w:tcPr>
            <w:tcW w:w="3150" w:type="dxa"/>
            <w:tcBorders>
              <w:top w:val="single" w:sz="4" w:space="0" w:color="auto"/>
              <w:bottom w:val="single" w:sz="4" w:space="0" w:color="auto"/>
            </w:tcBorders>
          </w:tcPr>
          <w:p w:rsidR="002D21FE" w:rsidRDefault="002D21FE" w:rsidP="002D21FE">
            <w:pPr>
              <w:jc w:val="center"/>
            </w:pPr>
            <w:r>
              <w:t>Correlation with leadership</w:t>
            </w:r>
          </w:p>
          <w:p w:rsidR="002D21FE" w:rsidRDefault="002D21FE" w:rsidP="002D21FE">
            <w:pPr>
              <w:jc w:val="center"/>
            </w:pPr>
            <w:r>
              <w:t>self-efficacy(</w:t>
            </w:r>
            <w:r>
              <w:rPr>
                <w:i/>
              </w:rPr>
              <w:t>r</w:t>
            </w:r>
            <w:r>
              <w:t>)</w:t>
            </w:r>
          </w:p>
        </w:tc>
        <w:tc>
          <w:tcPr>
            <w:tcW w:w="1350" w:type="dxa"/>
            <w:tcBorders>
              <w:top w:val="single" w:sz="4" w:space="0" w:color="auto"/>
              <w:bottom w:val="single" w:sz="4" w:space="0" w:color="auto"/>
            </w:tcBorders>
          </w:tcPr>
          <w:p w:rsidR="002D21FE" w:rsidRDefault="002D21FE" w:rsidP="002D21FE">
            <w:pPr>
              <w:jc w:val="center"/>
            </w:pPr>
            <w:r w:rsidRPr="002D21FE">
              <w:rPr>
                <w:i/>
              </w:rPr>
              <w:t>p</w:t>
            </w:r>
            <w:r>
              <w:t>-value</w:t>
            </w:r>
          </w:p>
        </w:tc>
        <w:tc>
          <w:tcPr>
            <w:tcW w:w="1278" w:type="dxa"/>
            <w:tcBorders>
              <w:top w:val="single" w:sz="4" w:space="0" w:color="auto"/>
              <w:bottom w:val="single" w:sz="4" w:space="0" w:color="auto"/>
            </w:tcBorders>
          </w:tcPr>
          <w:p w:rsidR="002D21FE" w:rsidRDefault="002D21FE" w:rsidP="002D21FE">
            <w:pPr>
              <w:jc w:val="center"/>
            </w:pPr>
            <w:r>
              <w:t>Effect size</w:t>
            </w:r>
          </w:p>
        </w:tc>
      </w:tr>
      <w:tr w:rsidR="002D21FE" w:rsidTr="002D21FE">
        <w:tc>
          <w:tcPr>
            <w:tcW w:w="3798" w:type="dxa"/>
            <w:tcBorders>
              <w:top w:val="single" w:sz="4" w:space="0" w:color="auto"/>
            </w:tcBorders>
          </w:tcPr>
          <w:p w:rsidR="002D21FE" w:rsidRDefault="002D21FE" w:rsidP="008D5FC7">
            <w:r>
              <w:t>Classroom Management</w:t>
            </w:r>
          </w:p>
          <w:p w:rsidR="002D21FE" w:rsidRPr="002D21FE" w:rsidRDefault="002D21FE" w:rsidP="008D5FC7">
            <w:pPr>
              <w:rPr>
                <w:sz w:val="16"/>
                <w:szCs w:val="16"/>
              </w:rPr>
            </w:pPr>
          </w:p>
        </w:tc>
        <w:tc>
          <w:tcPr>
            <w:tcW w:w="3150" w:type="dxa"/>
            <w:tcBorders>
              <w:top w:val="single" w:sz="4" w:space="0" w:color="auto"/>
            </w:tcBorders>
          </w:tcPr>
          <w:p w:rsidR="002D21FE" w:rsidRDefault="002D21FE" w:rsidP="002D21FE">
            <w:pPr>
              <w:jc w:val="center"/>
            </w:pPr>
            <w:r>
              <w:t>.67</w:t>
            </w:r>
          </w:p>
        </w:tc>
        <w:tc>
          <w:tcPr>
            <w:tcW w:w="1350" w:type="dxa"/>
            <w:tcBorders>
              <w:top w:val="single" w:sz="4" w:space="0" w:color="auto"/>
            </w:tcBorders>
          </w:tcPr>
          <w:p w:rsidR="002D21FE" w:rsidRDefault="002D21FE" w:rsidP="002D21FE">
            <w:pPr>
              <w:jc w:val="center"/>
            </w:pPr>
            <w:r>
              <w:t>&lt;.001</w:t>
            </w:r>
          </w:p>
        </w:tc>
        <w:tc>
          <w:tcPr>
            <w:tcW w:w="1278" w:type="dxa"/>
            <w:tcBorders>
              <w:top w:val="single" w:sz="4" w:space="0" w:color="auto"/>
            </w:tcBorders>
          </w:tcPr>
          <w:p w:rsidR="002D21FE" w:rsidRDefault="002D21FE" w:rsidP="002D21FE">
            <w:pPr>
              <w:jc w:val="center"/>
            </w:pPr>
            <w:r>
              <w:t>Large</w:t>
            </w:r>
          </w:p>
        </w:tc>
      </w:tr>
      <w:tr w:rsidR="002D21FE" w:rsidTr="002D21FE">
        <w:tc>
          <w:tcPr>
            <w:tcW w:w="3798" w:type="dxa"/>
          </w:tcPr>
          <w:p w:rsidR="002D21FE" w:rsidRDefault="002D21FE" w:rsidP="008D5FC7">
            <w:r>
              <w:t>Instructional Strategies</w:t>
            </w:r>
          </w:p>
        </w:tc>
        <w:tc>
          <w:tcPr>
            <w:tcW w:w="3150" w:type="dxa"/>
          </w:tcPr>
          <w:p w:rsidR="002D21FE" w:rsidRDefault="002D21FE" w:rsidP="002D21FE">
            <w:pPr>
              <w:jc w:val="center"/>
            </w:pPr>
            <w:r>
              <w:t>.62</w:t>
            </w:r>
          </w:p>
        </w:tc>
        <w:tc>
          <w:tcPr>
            <w:tcW w:w="1350" w:type="dxa"/>
          </w:tcPr>
          <w:p w:rsidR="002D21FE" w:rsidRDefault="002D21FE" w:rsidP="002D21FE">
            <w:pPr>
              <w:jc w:val="center"/>
            </w:pPr>
            <w:r>
              <w:t>&lt;.001</w:t>
            </w:r>
          </w:p>
        </w:tc>
        <w:tc>
          <w:tcPr>
            <w:tcW w:w="1278" w:type="dxa"/>
          </w:tcPr>
          <w:p w:rsidR="002D21FE" w:rsidRDefault="002D21FE" w:rsidP="002D21FE">
            <w:pPr>
              <w:jc w:val="center"/>
            </w:pPr>
            <w:r>
              <w:t>Large</w:t>
            </w:r>
          </w:p>
        </w:tc>
      </w:tr>
    </w:tbl>
    <w:p w:rsidR="002D21FE" w:rsidRPr="002D21FE" w:rsidRDefault="002D21FE" w:rsidP="008D5FC7">
      <w:pPr>
        <w:spacing w:after="0" w:line="240" w:lineRule="auto"/>
        <w:rPr>
          <w:rFonts w:ascii="Times New Roman" w:hAnsi="Times New Roman" w:cs="Times New Roman"/>
          <w:sz w:val="24"/>
          <w:szCs w:val="24"/>
        </w:rPr>
      </w:pPr>
    </w:p>
    <w:p w:rsidR="007355D9" w:rsidRDefault="007355D9" w:rsidP="008D5FC7">
      <w:pPr>
        <w:spacing w:after="0" w:line="240" w:lineRule="auto"/>
        <w:jc w:val="center"/>
        <w:rPr>
          <w:rFonts w:ascii="Times New Roman" w:hAnsi="Times New Roman" w:cs="Times New Roman"/>
          <w:b/>
          <w:sz w:val="24"/>
          <w:szCs w:val="24"/>
        </w:rPr>
      </w:pPr>
      <w:r w:rsidRPr="00931045">
        <w:rPr>
          <w:rFonts w:ascii="Times New Roman" w:hAnsi="Times New Roman" w:cs="Times New Roman"/>
          <w:b/>
          <w:sz w:val="24"/>
          <w:szCs w:val="24"/>
        </w:rPr>
        <w:t>Conclusions</w:t>
      </w:r>
      <w:r w:rsidR="00EE6AE8">
        <w:rPr>
          <w:rFonts w:ascii="Times New Roman" w:hAnsi="Times New Roman" w:cs="Times New Roman"/>
          <w:b/>
          <w:sz w:val="24"/>
          <w:szCs w:val="24"/>
        </w:rPr>
        <w:t>/ Implications/ Recommendations</w:t>
      </w:r>
    </w:p>
    <w:p w:rsidR="006E73CD" w:rsidRDefault="006E73CD" w:rsidP="008D5FC7">
      <w:pPr>
        <w:spacing w:after="0" w:line="240" w:lineRule="auto"/>
        <w:jc w:val="center"/>
        <w:rPr>
          <w:rFonts w:ascii="Times New Roman" w:hAnsi="Times New Roman" w:cs="Times New Roman"/>
          <w:b/>
          <w:sz w:val="24"/>
          <w:szCs w:val="24"/>
        </w:rPr>
      </w:pPr>
    </w:p>
    <w:p w:rsidR="005807F6" w:rsidRDefault="005807F6" w:rsidP="005807F6">
      <w:pPr>
        <w:spacing w:after="0" w:line="240" w:lineRule="auto"/>
        <w:rPr>
          <w:rFonts w:ascii="Times New Roman" w:hAnsi="Times New Roman" w:cs="Times New Roman"/>
          <w:sz w:val="24"/>
          <w:szCs w:val="24"/>
        </w:rPr>
      </w:pPr>
      <w:r>
        <w:rPr>
          <w:rFonts w:ascii="Times New Roman" w:hAnsi="Times New Roman" w:cs="Times New Roman"/>
          <w:sz w:val="24"/>
          <w:szCs w:val="24"/>
        </w:rPr>
        <w:tab/>
        <w:t>This exploratory study sought to provide the agricultural education discipline with information regarding the relationship between teachers’ leadership self-efficacy and self-efficacy in classroom management and instructional strategies. This study found a significant, positive relationship between the variables of interest. These findings support our conceptual framework linking agricultural education teachers’ perceived leadership abilities with their perceived abilities in classroom management and instructional strategies. Additionally, this research provides evidence warranting further exploration of agriculture teachers’ leaders</w:t>
      </w:r>
      <w:r w:rsidR="003E73E8">
        <w:rPr>
          <w:rFonts w:ascii="Times New Roman" w:hAnsi="Times New Roman" w:cs="Times New Roman"/>
          <w:sz w:val="24"/>
          <w:szCs w:val="24"/>
        </w:rPr>
        <w:t>hip abilities.</w:t>
      </w:r>
      <w:r>
        <w:rPr>
          <w:rFonts w:ascii="Times New Roman" w:hAnsi="Times New Roman" w:cs="Times New Roman"/>
          <w:sz w:val="24"/>
          <w:szCs w:val="24"/>
        </w:rPr>
        <w:t xml:space="preserve"> </w:t>
      </w:r>
      <w:r w:rsidR="003E73E8">
        <w:rPr>
          <w:rFonts w:ascii="Times New Roman" w:hAnsi="Times New Roman" w:cs="Times New Roman"/>
          <w:sz w:val="24"/>
          <w:szCs w:val="24"/>
        </w:rPr>
        <w:t>S</w:t>
      </w:r>
      <w:r>
        <w:rPr>
          <w:rFonts w:ascii="Times New Roman" w:hAnsi="Times New Roman" w:cs="Times New Roman"/>
          <w:sz w:val="24"/>
          <w:szCs w:val="24"/>
        </w:rPr>
        <w:t>pecifically</w:t>
      </w:r>
      <w:r w:rsidR="003E73E8">
        <w:rPr>
          <w:rFonts w:ascii="Times New Roman" w:hAnsi="Times New Roman" w:cs="Times New Roman"/>
          <w:sz w:val="24"/>
          <w:szCs w:val="24"/>
        </w:rPr>
        <w:t>, we recommend</w:t>
      </w:r>
      <w:r>
        <w:rPr>
          <w:rFonts w:ascii="Times New Roman" w:hAnsi="Times New Roman" w:cs="Times New Roman"/>
          <w:sz w:val="24"/>
          <w:szCs w:val="24"/>
        </w:rPr>
        <w:t xml:space="preserve"> research exploring the relationship between agriculture teachers’ </w:t>
      </w:r>
      <w:r w:rsidR="003E73E8">
        <w:rPr>
          <w:rFonts w:ascii="Times New Roman" w:hAnsi="Times New Roman" w:cs="Times New Roman"/>
          <w:sz w:val="24"/>
          <w:szCs w:val="24"/>
        </w:rPr>
        <w:t>leadership self-efficacy</w:t>
      </w:r>
      <w:r>
        <w:rPr>
          <w:rFonts w:ascii="Times New Roman" w:hAnsi="Times New Roman" w:cs="Times New Roman"/>
          <w:sz w:val="24"/>
          <w:szCs w:val="24"/>
        </w:rPr>
        <w:t xml:space="preserve"> and their ability to </w:t>
      </w:r>
      <w:r w:rsidR="003E73E8">
        <w:rPr>
          <w:rFonts w:ascii="Times New Roman" w:hAnsi="Times New Roman" w:cs="Times New Roman"/>
          <w:sz w:val="24"/>
          <w:szCs w:val="24"/>
        </w:rPr>
        <w:t xml:space="preserve">engage students in the agricultural education classroom. </w:t>
      </w:r>
    </w:p>
    <w:p w:rsidR="007355D9" w:rsidRPr="00931045" w:rsidRDefault="007355D9" w:rsidP="008D5FC7">
      <w:pPr>
        <w:spacing w:after="0" w:line="240" w:lineRule="auto"/>
        <w:jc w:val="center"/>
        <w:rPr>
          <w:rFonts w:ascii="Times New Roman" w:hAnsi="Times New Roman" w:cs="Times New Roman"/>
          <w:b/>
          <w:sz w:val="24"/>
          <w:szCs w:val="24"/>
        </w:rPr>
      </w:pPr>
      <w:r w:rsidRPr="00931045">
        <w:rPr>
          <w:rFonts w:ascii="Times New Roman" w:hAnsi="Times New Roman" w:cs="Times New Roman"/>
          <w:b/>
          <w:sz w:val="24"/>
          <w:szCs w:val="24"/>
        </w:rPr>
        <w:lastRenderedPageBreak/>
        <w:t>References</w:t>
      </w:r>
    </w:p>
    <w:p w:rsidR="008E1A76" w:rsidRDefault="008E1A76" w:rsidP="008E1A76">
      <w:pPr>
        <w:spacing w:after="0"/>
        <w:ind w:left="720" w:hanging="720"/>
        <w:rPr>
          <w:rFonts w:ascii="Times New Roman" w:eastAsia="Times New Roman" w:hAnsi="Times New Roman" w:cs="Times New Roman"/>
          <w:b/>
          <w:color w:val="000000"/>
          <w:sz w:val="24"/>
          <w:szCs w:val="24"/>
        </w:rPr>
      </w:pPr>
    </w:p>
    <w:p w:rsidR="005B347C" w:rsidRDefault="005B347C" w:rsidP="00685520">
      <w:pPr>
        <w:spacing w:after="0" w:line="240" w:lineRule="auto"/>
        <w:ind w:left="720" w:hanging="720"/>
        <w:rPr>
          <w:rFonts w:ascii="Times New Roman" w:hAnsi="Times New Roman" w:cs="Times New Roman"/>
          <w:sz w:val="24"/>
          <w:szCs w:val="24"/>
        </w:rPr>
      </w:pPr>
      <w:r w:rsidRPr="005B347C">
        <w:rPr>
          <w:rFonts w:ascii="Times New Roman" w:hAnsi="Times New Roman" w:cs="Times New Roman"/>
          <w:sz w:val="24"/>
          <w:szCs w:val="24"/>
        </w:rPr>
        <w:t xml:space="preserve">Bandura, A. (1986). </w:t>
      </w:r>
      <w:r w:rsidRPr="005B347C">
        <w:rPr>
          <w:rFonts w:ascii="Times New Roman" w:hAnsi="Times New Roman" w:cs="Times New Roman"/>
          <w:i/>
          <w:sz w:val="24"/>
          <w:szCs w:val="24"/>
        </w:rPr>
        <w:t xml:space="preserve">Social foundations of thought and action: A social cognitive theory. </w:t>
      </w:r>
      <w:r w:rsidRPr="005B347C">
        <w:rPr>
          <w:rFonts w:ascii="Times New Roman" w:hAnsi="Times New Roman" w:cs="Times New Roman"/>
          <w:sz w:val="24"/>
          <w:szCs w:val="24"/>
        </w:rPr>
        <w:t xml:space="preserve">Englewood Cliffs, NJ: Prentice-Hall. </w:t>
      </w:r>
    </w:p>
    <w:p w:rsidR="00685520" w:rsidRPr="005B347C" w:rsidRDefault="00685520" w:rsidP="00685520">
      <w:pPr>
        <w:spacing w:after="0" w:line="240" w:lineRule="auto"/>
        <w:ind w:left="720" w:hanging="720"/>
        <w:rPr>
          <w:rFonts w:ascii="Times New Roman" w:hAnsi="Times New Roman" w:cs="Times New Roman"/>
          <w:sz w:val="24"/>
          <w:szCs w:val="24"/>
        </w:rPr>
      </w:pPr>
    </w:p>
    <w:p w:rsidR="0013232F" w:rsidRDefault="0013232F" w:rsidP="00685520">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Bowen, R. F. (2004). </w:t>
      </w:r>
      <w:proofErr w:type="gramStart"/>
      <w:r>
        <w:rPr>
          <w:rFonts w:ascii="Times New Roman" w:hAnsi="Times New Roman" w:cs="Times New Roman"/>
          <w:sz w:val="24"/>
          <w:szCs w:val="24"/>
        </w:rPr>
        <w:t>Teachers as leaders.</w:t>
      </w:r>
      <w:proofErr w:type="gramEnd"/>
      <w:r>
        <w:rPr>
          <w:rFonts w:ascii="Times New Roman" w:hAnsi="Times New Roman" w:cs="Times New Roman"/>
          <w:sz w:val="24"/>
          <w:szCs w:val="24"/>
        </w:rPr>
        <w:t xml:space="preserve"> </w:t>
      </w:r>
      <w:r w:rsidRPr="0013232F">
        <w:rPr>
          <w:rFonts w:ascii="Times New Roman" w:hAnsi="Times New Roman" w:cs="Times New Roman"/>
          <w:i/>
          <w:sz w:val="24"/>
          <w:szCs w:val="24"/>
        </w:rPr>
        <w:t>The Clearing House, 77</w:t>
      </w:r>
      <w:r>
        <w:rPr>
          <w:rFonts w:ascii="Times New Roman" w:hAnsi="Times New Roman" w:cs="Times New Roman"/>
          <w:sz w:val="24"/>
          <w:szCs w:val="24"/>
        </w:rPr>
        <w:t>(5), 187-189</w:t>
      </w:r>
    </w:p>
    <w:p w:rsidR="00685520" w:rsidRDefault="00685520" w:rsidP="00685520">
      <w:pPr>
        <w:spacing w:after="0" w:line="240" w:lineRule="auto"/>
        <w:ind w:left="720" w:hanging="720"/>
        <w:rPr>
          <w:rFonts w:ascii="Times New Roman" w:hAnsi="Times New Roman" w:cs="Times New Roman"/>
          <w:sz w:val="24"/>
          <w:szCs w:val="24"/>
        </w:rPr>
      </w:pPr>
    </w:p>
    <w:p w:rsidR="002D21FE" w:rsidRDefault="002D21FE" w:rsidP="007C15C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Cohen, J. (1988). </w:t>
      </w:r>
      <w:proofErr w:type="gramStart"/>
      <w:r w:rsidRPr="00C6654E">
        <w:rPr>
          <w:rFonts w:ascii="Times New Roman" w:hAnsi="Times New Roman" w:cs="Times New Roman"/>
          <w:i/>
          <w:sz w:val="24"/>
          <w:szCs w:val="24"/>
        </w:rPr>
        <w:t>Statistical power analysis for the behavioral sciences.</w:t>
      </w:r>
      <w:proofErr w:type="gramEnd"/>
      <w:r>
        <w:rPr>
          <w:rFonts w:ascii="Times New Roman" w:hAnsi="Times New Roman" w:cs="Times New Roman"/>
          <w:sz w:val="24"/>
          <w:szCs w:val="24"/>
        </w:rPr>
        <w:t xml:space="preserve"> Hillsdale, NJ: Erlbaum.</w:t>
      </w:r>
    </w:p>
    <w:p w:rsidR="007C15C9" w:rsidRPr="007C15C9" w:rsidRDefault="007C15C9" w:rsidP="007C15C9">
      <w:pPr>
        <w:spacing w:before="240" w:after="0" w:line="240" w:lineRule="auto"/>
        <w:ind w:left="720" w:hanging="720"/>
        <w:rPr>
          <w:rFonts w:ascii="Times New Roman" w:eastAsia="Times New Roman" w:hAnsi="Times New Roman" w:cs="Times New Roman"/>
          <w:sz w:val="24"/>
          <w:szCs w:val="24"/>
        </w:rPr>
      </w:pPr>
      <w:proofErr w:type="spellStart"/>
      <w:proofErr w:type="gramStart"/>
      <w:r w:rsidRPr="00711BD0">
        <w:rPr>
          <w:rFonts w:ascii="Times New Roman" w:eastAsia="Times New Roman" w:hAnsi="Times New Roman" w:cs="Times New Roman"/>
          <w:sz w:val="24"/>
          <w:szCs w:val="24"/>
        </w:rPr>
        <w:t>Doerfert</w:t>
      </w:r>
      <w:proofErr w:type="spellEnd"/>
      <w:r w:rsidRPr="00711BD0">
        <w:rPr>
          <w:rFonts w:ascii="Times New Roman" w:eastAsia="Times New Roman" w:hAnsi="Times New Roman" w:cs="Times New Roman"/>
          <w:sz w:val="24"/>
          <w:szCs w:val="24"/>
        </w:rPr>
        <w:t>, D. L. (Ed.) (2011).</w:t>
      </w:r>
      <w:proofErr w:type="gramEnd"/>
      <w:r w:rsidRPr="00711BD0">
        <w:rPr>
          <w:rFonts w:ascii="Times New Roman" w:eastAsia="Times New Roman" w:hAnsi="Times New Roman" w:cs="Times New Roman"/>
          <w:sz w:val="24"/>
          <w:szCs w:val="24"/>
        </w:rPr>
        <w:t xml:space="preserve"> </w:t>
      </w:r>
      <w:r w:rsidRPr="00711BD0">
        <w:rPr>
          <w:rFonts w:ascii="Times New Roman" w:eastAsia="Times New Roman" w:hAnsi="Times New Roman" w:cs="Times New Roman"/>
          <w:i/>
          <w:sz w:val="24"/>
          <w:szCs w:val="24"/>
        </w:rPr>
        <w:t xml:space="preserve">National research agenda: American Association for Agricultural Education’s research priority areas for 2011-2015. </w:t>
      </w:r>
      <w:r w:rsidRPr="00711BD0">
        <w:rPr>
          <w:rFonts w:ascii="Times New Roman" w:eastAsia="Times New Roman" w:hAnsi="Times New Roman" w:cs="Times New Roman"/>
          <w:sz w:val="24"/>
          <w:szCs w:val="24"/>
        </w:rPr>
        <w:t xml:space="preserve">Lubbock, TX: Texas Tech </w:t>
      </w:r>
      <w:r w:rsidRPr="007C15C9">
        <w:rPr>
          <w:rFonts w:ascii="Times New Roman" w:eastAsia="Times New Roman" w:hAnsi="Times New Roman" w:cs="Times New Roman"/>
          <w:sz w:val="24"/>
          <w:szCs w:val="24"/>
        </w:rPr>
        <w:t xml:space="preserve">University, Department of Agricultural Education and Communications. Retrieved from </w:t>
      </w:r>
      <w:hyperlink r:id="rId8" w:history="1">
        <w:r w:rsidRPr="007C15C9">
          <w:rPr>
            <w:rStyle w:val="Hyperlink"/>
            <w:rFonts w:ascii="Times New Roman" w:eastAsia="Times New Roman" w:hAnsi="Times New Roman" w:cs="Times New Roman"/>
            <w:color w:val="auto"/>
            <w:sz w:val="24"/>
            <w:szCs w:val="24"/>
            <w:u w:val="none"/>
          </w:rPr>
          <w:t>http://aaaeonline.org/files/research_agenda/AAAE_NRA_%282011-15%29_full_report.pdf</w:t>
        </w:r>
      </w:hyperlink>
    </w:p>
    <w:p w:rsidR="007C15C9" w:rsidRDefault="007C15C9" w:rsidP="00685520">
      <w:pPr>
        <w:spacing w:after="0" w:line="240" w:lineRule="auto"/>
        <w:ind w:left="720" w:hanging="720"/>
        <w:rPr>
          <w:rFonts w:ascii="Times New Roman" w:hAnsi="Times New Roman" w:cs="Times New Roman"/>
          <w:sz w:val="24"/>
          <w:szCs w:val="24"/>
        </w:rPr>
      </w:pPr>
    </w:p>
    <w:p w:rsidR="0013232F" w:rsidRDefault="0013232F" w:rsidP="0068552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Gunter, H. M., McGregor, D., &amp; Gunter, B. (2001).</w:t>
      </w:r>
      <w:proofErr w:type="gramEnd"/>
      <w:r>
        <w:rPr>
          <w:rFonts w:ascii="Times New Roman" w:hAnsi="Times New Roman" w:cs="Times New Roman"/>
          <w:sz w:val="24"/>
          <w:szCs w:val="24"/>
        </w:rPr>
        <w:t xml:space="preserve"> Teachers as leaders: a case study. </w:t>
      </w:r>
      <w:r w:rsidRPr="0013232F">
        <w:rPr>
          <w:rFonts w:ascii="Times New Roman" w:hAnsi="Times New Roman" w:cs="Times New Roman"/>
          <w:i/>
          <w:sz w:val="24"/>
          <w:szCs w:val="24"/>
        </w:rPr>
        <w:t>Management in Education, 15</w:t>
      </w:r>
      <w:r>
        <w:rPr>
          <w:rFonts w:ascii="Times New Roman" w:hAnsi="Times New Roman" w:cs="Times New Roman"/>
          <w:sz w:val="24"/>
          <w:szCs w:val="24"/>
        </w:rPr>
        <w:t xml:space="preserve">(1), 26-28.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10.1177/0892020601500106</w:t>
      </w:r>
    </w:p>
    <w:p w:rsidR="00685520" w:rsidRDefault="00685520" w:rsidP="00685520">
      <w:pPr>
        <w:spacing w:after="0" w:line="240" w:lineRule="auto"/>
        <w:ind w:left="720" w:hanging="720"/>
        <w:rPr>
          <w:rFonts w:ascii="Times New Roman" w:hAnsi="Times New Roman" w:cs="Times New Roman"/>
          <w:sz w:val="24"/>
          <w:szCs w:val="24"/>
        </w:rPr>
      </w:pPr>
    </w:p>
    <w:p w:rsidR="00594038" w:rsidRDefault="00594038" w:rsidP="00685520">
      <w:pPr>
        <w:spacing w:after="0" w:line="240" w:lineRule="auto"/>
        <w:ind w:left="720" w:hanging="720"/>
        <w:rPr>
          <w:rFonts w:ascii="Times New Roman" w:hAnsi="Times New Roman" w:cs="Times New Roman"/>
          <w:sz w:val="24"/>
          <w:szCs w:val="24"/>
        </w:rPr>
      </w:pPr>
      <w:proofErr w:type="gramStart"/>
      <w:r w:rsidRPr="00594038">
        <w:rPr>
          <w:rFonts w:ascii="Times New Roman" w:hAnsi="Times New Roman" w:cs="Times New Roman"/>
          <w:sz w:val="24"/>
          <w:szCs w:val="24"/>
        </w:rPr>
        <w:t>Lieberman, A., &amp; Miller, L. (2005).</w:t>
      </w:r>
      <w:proofErr w:type="gramEnd"/>
      <w:r w:rsidRPr="00594038">
        <w:rPr>
          <w:rFonts w:ascii="Times New Roman" w:hAnsi="Times New Roman" w:cs="Times New Roman"/>
          <w:sz w:val="24"/>
          <w:szCs w:val="24"/>
        </w:rPr>
        <w:t xml:space="preserve"> </w:t>
      </w:r>
      <w:proofErr w:type="gramStart"/>
      <w:r w:rsidRPr="00594038">
        <w:rPr>
          <w:rFonts w:ascii="Times New Roman" w:hAnsi="Times New Roman" w:cs="Times New Roman"/>
          <w:sz w:val="24"/>
          <w:szCs w:val="24"/>
        </w:rPr>
        <w:t>Teachers as leaders.</w:t>
      </w:r>
      <w:proofErr w:type="gramEnd"/>
      <w:r w:rsidRPr="00594038">
        <w:rPr>
          <w:rFonts w:ascii="Times New Roman" w:hAnsi="Times New Roman" w:cs="Times New Roman"/>
          <w:sz w:val="24"/>
          <w:szCs w:val="24"/>
        </w:rPr>
        <w:t xml:space="preserve"> </w:t>
      </w:r>
      <w:r w:rsidRPr="00594038">
        <w:rPr>
          <w:rFonts w:ascii="Times New Roman" w:hAnsi="Times New Roman" w:cs="Times New Roman"/>
          <w:i/>
          <w:sz w:val="24"/>
          <w:szCs w:val="24"/>
        </w:rPr>
        <w:t>The Educational Forum, 69</w:t>
      </w:r>
      <w:r w:rsidRPr="00594038">
        <w:rPr>
          <w:rFonts w:ascii="Times New Roman" w:hAnsi="Times New Roman" w:cs="Times New Roman"/>
          <w:sz w:val="24"/>
          <w:szCs w:val="24"/>
        </w:rPr>
        <w:t>(2)</w:t>
      </w:r>
      <w:r>
        <w:rPr>
          <w:rFonts w:ascii="Times New Roman" w:hAnsi="Times New Roman" w:cs="Times New Roman"/>
          <w:sz w:val="24"/>
          <w:szCs w:val="24"/>
        </w:rPr>
        <w:t xml:space="preserve">, 151-162.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xml:space="preserve">: </w:t>
      </w:r>
      <w:r w:rsidRPr="00594038">
        <w:rPr>
          <w:rFonts w:ascii="Times New Roman" w:hAnsi="Times New Roman" w:cs="Times New Roman"/>
          <w:sz w:val="24"/>
          <w:szCs w:val="24"/>
        </w:rPr>
        <w:t>10.1080/00131720508984679</w:t>
      </w:r>
    </w:p>
    <w:p w:rsidR="00685520" w:rsidRDefault="00685520" w:rsidP="00685520">
      <w:pPr>
        <w:spacing w:after="0" w:line="240" w:lineRule="auto"/>
        <w:ind w:left="720" w:hanging="720"/>
        <w:rPr>
          <w:rFonts w:ascii="Times New Roman" w:hAnsi="Times New Roman" w:cs="Times New Roman"/>
          <w:sz w:val="24"/>
          <w:szCs w:val="24"/>
        </w:rPr>
      </w:pPr>
    </w:p>
    <w:p w:rsidR="005B347C" w:rsidRDefault="005B347C" w:rsidP="0068552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Lindner, J. R., Murphy, T. H., &amp; Briers, G. E.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Handling nonresponse in social science research.</w:t>
      </w:r>
      <w:proofErr w:type="gramEnd"/>
      <w:r>
        <w:rPr>
          <w:rFonts w:ascii="Times New Roman" w:hAnsi="Times New Roman" w:cs="Times New Roman"/>
          <w:sz w:val="24"/>
          <w:szCs w:val="24"/>
        </w:rPr>
        <w:t xml:space="preserve"> </w:t>
      </w:r>
      <w:r w:rsidRPr="00822AEC">
        <w:rPr>
          <w:rFonts w:ascii="Times New Roman" w:hAnsi="Times New Roman" w:cs="Times New Roman"/>
          <w:i/>
          <w:sz w:val="24"/>
          <w:szCs w:val="24"/>
        </w:rPr>
        <w:t>Journal of Agricultural Education, 42</w:t>
      </w:r>
      <w:r>
        <w:rPr>
          <w:rFonts w:ascii="Times New Roman" w:hAnsi="Times New Roman" w:cs="Times New Roman"/>
          <w:sz w:val="24"/>
          <w:szCs w:val="24"/>
        </w:rPr>
        <w:t xml:space="preserve">(4), 43-53.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10.5032/jae.2001.04043</w:t>
      </w:r>
    </w:p>
    <w:p w:rsidR="00685520" w:rsidRDefault="00685520" w:rsidP="00685520">
      <w:pPr>
        <w:spacing w:after="0" w:line="240" w:lineRule="auto"/>
        <w:ind w:left="720" w:hanging="720"/>
        <w:rPr>
          <w:rFonts w:ascii="Times New Roman" w:hAnsi="Times New Roman" w:cs="Times New Roman"/>
          <w:sz w:val="24"/>
          <w:szCs w:val="24"/>
        </w:rPr>
      </w:pPr>
    </w:p>
    <w:p w:rsidR="005B347C" w:rsidRDefault="005B347C" w:rsidP="0068552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Miller, L. E., &amp; Smith, K. L. (1983).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Handling non-response issues.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Extension,</w:t>
      </w:r>
      <w:r w:rsidR="0037273E">
        <w:rPr>
          <w:rFonts w:ascii="Times New Roman" w:hAnsi="Times New Roman" w:cs="Times New Roman"/>
          <w:i/>
          <w:sz w:val="24"/>
          <w:szCs w:val="24"/>
        </w:rPr>
        <w:t xml:space="preserve"> </w:t>
      </w:r>
      <w:r>
        <w:rPr>
          <w:rFonts w:ascii="Times New Roman" w:hAnsi="Times New Roman" w:cs="Times New Roman"/>
          <w:i/>
          <w:sz w:val="24"/>
          <w:szCs w:val="24"/>
        </w:rPr>
        <w:t>21</w:t>
      </w:r>
      <w:r>
        <w:rPr>
          <w:rFonts w:ascii="Times New Roman" w:hAnsi="Times New Roman" w:cs="Times New Roman"/>
          <w:sz w:val="24"/>
          <w:szCs w:val="24"/>
        </w:rPr>
        <w:t>(5), 45-50.</w:t>
      </w:r>
    </w:p>
    <w:p w:rsidR="00685520" w:rsidRPr="0047129A" w:rsidRDefault="00685520" w:rsidP="00685520">
      <w:pPr>
        <w:spacing w:after="0" w:line="240" w:lineRule="auto"/>
        <w:ind w:left="720" w:hanging="720"/>
        <w:rPr>
          <w:rFonts w:ascii="Times New Roman" w:hAnsi="Times New Roman" w:cs="Times New Roman"/>
          <w:sz w:val="24"/>
          <w:szCs w:val="24"/>
        </w:rPr>
      </w:pPr>
    </w:p>
    <w:p w:rsidR="00D14AD1" w:rsidRDefault="00D14AD1" w:rsidP="0068552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Morgan, A. C., Fuhrman, N. E., King, D. L., Flanders, F. B., &amp; Rudd, R. D. (2013).</w:t>
      </w:r>
      <w:proofErr w:type="gramEnd"/>
      <w:r>
        <w:rPr>
          <w:rFonts w:ascii="Times New Roman" w:hAnsi="Times New Roman" w:cs="Times New Roman"/>
          <w:sz w:val="24"/>
          <w:szCs w:val="24"/>
        </w:rPr>
        <w:t xml:space="preserve"> Leadership curriculum and materials used by high school agricultural science teachers: A national study of the pre-</w:t>
      </w:r>
      <w:proofErr w:type="spellStart"/>
      <w:r>
        <w:rPr>
          <w:rFonts w:ascii="Times New Roman" w:hAnsi="Times New Roman" w:cs="Times New Roman"/>
          <w:sz w:val="24"/>
          <w:szCs w:val="24"/>
        </w:rPr>
        <w:t>lifeknowledge</w:t>
      </w:r>
      <w:proofErr w:type="spellEnd"/>
      <w:r>
        <w:rPr>
          <w:rFonts w:ascii="Times New Roman" w:hAnsi="Times New Roman" w:cs="Times New Roman"/>
          <w:sz w:val="24"/>
          <w:szCs w:val="24"/>
        </w:rPr>
        <w:t xml:space="preserve"> days. </w:t>
      </w:r>
      <w:r w:rsidRPr="00D14AD1">
        <w:rPr>
          <w:rFonts w:ascii="Times New Roman" w:hAnsi="Times New Roman" w:cs="Times New Roman"/>
          <w:i/>
          <w:sz w:val="24"/>
          <w:szCs w:val="24"/>
        </w:rPr>
        <w:t>Journal of Agricultural Education, 54</w:t>
      </w:r>
      <w:r>
        <w:rPr>
          <w:rFonts w:ascii="Times New Roman" w:hAnsi="Times New Roman" w:cs="Times New Roman"/>
          <w:sz w:val="24"/>
          <w:szCs w:val="24"/>
        </w:rPr>
        <w:t>(1), 72-83. doi:10.5032/jae.2013.01072.</w:t>
      </w:r>
    </w:p>
    <w:p w:rsidR="00685520" w:rsidRDefault="00685520" w:rsidP="00685520">
      <w:pPr>
        <w:spacing w:after="0" w:line="240" w:lineRule="auto"/>
        <w:ind w:left="720" w:hanging="720"/>
        <w:rPr>
          <w:rFonts w:ascii="Times New Roman" w:hAnsi="Times New Roman" w:cs="Times New Roman"/>
          <w:sz w:val="24"/>
          <w:szCs w:val="24"/>
        </w:rPr>
      </w:pPr>
    </w:p>
    <w:p w:rsidR="0013232F" w:rsidRDefault="0013232F" w:rsidP="0068552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Ross, J. A., &amp; Gray, P. (2006).</w:t>
      </w:r>
      <w:proofErr w:type="gramEnd"/>
      <w:r>
        <w:rPr>
          <w:rFonts w:ascii="Times New Roman" w:hAnsi="Times New Roman" w:cs="Times New Roman"/>
          <w:sz w:val="24"/>
          <w:szCs w:val="24"/>
        </w:rPr>
        <w:t xml:space="preserve"> School leadership and student achievement: The mediating effects of teacher beliefs. </w:t>
      </w:r>
      <w:r w:rsidRPr="0013232F">
        <w:rPr>
          <w:rFonts w:ascii="Times New Roman" w:hAnsi="Times New Roman" w:cs="Times New Roman"/>
          <w:i/>
          <w:sz w:val="24"/>
          <w:szCs w:val="24"/>
        </w:rPr>
        <w:t>Canadian Journal of Education, 29</w:t>
      </w:r>
      <w:r>
        <w:rPr>
          <w:rFonts w:ascii="Times New Roman" w:hAnsi="Times New Roman" w:cs="Times New Roman"/>
          <w:sz w:val="24"/>
          <w:szCs w:val="24"/>
        </w:rPr>
        <w:t xml:space="preserve">(3), 798-822. </w:t>
      </w:r>
    </w:p>
    <w:p w:rsidR="00685520" w:rsidRDefault="00685520" w:rsidP="00685520">
      <w:pPr>
        <w:spacing w:after="0" w:line="240" w:lineRule="auto"/>
        <w:ind w:left="720" w:hanging="720"/>
        <w:rPr>
          <w:rFonts w:ascii="Times New Roman" w:hAnsi="Times New Roman" w:cs="Times New Roman"/>
          <w:sz w:val="24"/>
          <w:szCs w:val="24"/>
        </w:rPr>
      </w:pPr>
    </w:p>
    <w:p w:rsidR="00685520" w:rsidRDefault="00685520" w:rsidP="00685520">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Tschannen</w:t>
      </w:r>
      <w:proofErr w:type="spellEnd"/>
      <w:r>
        <w:rPr>
          <w:rFonts w:ascii="Times New Roman" w:hAnsi="Times New Roman" w:cs="Times New Roman"/>
          <w:sz w:val="24"/>
          <w:szCs w:val="24"/>
        </w:rPr>
        <w:t>-Moran, M., &amp; Woolfolk Hoy, A. (2001).</w:t>
      </w:r>
      <w:proofErr w:type="gramEnd"/>
      <w:r>
        <w:rPr>
          <w:rFonts w:ascii="Times New Roman" w:hAnsi="Times New Roman" w:cs="Times New Roman"/>
          <w:sz w:val="24"/>
          <w:szCs w:val="24"/>
        </w:rPr>
        <w:t xml:space="preserve"> Teacher efficacy: Capturing an elusive construct. </w:t>
      </w:r>
      <w:r>
        <w:rPr>
          <w:rFonts w:ascii="Times New Roman" w:hAnsi="Times New Roman" w:cs="Times New Roman"/>
          <w:i/>
          <w:sz w:val="24"/>
          <w:szCs w:val="24"/>
        </w:rPr>
        <w:t>Teaching and Teacher Education, 17</w:t>
      </w:r>
      <w:r w:rsidR="0037273E" w:rsidRPr="0037273E">
        <w:rPr>
          <w:rFonts w:ascii="Times New Roman" w:hAnsi="Times New Roman" w:cs="Times New Roman"/>
          <w:sz w:val="24"/>
          <w:szCs w:val="24"/>
        </w:rPr>
        <w:t>(1)</w:t>
      </w:r>
      <w:r>
        <w:rPr>
          <w:rFonts w:ascii="Times New Roman" w:hAnsi="Times New Roman" w:cs="Times New Roman"/>
          <w:sz w:val="24"/>
          <w:szCs w:val="24"/>
        </w:rPr>
        <w:t xml:space="preserve">, 783-805.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10.1016/S0742-</w:t>
      </w:r>
    </w:p>
    <w:p w:rsidR="00685520" w:rsidRDefault="00685520" w:rsidP="00685520">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051X(</w:t>
      </w:r>
      <w:proofErr w:type="gramEnd"/>
      <w:r>
        <w:rPr>
          <w:rFonts w:ascii="Times New Roman" w:hAnsi="Times New Roman" w:cs="Times New Roman"/>
          <w:sz w:val="24"/>
          <w:szCs w:val="24"/>
        </w:rPr>
        <w:t>01)00036-1</w:t>
      </w:r>
    </w:p>
    <w:p w:rsidR="00685520" w:rsidRPr="00220A0B" w:rsidRDefault="00685520" w:rsidP="00685520">
      <w:pPr>
        <w:spacing w:after="0" w:line="240" w:lineRule="auto"/>
        <w:ind w:left="720" w:hanging="720"/>
        <w:rPr>
          <w:rFonts w:ascii="Times New Roman" w:hAnsi="Times New Roman" w:cs="Times New Roman"/>
          <w:sz w:val="24"/>
          <w:szCs w:val="24"/>
        </w:rPr>
      </w:pPr>
    </w:p>
    <w:p w:rsidR="00594038" w:rsidRPr="00594038" w:rsidRDefault="00594038" w:rsidP="00685520">
      <w:pPr>
        <w:spacing w:after="0" w:line="240" w:lineRule="auto"/>
        <w:ind w:left="720" w:hanging="720"/>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Urbanski</w:t>
      </w:r>
      <w:proofErr w:type="spellEnd"/>
      <w:r>
        <w:rPr>
          <w:rFonts w:ascii="Times New Roman" w:eastAsia="Times New Roman" w:hAnsi="Times New Roman" w:cs="Times New Roman"/>
          <w:color w:val="000000"/>
          <w:sz w:val="24"/>
          <w:szCs w:val="24"/>
        </w:rPr>
        <w:t xml:space="preserve">, A., &amp; </w:t>
      </w:r>
      <w:proofErr w:type="spellStart"/>
      <w:r>
        <w:rPr>
          <w:rFonts w:ascii="Times New Roman" w:eastAsia="Times New Roman" w:hAnsi="Times New Roman" w:cs="Times New Roman"/>
          <w:color w:val="000000"/>
          <w:sz w:val="24"/>
          <w:szCs w:val="24"/>
        </w:rPr>
        <w:t>Nickolaou</w:t>
      </w:r>
      <w:proofErr w:type="spellEnd"/>
      <w:r>
        <w:rPr>
          <w:rFonts w:ascii="Times New Roman" w:eastAsia="Times New Roman" w:hAnsi="Times New Roman" w:cs="Times New Roman"/>
          <w:color w:val="000000"/>
          <w:sz w:val="24"/>
          <w:szCs w:val="24"/>
        </w:rPr>
        <w:t>, M. B. (1997).</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Reflections on teachers as leaders.</w:t>
      </w:r>
      <w:proofErr w:type="gramEnd"/>
      <w:r>
        <w:rPr>
          <w:rFonts w:ascii="Times New Roman" w:eastAsia="Times New Roman" w:hAnsi="Times New Roman" w:cs="Times New Roman"/>
          <w:color w:val="000000"/>
          <w:sz w:val="24"/>
          <w:szCs w:val="24"/>
        </w:rPr>
        <w:t xml:space="preserve"> </w:t>
      </w:r>
      <w:r w:rsidRPr="00594038">
        <w:rPr>
          <w:rFonts w:ascii="Times New Roman" w:eastAsia="Times New Roman" w:hAnsi="Times New Roman" w:cs="Times New Roman"/>
          <w:i/>
          <w:color w:val="000000"/>
          <w:sz w:val="24"/>
          <w:szCs w:val="24"/>
        </w:rPr>
        <w:t>Educational Policy, 11</w:t>
      </w:r>
      <w:r>
        <w:rPr>
          <w:rFonts w:ascii="Times New Roman" w:eastAsia="Times New Roman" w:hAnsi="Times New Roman" w:cs="Times New Roman"/>
          <w:color w:val="000000"/>
          <w:sz w:val="24"/>
          <w:szCs w:val="24"/>
        </w:rPr>
        <w:t xml:space="preserve">(2), 243-254. </w:t>
      </w:r>
      <w:proofErr w:type="spellStart"/>
      <w:proofErr w:type="gramStart"/>
      <w:r>
        <w:rPr>
          <w:rFonts w:ascii="Times New Roman" w:eastAsia="Times New Roman" w:hAnsi="Times New Roman" w:cs="Times New Roman"/>
          <w:color w:val="000000"/>
          <w:sz w:val="24"/>
          <w:szCs w:val="24"/>
        </w:rPr>
        <w:t>doi</w:t>
      </w:r>
      <w:proofErr w:type="spellEnd"/>
      <w:proofErr w:type="gramEnd"/>
      <w:r>
        <w:rPr>
          <w:rFonts w:ascii="Times New Roman" w:eastAsia="Times New Roman" w:hAnsi="Times New Roman" w:cs="Times New Roman"/>
          <w:color w:val="000000"/>
          <w:sz w:val="24"/>
          <w:szCs w:val="24"/>
        </w:rPr>
        <w:t>:</w:t>
      </w:r>
      <w:r w:rsidR="0037273E" w:rsidRPr="0037273E">
        <w:rPr>
          <w:rFonts w:ascii="Times New Roman" w:eastAsia="Times New Roman" w:hAnsi="Times New Roman" w:cs="Times New Roman"/>
          <w:color w:val="000000"/>
          <w:sz w:val="24"/>
          <w:szCs w:val="24"/>
        </w:rPr>
        <w:t xml:space="preserve"> </w:t>
      </w:r>
      <w:r w:rsidR="0037273E" w:rsidRPr="0001199F">
        <w:rPr>
          <w:rStyle w:val="slug-doi"/>
          <w:rFonts w:ascii="Times New Roman" w:hAnsi="Times New Roman" w:cs="Times New Roman"/>
          <w:sz w:val="24"/>
          <w:szCs w:val="24"/>
        </w:rPr>
        <w:t>10.1177/0895904897011002008</w:t>
      </w:r>
    </w:p>
    <w:sectPr w:rsidR="00594038" w:rsidRPr="0059403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33401C" w15:done="0"/>
  <w15:commentEx w15:paraId="3D7F0C59" w15:done="0"/>
  <w15:commentEx w15:paraId="5D7D606F" w15:done="0"/>
  <w15:commentEx w15:paraId="66BDA981" w15:done="0"/>
  <w15:commentEx w15:paraId="226DD2AF" w15:done="0"/>
  <w15:commentEx w15:paraId="38AB278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BE0" w:rsidRDefault="00143BE0" w:rsidP="0004700A">
      <w:pPr>
        <w:spacing w:after="0" w:line="240" w:lineRule="auto"/>
      </w:pPr>
      <w:r>
        <w:separator/>
      </w:r>
    </w:p>
  </w:endnote>
  <w:endnote w:type="continuationSeparator" w:id="0">
    <w:p w:rsidR="00143BE0" w:rsidRDefault="00143BE0" w:rsidP="00047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BE0" w:rsidRDefault="00143BE0" w:rsidP="0004700A">
      <w:pPr>
        <w:spacing w:after="0" w:line="240" w:lineRule="auto"/>
      </w:pPr>
      <w:r>
        <w:separator/>
      </w:r>
    </w:p>
  </w:footnote>
  <w:footnote w:type="continuationSeparator" w:id="0">
    <w:p w:rsidR="00143BE0" w:rsidRDefault="00143BE0" w:rsidP="000470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9F" w:rsidRDefault="00D359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5D9"/>
    <w:rsid w:val="0001199F"/>
    <w:rsid w:val="0004700A"/>
    <w:rsid w:val="000526E0"/>
    <w:rsid w:val="00075B7F"/>
    <w:rsid w:val="0009632F"/>
    <w:rsid w:val="000B56A2"/>
    <w:rsid w:val="00131F31"/>
    <w:rsid w:val="0013232F"/>
    <w:rsid w:val="00143BE0"/>
    <w:rsid w:val="001807E2"/>
    <w:rsid w:val="001F480A"/>
    <w:rsid w:val="00206E52"/>
    <w:rsid w:val="002202EA"/>
    <w:rsid w:val="0022230F"/>
    <w:rsid w:val="002D21FE"/>
    <w:rsid w:val="002E135F"/>
    <w:rsid w:val="0033300D"/>
    <w:rsid w:val="0037273E"/>
    <w:rsid w:val="003E73E8"/>
    <w:rsid w:val="004051BA"/>
    <w:rsid w:val="004063AB"/>
    <w:rsid w:val="004258E8"/>
    <w:rsid w:val="004421E1"/>
    <w:rsid w:val="00475045"/>
    <w:rsid w:val="00477DA4"/>
    <w:rsid w:val="00477F95"/>
    <w:rsid w:val="004A09F7"/>
    <w:rsid w:val="004A4399"/>
    <w:rsid w:val="004B0C60"/>
    <w:rsid w:val="00507EAA"/>
    <w:rsid w:val="0051227D"/>
    <w:rsid w:val="00513F74"/>
    <w:rsid w:val="005466A6"/>
    <w:rsid w:val="005807F6"/>
    <w:rsid w:val="00594038"/>
    <w:rsid w:val="005B347C"/>
    <w:rsid w:val="00620D9B"/>
    <w:rsid w:val="00627C91"/>
    <w:rsid w:val="006448E0"/>
    <w:rsid w:val="006726E5"/>
    <w:rsid w:val="00685520"/>
    <w:rsid w:val="006B02B9"/>
    <w:rsid w:val="006D0C43"/>
    <w:rsid w:val="006D1A1F"/>
    <w:rsid w:val="006E73CD"/>
    <w:rsid w:val="007153C8"/>
    <w:rsid w:val="007355D9"/>
    <w:rsid w:val="00742E2A"/>
    <w:rsid w:val="00746633"/>
    <w:rsid w:val="00753EDD"/>
    <w:rsid w:val="007A6F12"/>
    <w:rsid w:val="007C0315"/>
    <w:rsid w:val="007C15C9"/>
    <w:rsid w:val="007F5FE5"/>
    <w:rsid w:val="00830328"/>
    <w:rsid w:val="00830A4E"/>
    <w:rsid w:val="00840975"/>
    <w:rsid w:val="0087131D"/>
    <w:rsid w:val="0089743E"/>
    <w:rsid w:val="008C6F1F"/>
    <w:rsid w:val="008C7E82"/>
    <w:rsid w:val="008D5FC7"/>
    <w:rsid w:val="008E1A76"/>
    <w:rsid w:val="00931045"/>
    <w:rsid w:val="00947870"/>
    <w:rsid w:val="00966BEF"/>
    <w:rsid w:val="00971CC1"/>
    <w:rsid w:val="00976CFC"/>
    <w:rsid w:val="009820D9"/>
    <w:rsid w:val="00995107"/>
    <w:rsid w:val="0099713D"/>
    <w:rsid w:val="00997BBD"/>
    <w:rsid w:val="009C2A8C"/>
    <w:rsid w:val="00A307C5"/>
    <w:rsid w:val="00A409F0"/>
    <w:rsid w:val="00A57774"/>
    <w:rsid w:val="00A60D89"/>
    <w:rsid w:val="00A91677"/>
    <w:rsid w:val="00AC6C49"/>
    <w:rsid w:val="00AD212B"/>
    <w:rsid w:val="00AD4177"/>
    <w:rsid w:val="00AF343A"/>
    <w:rsid w:val="00B065C3"/>
    <w:rsid w:val="00B454AE"/>
    <w:rsid w:val="00B47035"/>
    <w:rsid w:val="00B6097B"/>
    <w:rsid w:val="00B65829"/>
    <w:rsid w:val="00B87DCB"/>
    <w:rsid w:val="00BD353A"/>
    <w:rsid w:val="00BE71C7"/>
    <w:rsid w:val="00C007D2"/>
    <w:rsid w:val="00C44A09"/>
    <w:rsid w:val="00CB1C61"/>
    <w:rsid w:val="00CB3FEE"/>
    <w:rsid w:val="00D14AD1"/>
    <w:rsid w:val="00D21AA4"/>
    <w:rsid w:val="00D3599F"/>
    <w:rsid w:val="00D866F7"/>
    <w:rsid w:val="00E24DA6"/>
    <w:rsid w:val="00E76BC3"/>
    <w:rsid w:val="00E859A5"/>
    <w:rsid w:val="00EE6AE8"/>
    <w:rsid w:val="00EE6D8A"/>
    <w:rsid w:val="00F010AA"/>
    <w:rsid w:val="00F23945"/>
    <w:rsid w:val="00F749F9"/>
    <w:rsid w:val="00FB11C8"/>
    <w:rsid w:val="00FF6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11C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E1A76"/>
    <w:rPr>
      <w:color w:val="0000FF" w:themeColor="hyperlink"/>
      <w:u w:val="single"/>
    </w:rPr>
  </w:style>
  <w:style w:type="paragraph" w:styleId="BalloonText">
    <w:name w:val="Balloon Text"/>
    <w:basedOn w:val="Normal"/>
    <w:link w:val="BalloonTextChar"/>
    <w:uiPriority w:val="99"/>
    <w:semiHidden/>
    <w:unhideWhenUsed/>
    <w:rsid w:val="000526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6E0"/>
    <w:rPr>
      <w:rFonts w:ascii="Segoe UI" w:hAnsi="Segoe UI" w:cs="Segoe UI"/>
      <w:sz w:val="18"/>
      <w:szCs w:val="18"/>
    </w:rPr>
  </w:style>
  <w:style w:type="character" w:styleId="CommentReference">
    <w:name w:val="annotation reference"/>
    <w:basedOn w:val="DefaultParagraphFont"/>
    <w:uiPriority w:val="99"/>
    <w:semiHidden/>
    <w:unhideWhenUsed/>
    <w:rsid w:val="00966BEF"/>
    <w:rPr>
      <w:sz w:val="16"/>
      <w:szCs w:val="16"/>
    </w:rPr>
  </w:style>
  <w:style w:type="paragraph" w:styleId="CommentText">
    <w:name w:val="annotation text"/>
    <w:basedOn w:val="Normal"/>
    <w:link w:val="CommentTextChar"/>
    <w:uiPriority w:val="99"/>
    <w:semiHidden/>
    <w:unhideWhenUsed/>
    <w:rsid w:val="00966BEF"/>
    <w:pPr>
      <w:spacing w:line="240" w:lineRule="auto"/>
    </w:pPr>
    <w:rPr>
      <w:sz w:val="20"/>
      <w:szCs w:val="20"/>
    </w:rPr>
  </w:style>
  <w:style w:type="character" w:customStyle="1" w:styleId="CommentTextChar">
    <w:name w:val="Comment Text Char"/>
    <w:basedOn w:val="DefaultParagraphFont"/>
    <w:link w:val="CommentText"/>
    <w:uiPriority w:val="99"/>
    <w:semiHidden/>
    <w:rsid w:val="00966BEF"/>
    <w:rPr>
      <w:sz w:val="20"/>
      <w:szCs w:val="20"/>
    </w:rPr>
  </w:style>
  <w:style w:type="paragraph" w:styleId="CommentSubject">
    <w:name w:val="annotation subject"/>
    <w:basedOn w:val="CommentText"/>
    <w:next w:val="CommentText"/>
    <w:link w:val="CommentSubjectChar"/>
    <w:uiPriority w:val="99"/>
    <w:semiHidden/>
    <w:unhideWhenUsed/>
    <w:rsid w:val="00966BEF"/>
    <w:rPr>
      <w:b/>
      <w:bCs/>
    </w:rPr>
  </w:style>
  <w:style w:type="character" w:customStyle="1" w:styleId="CommentSubjectChar">
    <w:name w:val="Comment Subject Char"/>
    <w:basedOn w:val="CommentTextChar"/>
    <w:link w:val="CommentSubject"/>
    <w:uiPriority w:val="99"/>
    <w:semiHidden/>
    <w:rsid w:val="00966BEF"/>
    <w:rPr>
      <w:b/>
      <w:bCs/>
      <w:sz w:val="20"/>
      <w:szCs w:val="20"/>
    </w:rPr>
  </w:style>
  <w:style w:type="table" w:styleId="TableGrid">
    <w:name w:val="Table Grid"/>
    <w:basedOn w:val="TableNormal"/>
    <w:uiPriority w:val="59"/>
    <w:rsid w:val="004A4399"/>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C2A8C"/>
    <w:rPr>
      <w:b/>
      <w:bCs/>
    </w:rPr>
  </w:style>
  <w:style w:type="character" w:customStyle="1" w:styleId="slug-doi">
    <w:name w:val="slug-doi"/>
    <w:basedOn w:val="DefaultParagraphFont"/>
    <w:rsid w:val="009C2A8C"/>
  </w:style>
  <w:style w:type="paragraph" w:styleId="Header">
    <w:name w:val="header"/>
    <w:basedOn w:val="Normal"/>
    <w:link w:val="HeaderChar"/>
    <w:uiPriority w:val="99"/>
    <w:unhideWhenUsed/>
    <w:rsid w:val="00047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700A"/>
  </w:style>
  <w:style w:type="paragraph" w:styleId="Footer">
    <w:name w:val="footer"/>
    <w:basedOn w:val="Normal"/>
    <w:link w:val="FooterChar"/>
    <w:uiPriority w:val="99"/>
    <w:unhideWhenUsed/>
    <w:rsid w:val="00047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70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11C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E1A76"/>
    <w:rPr>
      <w:color w:val="0000FF" w:themeColor="hyperlink"/>
      <w:u w:val="single"/>
    </w:rPr>
  </w:style>
  <w:style w:type="paragraph" w:styleId="BalloonText">
    <w:name w:val="Balloon Text"/>
    <w:basedOn w:val="Normal"/>
    <w:link w:val="BalloonTextChar"/>
    <w:uiPriority w:val="99"/>
    <w:semiHidden/>
    <w:unhideWhenUsed/>
    <w:rsid w:val="000526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6E0"/>
    <w:rPr>
      <w:rFonts w:ascii="Segoe UI" w:hAnsi="Segoe UI" w:cs="Segoe UI"/>
      <w:sz w:val="18"/>
      <w:szCs w:val="18"/>
    </w:rPr>
  </w:style>
  <w:style w:type="character" w:styleId="CommentReference">
    <w:name w:val="annotation reference"/>
    <w:basedOn w:val="DefaultParagraphFont"/>
    <w:uiPriority w:val="99"/>
    <w:semiHidden/>
    <w:unhideWhenUsed/>
    <w:rsid w:val="00966BEF"/>
    <w:rPr>
      <w:sz w:val="16"/>
      <w:szCs w:val="16"/>
    </w:rPr>
  </w:style>
  <w:style w:type="paragraph" w:styleId="CommentText">
    <w:name w:val="annotation text"/>
    <w:basedOn w:val="Normal"/>
    <w:link w:val="CommentTextChar"/>
    <w:uiPriority w:val="99"/>
    <w:semiHidden/>
    <w:unhideWhenUsed/>
    <w:rsid w:val="00966BEF"/>
    <w:pPr>
      <w:spacing w:line="240" w:lineRule="auto"/>
    </w:pPr>
    <w:rPr>
      <w:sz w:val="20"/>
      <w:szCs w:val="20"/>
    </w:rPr>
  </w:style>
  <w:style w:type="character" w:customStyle="1" w:styleId="CommentTextChar">
    <w:name w:val="Comment Text Char"/>
    <w:basedOn w:val="DefaultParagraphFont"/>
    <w:link w:val="CommentText"/>
    <w:uiPriority w:val="99"/>
    <w:semiHidden/>
    <w:rsid w:val="00966BEF"/>
    <w:rPr>
      <w:sz w:val="20"/>
      <w:szCs w:val="20"/>
    </w:rPr>
  </w:style>
  <w:style w:type="paragraph" w:styleId="CommentSubject">
    <w:name w:val="annotation subject"/>
    <w:basedOn w:val="CommentText"/>
    <w:next w:val="CommentText"/>
    <w:link w:val="CommentSubjectChar"/>
    <w:uiPriority w:val="99"/>
    <w:semiHidden/>
    <w:unhideWhenUsed/>
    <w:rsid w:val="00966BEF"/>
    <w:rPr>
      <w:b/>
      <w:bCs/>
    </w:rPr>
  </w:style>
  <w:style w:type="character" w:customStyle="1" w:styleId="CommentSubjectChar">
    <w:name w:val="Comment Subject Char"/>
    <w:basedOn w:val="CommentTextChar"/>
    <w:link w:val="CommentSubject"/>
    <w:uiPriority w:val="99"/>
    <w:semiHidden/>
    <w:rsid w:val="00966BEF"/>
    <w:rPr>
      <w:b/>
      <w:bCs/>
      <w:sz w:val="20"/>
      <w:szCs w:val="20"/>
    </w:rPr>
  </w:style>
  <w:style w:type="table" w:styleId="TableGrid">
    <w:name w:val="Table Grid"/>
    <w:basedOn w:val="TableNormal"/>
    <w:uiPriority w:val="59"/>
    <w:rsid w:val="004A4399"/>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C2A8C"/>
    <w:rPr>
      <w:b/>
      <w:bCs/>
    </w:rPr>
  </w:style>
  <w:style w:type="character" w:customStyle="1" w:styleId="slug-doi">
    <w:name w:val="slug-doi"/>
    <w:basedOn w:val="DefaultParagraphFont"/>
    <w:rsid w:val="009C2A8C"/>
  </w:style>
  <w:style w:type="paragraph" w:styleId="Header">
    <w:name w:val="header"/>
    <w:basedOn w:val="Normal"/>
    <w:link w:val="HeaderChar"/>
    <w:uiPriority w:val="99"/>
    <w:unhideWhenUsed/>
    <w:rsid w:val="00047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700A"/>
  </w:style>
  <w:style w:type="paragraph" w:styleId="Footer">
    <w:name w:val="footer"/>
    <w:basedOn w:val="Normal"/>
    <w:link w:val="FooterChar"/>
    <w:uiPriority w:val="99"/>
    <w:unhideWhenUsed/>
    <w:rsid w:val="00047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84134">
      <w:bodyDiv w:val="1"/>
      <w:marLeft w:val="0"/>
      <w:marRight w:val="0"/>
      <w:marTop w:val="0"/>
      <w:marBottom w:val="0"/>
      <w:divBdr>
        <w:top w:val="none" w:sz="0" w:space="0" w:color="auto"/>
        <w:left w:val="none" w:sz="0" w:space="0" w:color="auto"/>
        <w:bottom w:val="none" w:sz="0" w:space="0" w:color="auto"/>
        <w:right w:val="none" w:sz="0" w:space="0" w:color="auto"/>
      </w:divBdr>
      <w:divsChild>
        <w:div w:id="187305238">
          <w:marLeft w:val="0"/>
          <w:marRight w:val="0"/>
          <w:marTop w:val="0"/>
          <w:marBottom w:val="0"/>
          <w:divBdr>
            <w:top w:val="none" w:sz="0" w:space="0" w:color="auto"/>
            <w:left w:val="none" w:sz="0" w:space="0" w:color="auto"/>
            <w:bottom w:val="none" w:sz="0" w:space="0" w:color="auto"/>
            <w:right w:val="none" w:sz="0" w:space="0" w:color="auto"/>
          </w:divBdr>
        </w:div>
        <w:div w:id="785084373">
          <w:marLeft w:val="0"/>
          <w:marRight w:val="0"/>
          <w:marTop w:val="0"/>
          <w:marBottom w:val="0"/>
          <w:divBdr>
            <w:top w:val="none" w:sz="0" w:space="0" w:color="auto"/>
            <w:left w:val="none" w:sz="0" w:space="0" w:color="auto"/>
            <w:bottom w:val="none" w:sz="0" w:space="0" w:color="auto"/>
            <w:right w:val="none" w:sz="0" w:space="0" w:color="auto"/>
          </w:divBdr>
        </w:div>
        <w:div w:id="1505626493">
          <w:marLeft w:val="0"/>
          <w:marRight w:val="0"/>
          <w:marTop w:val="0"/>
          <w:marBottom w:val="0"/>
          <w:divBdr>
            <w:top w:val="none" w:sz="0" w:space="0" w:color="auto"/>
            <w:left w:val="none" w:sz="0" w:space="0" w:color="auto"/>
            <w:bottom w:val="none" w:sz="0" w:space="0" w:color="auto"/>
            <w:right w:val="none" w:sz="0" w:space="0" w:color="auto"/>
          </w:divBdr>
        </w:div>
        <w:div w:id="2097431948">
          <w:marLeft w:val="0"/>
          <w:marRight w:val="0"/>
          <w:marTop w:val="0"/>
          <w:marBottom w:val="0"/>
          <w:divBdr>
            <w:top w:val="none" w:sz="0" w:space="0" w:color="auto"/>
            <w:left w:val="none" w:sz="0" w:space="0" w:color="auto"/>
            <w:bottom w:val="none" w:sz="0" w:space="0" w:color="auto"/>
            <w:right w:val="none" w:sz="0" w:space="0" w:color="auto"/>
          </w:divBdr>
        </w:div>
      </w:divsChild>
    </w:div>
    <w:div w:id="277952867">
      <w:bodyDiv w:val="1"/>
      <w:marLeft w:val="0"/>
      <w:marRight w:val="0"/>
      <w:marTop w:val="0"/>
      <w:marBottom w:val="0"/>
      <w:divBdr>
        <w:top w:val="none" w:sz="0" w:space="0" w:color="auto"/>
        <w:left w:val="none" w:sz="0" w:space="0" w:color="auto"/>
        <w:bottom w:val="none" w:sz="0" w:space="0" w:color="auto"/>
        <w:right w:val="none" w:sz="0" w:space="0" w:color="auto"/>
      </w:divBdr>
    </w:div>
    <w:div w:id="337930209">
      <w:bodyDiv w:val="1"/>
      <w:marLeft w:val="0"/>
      <w:marRight w:val="0"/>
      <w:marTop w:val="0"/>
      <w:marBottom w:val="0"/>
      <w:divBdr>
        <w:top w:val="none" w:sz="0" w:space="0" w:color="auto"/>
        <w:left w:val="none" w:sz="0" w:space="0" w:color="auto"/>
        <w:bottom w:val="none" w:sz="0" w:space="0" w:color="auto"/>
        <w:right w:val="none" w:sz="0" w:space="0" w:color="auto"/>
      </w:divBdr>
      <w:divsChild>
        <w:div w:id="968899262">
          <w:marLeft w:val="0"/>
          <w:marRight w:val="0"/>
          <w:marTop w:val="0"/>
          <w:marBottom w:val="0"/>
          <w:divBdr>
            <w:top w:val="none" w:sz="0" w:space="0" w:color="auto"/>
            <w:left w:val="none" w:sz="0" w:space="0" w:color="auto"/>
            <w:bottom w:val="none" w:sz="0" w:space="0" w:color="auto"/>
            <w:right w:val="none" w:sz="0" w:space="0" w:color="auto"/>
          </w:divBdr>
        </w:div>
      </w:divsChild>
    </w:div>
    <w:div w:id="524901134">
      <w:bodyDiv w:val="1"/>
      <w:marLeft w:val="0"/>
      <w:marRight w:val="0"/>
      <w:marTop w:val="0"/>
      <w:marBottom w:val="0"/>
      <w:divBdr>
        <w:top w:val="none" w:sz="0" w:space="0" w:color="auto"/>
        <w:left w:val="none" w:sz="0" w:space="0" w:color="auto"/>
        <w:bottom w:val="none" w:sz="0" w:space="0" w:color="auto"/>
        <w:right w:val="none" w:sz="0" w:space="0" w:color="auto"/>
      </w:divBdr>
      <w:divsChild>
        <w:div w:id="1756828968">
          <w:marLeft w:val="0"/>
          <w:marRight w:val="0"/>
          <w:marTop w:val="0"/>
          <w:marBottom w:val="0"/>
          <w:divBdr>
            <w:top w:val="none" w:sz="0" w:space="0" w:color="auto"/>
            <w:left w:val="none" w:sz="0" w:space="0" w:color="auto"/>
            <w:bottom w:val="none" w:sz="0" w:space="0" w:color="auto"/>
            <w:right w:val="none" w:sz="0" w:space="0" w:color="auto"/>
          </w:divBdr>
        </w:div>
      </w:divsChild>
    </w:div>
    <w:div w:id="541138574">
      <w:bodyDiv w:val="1"/>
      <w:marLeft w:val="0"/>
      <w:marRight w:val="0"/>
      <w:marTop w:val="0"/>
      <w:marBottom w:val="0"/>
      <w:divBdr>
        <w:top w:val="none" w:sz="0" w:space="0" w:color="auto"/>
        <w:left w:val="none" w:sz="0" w:space="0" w:color="auto"/>
        <w:bottom w:val="none" w:sz="0" w:space="0" w:color="auto"/>
        <w:right w:val="none" w:sz="0" w:space="0" w:color="auto"/>
      </w:divBdr>
      <w:divsChild>
        <w:div w:id="1896044991">
          <w:marLeft w:val="0"/>
          <w:marRight w:val="0"/>
          <w:marTop w:val="0"/>
          <w:marBottom w:val="0"/>
          <w:divBdr>
            <w:top w:val="none" w:sz="0" w:space="0" w:color="auto"/>
            <w:left w:val="none" w:sz="0" w:space="0" w:color="auto"/>
            <w:bottom w:val="none" w:sz="0" w:space="0" w:color="auto"/>
            <w:right w:val="none" w:sz="0" w:space="0" w:color="auto"/>
          </w:divBdr>
        </w:div>
        <w:div w:id="453719055">
          <w:marLeft w:val="0"/>
          <w:marRight w:val="0"/>
          <w:marTop w:val="0"/>
          <w:marBottom w:val="0"/>
          <w:divBdr>
            <w:top w:val="none" w:sz="0" w:space="0" w:color="auto"/>
            <w:left w:val="none" w:sz="0" w:space="0" w:color="auto"/>
            <w:bottom w:val="none" w:sz="0" w:space="0" w:color="auto"/>
            <w:right w:val="none" w:sz="0" w:space="0" w:color="auto"/>
          </w:divBdr>
        </w:div>
        <w:div w:id="765805290">
          <w:marLeft w:val="0"/>
          <w:marRight w:val="0"/>
          <w:marTop w:val="0"/>
          <w:marBottom w:val="0"/>
          <w:divBdr>
            <w:top w:val="none" w:sz="0" w:space="0" w:color="auto"/>
            <w:left w:val="none" w:sz="0" w:space="0" w:color="auto"/>
            <w:bottom w:val="none" w:sz="0" w:space="0" w:color="auto"/>
            <w:right w:val="none" w:sz="0" w:space="0" w:color="auto"/>
          </w:divBdr>
        </w:div>
        <w:div w:id="375547363">
          <w:marLeft w:val="0"/>
          <w:marRight w:val="0"/>
          <w:marTop w:val="0"/>
          <w:marBottom w:val="0"/>
          <w:divBdr>
            <w:top w:val="none" w:sz="0" w:space="0" w:color="auto"/>
            <w:left w:val="none" w:sz="0" w:space="0" w:color="auto"/>
            <w:bottom w:val="none" w:sz="0" w:space="0" w:color="auto"/>
            <w:right w:val="none" w:sz="0" w:space="0" w:color="auto"/>
          </w:divBdr>
        </w:div>
        <w:div w:id="1812020426">
          <w:marLeft w:val="0"/>
          <w:marRight w:val="0"/>
          <w:marTop w:val="0"/>
          <w:marBottom w:val="0"/>
          <w:divBdr>
            <w:top w:val="none" w:sz="0" w:space="0" w:color="auto"/>
            <w:left w:val="none" w:sz="0" w:space="0" w:color="auto"/>
            <w:bottom w:val="none" w:sz="0" w:space="0" w:color="auto"/>
            <w:right w:val="none" w:sz="0" w:space="0" w:color="auto"/>
          </w:divBdr>
        </w:div>
      </w:divsChild>
    </w:div>
    <w:div w:id="552230188">
      <w:bodyDiv w:val="1"/>
      <w:marLeft w:val="0"/>
      <w:marRight w:val="0"/>
      <w:marTop w:val="0"/>
      <w:marBottom w:val="0"/>
      <w:divBdr>
        <w:top w:val="none" w:sz="0" w:space="0" w:color="auto"/>
        <w:left w:val="none" w:sz="0" w:space="0" w:color="auto"/>
        <w:bottom w:val="none" w:sz="0" w:space="0" w:color="auto"/>
        <w:right w:val="none" w:sz="0" w:space="0" w:color="auto"/>
      </w:divBdr>
      <w:divsChild>
        <w:div w:id="361981389">
          <w:marLeft w:val="0"/>
          <w:marRight w:val="0"/>
          <w:marTop w:val="0"/>
          <w:marBottom w:val="0"/>
          <w:divBdr>
            <w:top w:val="none" w:sz="0" w:space="0" w:color="auto"/>
            <w:left w:val="none" w:sz="0" w:space="0" w:color="auto"/>
            <w:bottom w:val="none" w:sz="0" w:space="0" w:color="auto"/>
            <w:right w:val="none" w:sz="0" w:space="0" w:color="auto"/>
          </w:divBdr>
        </w:div>
        <w:div w:id="525631077">
          <w:marLeft w:val="0"/>
          <w:marRight w:val="0"/>
          <w:marTop w:val="0"/>
          <w:marBottom w:val="0"/>
          <w:divBdr>
            <w:top w:val="none" w:sz="0" w:space="0" w:color="auto"/>
            <w:left w:val="none" w:sz="0" w:space="0" w:color="auto"/>
            <w:bottom w:val="none" w:sz="0" w:space="0" w:color="auto"/>
            <w:right w:val="none" w:sz="0" w:space="0" w:color="auto"/>
          </w:divBdr>
        </w:div>
        <w:div w:id="568618403">
          <w:marLeft w:val="0"/>
          <w:marRight w:val="0"/>
          <w:marTop w:val="0"/>
          <w:marBottom w:val="0"/>
          <w:divBdr>
            <w:top w:val="none" w:sz="0" w:space="0" w:color="auto"/>
            <w:left w:val="none" w:sz="0" w:space="0" w:color="auto"/>
            <w:bottom w:val="none" w:sz="0" w:space="0" w:color="auto"/>
            <w:right w:val="none" w:sz="0" w:space="0" w:color="auto"/>
          </w:divBdr>
        </w:div>
        <w:div w:id="1060903265">
          <w:marLeft w:val="0"/>
          <w:marRight w:val="0"/>
          <w:marTop w:val="0"/>
          <w:marBottom w:val="0"/>
          <w:divBdr>
            <w:top w:val="none" w:sz="0" w:space="0" w:color="auto"/>
            <w:left w:val="none" w:sz="0" w:space="0" w:color="auto"/>
            <w:bottom w:val="none" w:sz="0" w:space="0" w:color="auto"/>
            <w:right w:val="none" w:sz="0" w:space="0" w:color="auto"/>
          </w:divBdr>
        </w:div>
      </w:divsChild>
    </w:div>
    <w:div w:id="1383867989">
      <w:bodyDiv w:val="1"/>
      <w:marLeft w:val="0"/>
      <w:marRight w:val="0"/>
      <w:marTop w:val="0"/>
      <w:marBottom w:val="0"/>
      <w:divBdr>
        <w:top w:val="none" w:sz="0" w:space="0" w:color="auto"/>
        <w:left w:val="none" w:sz="0" w:space="0" w:color="auto"/>
        <w:bottom w:val="none" w:sz="0" w:space="0" w:color="auto"/>
        <w:right w:val="none" w:sz="0" w:space="0" w:color="auto"/>
      </w:divBdr>
      <w:divsChild>
        <w:div w:id="200165829">
          <w:marLeft w:val="0"/>
          <w:marRight w:val="0"/>
          <w:marTop w:val="0"/>
          <w:marBottom w:val="0"/>
          <w:divBdr>
            <w:top w:val="none" w:sz="0" w:space="0" w:color="auto"/>
            <w:left w:val="none" w:sz="0" w:space="0" w:color="auto"/>
            <w:bottom w:val="none" w:sz="0" w:space="0" w:color="auto"/>
            <w:right w:val="none" w:sz="0" w:space="0" w:color="auto"/>
          </w:divBdr>
        </w:div>
        <w:div w:id="705760909">
          <w:marLeft w:val="0"/>
          <w:marRight w:val="0"/>
          <w:marTop w:val="0"/>
          <w:marBottom w:val="0"/>
          <w:divBdr>
            <w:top w:val="none" w:sz="0" w:space="0" w:color="auto"/>
            <w:left w:val="none" w:sz="0" w:space="0" w:color="auto"/>
            <w:bottom w:val="none" w:sz="0" w:space="0" w:color="auto"/>
            <w:right w:val="none" w:sz="0" w:space="0" w:color="auto"/>
          </w:divBdr>
        </w:div>
        <w:div w:id="994146334">
          <w:marLeft w:val="0"/>
          <w:marRight w:val="0"/>
          <w:marTop w:val="0"/>
          <w:marBottom w:val="0"/>
          <w:divBdr>
            <w:top w:val="none" w:sz="0" w:space="0" w:color="auto"/>
            <w:left w:val="none" w:sz="0" w:space="0" w:color="auto"/>
            <w:bottom w:val="none" w:sz="0" w:space="0" w:color="auto"/>
            <w:right w:val="none" w:sz="0" w:space="0" w:color="auto"/>
          </w:divBdr>
        </w:div>
      </w:divsChild>
    </w:div>
    <w:div w:id="1444152292">
      <w:bodyDiv w:val="1"/>
      <w:marLeft w:val="0"/>
      <w:marRight w:val="0"/>
      <w:marTop w:val="0"/>
      <w:marBottom w:val="0"/>
      <w:divBdr>
        <w:top w:val="none" w:sz="0" w:space="0" w:color="auto"/>
        <w:left w:val="none" w:sz="0" w:space="0" w:color="auto"/>
        <w:bottom w:val="none" w:sz="0" w:space="0" w:color="auto"/>
        <w:right w:val="none" w:sz="0" w:space="0" w:color="auto"/>
      </w:divBdr>
      <w:divsChild>
        <w:div w:id="705637482">
          <w:marLeft w:val="0"/>
          <w:marRight w:val="0"/>
          <w:marTop w:val="0"/>
          <w:marBottom w:val="0"/>
          <w:divBdr>
            <w:top w:val="none" w:sz="0" w:space="0" w:color="auto"/>
            <w:left w:val="none" w:sz="0" w:space="0" w:color="auto"/>
            <w:bottom w:val="none" w:sz="0" w:space="0" w:color="auto"/>
            <w:right w:val="none" w:sz="0" w:space="0" w:color="auto"/>
          </w:divBdr>
        </w:div>
        <w:div w:id="1651984020">
          <w:marLeft w:val="0"/>
          <w:marRight w:val="0"/>
          <w:marTop w:val="0"/>
          <w:marBottom w:val="0"/>
          <w:divBdr>
            <w:top w:val="none" w:sz="0" w:space="0" w:color="auto"/>
            <w:left w:val="none" w:sz="0" w:space="0" w:color="auto"/>
            <w:bottom w:val="none" w:sz="0" w:space="0" w:color="auto"/>
            <w:right w:val="none" w:sz="0" w:space="0" w:color="auto"/>
          </w:divBdr>
        </w:div>
        <w:div w:id="748697311">
          <w:marLeft w:val="0"/>
          <w:marRight w:val="0"/>
          <w:marTop w:val="0"/>
          <w:marBottom w:val="0"/>
          <w:divBdr>
            <w:top w:val="none" w:sz="0" w:space="0" w:color="auto"/>
            <w:left w:val="none" w:sz="0" w:space="0" w:color="auto"/>
            <w:bottom w:val="none" w:sz="0" w:space="0" w:color="auto"/>
            <w:right w:val="none" w:sz="0" w:space="0" w:color="auto"/>
          </w:divBdr>
        </w:div>
        <w:div w:id="308172096">
          <w:marLeft w:val="0"/>
          <w:marRight w:val="0"/>
          <w:marTop w:val="0"/>
          <w:marBottom w:val="0"/>
          <w:divBdr>
            <w:top w:val="none" w:sz="0" w:space="0" w:color="auto"/>
            <w:left w:val="none" w:sz="0" w:space="0" w:color="auto"/>
            <w:bottom w:val="none" w:sz="0" w:space="0" w:color="auto"/>
            <w:right w:val="none" w:sz="0" w:space="0" w:color="auto"/>
          </w:divBdr>
        </w:div>
        <w:div w:id="613100492">
          <w:marLeft w:val="0"/>
          <w:marRight w:val="0"/>
          <w:marTop w:val="0"/>
          <w:marBottom w:val="0"/>
          <w:divBdr>
            <w:top w:val="none" w:sz="0" w:space="0" w:color="auto"/>
            <w:left w:val="none" w:sz="0" w:space="0" w:color="auto"/>
            <w:bottom w:val="none" w:sz="0" w:space="0" w:color="auto"/>
            <w:right w:val="none" w:sz="0" w:space="0" w:color="auto"/>
          </w:divBdr>
        </w:div>
      </w:divsChild>
    </w:div>
    <w:div w:id="1531381936">
      <w:bodyDiv w:val="1"/>
      <w:marLeft w:val="0"/>
      <w:marRight w:val="0"/>
      <w:marTop w:val="0"/>
      <w:marBottom w:val="0"/>
      <w:divBdr>
        <w:top w:val="none" w:sz="0" w:space="0" w:color="auto"/>
        <w:left w:val="none" w:sz="0" w:space="0" w:color="auto"/>
        <w:bottom w:val="none" w:sz="0" w:space="0" w:color="auto"/>
        <w:right w:val="none" w:sz="0" w:space="0" w:color="auto"/>
      </w:divBdr>
    </w:div>
    <w:div w:id="1983849127">
      <w:bodyDiv w:val="1"/>
      <w:marLeft w:val="0"/>
      <w:marRight w:val="0"/>
      <w:marTop w:val="0"/>
      <w:marBottom w:val="0"/>
      <w:divBdr>
        <w:top w:val="none" w:sz="0" w:space="0" w:color="auto"/>
        <w:left w:val="none" w:sz="0" w:space="0" w:color="auto"/>
        <w:bottom w:val="none" w:sz="0" w:space="0" w:color="auto"/>
        <w:right w:val="none" w:sz="0" w:space="0" w:color="auto"/>
      </w:divBdr>
      <w:divsChild>
        <w:div w:id="46417957">
          <w:marLeft w:val="0"/>
          <w:marRight w:val="0"/>
          <w:marTop w:val="0"/>
          <w:marBottom w:val="0"/>
          <w:divBdr>
            <w:top w:val="none" w:sz="0" w:space="0" w:color="auto"/>
            <w:left w:val="none" w:sz="0" w:space="0" w:color="auto"/>
            <w:bottom w:val="none" w:sz="0" w:space="0" w:color="auto"/>
            <w:right w:val="none" w:sz="0" w:space="0" w:color="auto"/>
          </w:divBdr>
        </w:div>
        <w:div w:id="1090157366">
          <w:marLeft w:val="0"/>
          <w:marRight w:val="0"/>
          <w:marTop w:val="0"/>
          <w:marBottom w:val="0"/>
          <w:divBdr>
            <w:top w:val="none" w:sz="0" w:space="0" w:color="auto"/>
            <w:left w:val="none" w:sz="0" w:space="0" w:color="auto"/>
            <w:bottom w:val="none" w:sz="0" w:space="0" w:color="auto"/>
            <w:right w:val="none" w:sz="0" w:space="0" w:color="auto"/>
          </w:divBdr>
        </w:div>
        <w:div w:id="1991783711">
          <w:marLeft w:val="0"/>
          <w:marRight w:val="0"/>
          <w:marTop w:val="0"/>
          <w:marBottom w:val="0"/>
          <w:divBdr>
            <w:top w:val="none" w:sz="0" w:space="0" w:color="auto"/>
            <w:left w:val="none" w:sz="0" w:space="0" w:color="auto"/>
            <w:bottom w:val="none" w:sz="0" w:space="0" w:color="auto"/>
            <w:right w:val="none" w:sz="0" w:space="0" w:color="auto"/>
          </w:divBdr>
        </w:div>
      </w:divsChild>
    </w:div>
    <w:div w:id="2139057958">
      <w:bodyDiv w:val="1"/>
      <w:marLeft w:val="0"/>
      <w:marRight w:val="0"/>
      <w:marTop w:val="0"/>
      <w:marBottom w:val="0"/>
      <w:divBdr>
        <w:top w:val="none" w:sz="0" w:space="0" w:color="auto"/>
        <w:left w:val="none" w:sz="0" w:space="0" w:color="auto"/>
        <w:bottom w:val="none" w:sz="0" w:space="0" w:color="auto"/>
        <w:right w:val="none" w:sz="0" w:space="0" w:color="auto"/>
      </w:divBdr>
      <w:divsChild>
        <w:div w:id="293099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aaeonline.org/files/research_agenda/AAAE_NRA_%282011-15%29_full_report.pdf"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D735A-F922-45F6-9712-37FD15B53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2014-05-13T20:50:00Z</dcterms:created>
  <dcterms:modified xsi:type="dcterms:W3CDTF">2014-05-13T20:50:00Z</dcterms:modified>
</cp:coreProperties>
</file>