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46D0" w:rsidRDefault="006946D0"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5655BB" w:rsidRDefault="005655BB"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6E28B7" w:rsidP="0019073F">
      <w:pPr>
        <w:jc w:val="center"/>
        <w:rPr>
          <w:rFonts w:asciiTheme="majorHAnsi" w:hAnsiTheme="majorHAnsi"/>
          <w:sz w:val="24"/>
          <w:szCs w:val="24"/>
        </w:rPr>
      </w:pPr>
      <w:r>
        <w:rPr>
          <w:rFonts w:asciiTheme="majorHAnsi" w:hAnsiTheme="majorHAnsi"/>
          <w:sz w:val="24"/>
          <w:szCs w:val="24"/>
        </w:rPr>
        <w:t>Statewide Agricultural Education Initiative</w:t>
      </w:r>
    </w:p>
    <w:p w:rsidR="0019073F" w:rsidRDefault="0019073F" w:rsidP="0019073F">
      <w:pPr>
        <w:jc w:val="center"/>
        <w:rPr>
          <w:rFonts w:asciiTheme="majorHAnsi" w:hAnsiTheme="majorHAnsi"/>
          <w:sz w:val="24"/>
          <w:szCs w:val="24"/>
        </w:rPr>
      </w:pPr>
    </w:p>
    <w:p w:rsidR="005655BB" w:rsidRDefault="005655BB"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19073F" w:rsidRDefault="0019073F" w:rsidP="0019073F">
      <w:pPr>
        <w:jc w:val="center"/>
        <w:rPr>
          <w:rFonts w:asciiTheme="majorHAnsi" w:hAnsiTheme="majorHAnsi"/>
          <w:sz w:val="24"/>
          <w:szCs w:val="24"/>
        </w:rPr>
      </w:pPr>
    </w:p>
    <w:p w:rsidR="003400DE" w:rsidRDefault="0019073F" w:rsidP="0019073F">
      <w:pPr>
        <w:jc w:val="center"/>
        <w:rPr>
          <w:rFonts w:asciiTheme="majorHAnsi" w:hAnsiTheme="majorHAnsi"/>
          <w:sz w:val="24"/>
          <w:szCs w:val="24"/>
        </w:rPr>
      </w:pPr>
      <w:r>
        <w:rPr>
          <w:rFonts w:asciiTheme="majorHAnsi" w:hAnsiTheme="majorHAnsi"/>
          <w:sz w:val="24"/>
          <w:szCs w:val="24"/>
        </w:rPr>
        <w:t>Dr. Allison J. L. Touchstone</w:t>
      </w:r>
      <w:r>
        <w:rPr>
          <w:rFonts w:asciiTheme="majorHAnsi" w:hAnsiTheme="majorHAnsi"/>
          <w:sz w:val="24"/>
          <w:szCs w:val="24"/>
        </w:rPr>
        <w:br/>
        <w:t>University of Idaho</w:t>
      </w:r>
      <w:r>
        <w:rPr>
          <w:rFonts w:asciiTheme="majorHAnsi" w:hAnsiTheme="majorHAnsi"/>
          <w:sz w:val="24"/>
          <w:szCs w:val="24"/>
        </w:rPr>
        <w:br/>
        <w:t>Department of Agricultural Education and 4-H Youth Development</w:t>
      </w:r>
    </w:p>
    <w:p w:rsidR="0019073F" w:rsidRDefault="005655BB" w:rsidP="0064003F">
      <w:pPr>
        <w:tabs>
          <w:tab w:val="center" w:pos="2880"/>
          <w:tab w:val="center" w:pos="7200"/>
        </w:tabs>
        <w:jc w:val="center"/>
        <w:rPr>
          <w:rFonts w:asciiTheme="majorHAnsi" w:hAnsiTheme="majorHAnsi"/>
          <w:sz w:val="24"/>
          <w:szCs w:val="24"/>
        </w:rPr>
      </w:pPr>
      <w:r>
        <w:rPr>
          <w:rFonts w:asciiTheme="majorHAnsi" w:hAnsiTheme="majorHAnsi"/>
          <w:sz w:val="24"/>
          <w:szCs w:val="24"/>
        </w:rPr>
        <w:t>322 East Front Street, Suite 440</w:t>
      </w:r>
      <w:r w:rsidR="0019073F">
        <w:rPr>
          <w:rFonts w:asciiTheme="majorHAnsi" w:hAnsiTheme="majorHAnsi"/>
          <w:sz w:val="24"/>
          <w:szCs w:val="24"/>
        </w:rPr>
        <w:br/>
      </w:r>
      <w:r>
        <w:rPr>
          <w:rFonts w:asciiTheme="majorHAnsi" w:hAnsiTheme="majorHAnsi"/>
          <w:sz w:val="24"/>
          <w:szCs w:val="24"/>
        </w:rPr>
        <w:t>Boise, ID  83702</w:t>
      </w:r>
    </w:p>
    <w:p w:rsidR="0019073F" w:rsidRDefault="0019073F" w:rsidP="0064003F">
      <w:pPr>
        <w:tabs>
          <w:tab w:val="center" w:pos="2880"/>
          <w:tab w:val="center" w:pos="7200"/>
        </w:tabs>
        <w:jc w:val="center"/>
        <w:rPr>
          <w:rFonts w:asciiTheme="majorHAnsi" w:hAnsiTheme="majorHAnsi"/>
          <w:sz w:val="24"/>
          <w:szCs w:val="24"/>
        </w:rPr>
      </w:pPr>
      <w:r>
        <w:rPr>
          <w:rFonts w:asciiTheme="majorHAnsi" w:hAnsiTheme="majorHAnsi"/>
          <w:sz w:val="24"/>
          <w:szCs w:val="24"/>
        </w:rPr>
        <w:t>(208) 364-4543</w:t>
      </w:r>
      <w:r>
        <w:rPr>
          <w:rFonts w:asciiTheme="majorHAnsi" w:hAnsiTheme="majorHAnsi"/>
          <w:sz w:val="24"/>
          <w:szCs w:val="24"/>
        </w:rPr>
        <w:br/>
      </w:r>
      <w:hyperlink r:id="rId8" w:history="1">
        <w:r w:rsidRPr="00973680">
          <w:rPr>
            <w:rStyle w:val="Hyperlink"/>
            <w:rFonts w:asciiTheme="majorHAnsi" w:hAnsiTheme="majorHAnsi"/>
            <w:sz w:val="24"/>
            <w:szCs w:val="24"/>
          </w:rPr>
          <w:t>atouchstone@uidaho.edu</w:t>
        </w:r>
      </w:hyperlink>
      <w:r w:rsidR="0064003F">
        <w:rPr>
          <w:rFonts w:asciiTheme="majorHAnsi" w:hAnsiTheme="majorHAnsi"/>
          <w:sz w:val="24"/>
          <w:szCs w:val="24"/>
        </w:rPr>
        <w:t xml:space="preserve"> </w:t>
      </w:r>
    </w:p>
    <w:p w:rsidR="0019073F" w:rsidRDefault="0019073F" w:rsidP="005655BB">
      <w:pPr>
        <w:rPr>
          <w:rFonts w:asciiTheme="majorHAnsi" w:hAnsiTheme="majorHAnsi"/>
          <w:sz w:val="24"/>
          <w:szCs w:val="24"/>
        </w:rPr>
      </w:pPr>
      <w:r>
        <w:rPr>
          <w:rFonts w:asciiTheme="majorHAnsi" w:hAnsiTheme="majorHAnsi"/>
          <w:sz w:val="24"/>
          <w:szCs w:val="24"/>
        </w:rPr>
        <w:br w:type="page"/>
      </w:r>
    </w:p>
    <w:p w:rsidR="0019073F" w:rsidRPr="004F58FF" w:rsidRDefault="0064003F" w:rsidP="0019073F">
      <w:pPr>
        <w:jc w:val="center"/>
        <w:rPr>
          <w:rFonts w:asciiTheme="majorHAnsi" w:hAnsiTheme="majorHAnsi"/>
          <w:b/>
          <w:i/>
          <w:sz w:val="24"/>
          <w:szCs w:val="24"/>
        </w:rPr>
      </w:pPr>
      <w:r>
        <w:rPr>
          <w:rFonts w:asciiTheme="majorHAnsi" w:hAnsiTheme="majorHAnsi"/>
          <w:b/>
          <w:i/>
          <w:sz w:val="24"/>
          <w:szCs w:val="24"/>
        </w:rPr>
        <w:lastRenderedPageBreak/>
        <w:t>Statewide Agricultural Education Initiative</w:t>
      </w:r>
    </w:p>
    <w:p w:rsidR="004F58FF" w:rsidRDefault="004F58FF" w:rsidP="004F58FF">
      <w:pPr>
        <w:spacing w:after="0" w:line="240" w:lineRule="auto"/>
        <w:rPr>
          <w:rFonts w:asciiTheme="majorHAnsi" w:hAnsiTheme="majorHAnsi"/>
          <w:b/>
          <w:sz w:val="24"/>
          <w:szCs w:val="24"/>
        </w:rPr>
      </w:pPr>
      <w:r>
        <w:rPr>
          <w:rFonts w:asciiTheme="majorHAnsi" w:hAnsiTheme="majorHAnsi"/>
          <w:b/>
          <w:sz w:val="24"/>
          <w:szCs w:val="24"/>
        </w:rPr>
        <w:t>Introduction/Need for the idea</w:t>
      </w:r>
    </w:p>
    <w:p w:rsidR="00B15C4B" w:rsidRPr="00B15C4B" w:rsidRDefault="0064003F"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Federal, state, and local funding has been a consistent concern for career and technical education programs, and specifically agricultural education programs, since their inception.  [State] has provided added cost funding to all career and technical education programs at levels appropriate for the program in question.  However, due to recent economic downturns, the level of added cost funding </w:t>
      </w:r>
      <w:r w:rsidR="0068114B">
        <w:rPr>
          <w:rFonts w:asciiTheme="majorHAnsi" w:hAnsiTheme="majorHAnsi"/>
          <w:sz w:val="24"/>
          <w:szCs w:val="24"/>
        </w:rPr>
        <w:t>has not increased since 1998 (State Division of Professional-Technical Education, 2014).  During summer conference 2013, the state agriculture teachers’ association voted to explore the possibility of developing and supporting a legislative initiative to increase the level of state funding provided to operate secondary agricultural education programs.</w:t>
      </w:r>
    </w:p>
    <w:p w:rsidR="00B15C4B" w:rsidRDefault="00B15C4B" w:rsidP="00B15C4B">
      <w:pPr>
        <w:autoSpaceDE w:val="0"/>
        <w:autoSpaceDN w:val="0"/>
        <w:adjustRightInd w:val="0"/>
        <w:spacing w:after="0" w:line="240" w:lineRule="auto"/>
        <w:rPr>
          <w:rFonts w:asciiTheme="majorHAnsi" w:hAnsiTheme="majorHAnsi"/>
          <w:sz w:val="24"/>
          <w:szCs w:val="24"/>
        </w:rPr>
      </w:pPr>
    </w:p>
    <w:p w:rsidR="004F58FF" w:rsidRPr="004F58FF" w:rsidRDefault="004F58FF"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How It Works/Methodology/Program Phases and Steps</w:t>
      </w:r>
    </w:p>
    <w:p w:rsidR="00ED55D6" w:rsidRDefault="0068114B"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The [State] Vocational Agriculture Teachers’ Association brought the concept of the legislative initiative to [State] Team Ag Ed for input and implementation.  A committee was formed that included secondary teachers, state staff, and teacher educators to establish priority areas for the initiative prior to contacting key legislators to sponsor the writing and proposal of the bill.  Working with legislators supports Priority Area1:  Public and Policy Maker Understanding </w:t>
      </w:r>
      <w:proofErr w:type="gramStart"/>
      <w:r>
        <w:rPr>
          <w:rFonts w:asciiTheme="majorHAnsi" w:hAnsiTheme="majorHAnsi"/>
          <w:sz w:val="24"/>
          <w:szCs w:val="24"/>
        </w:rPr>
        <w:t>About</w:t>
      </w:r>
      <w:proofErr w:type="gramEnd"/>
      <w:r>
        <w:rPr>
          <w:rFonts w:asciiTheme="majorHAnsi" w:hAnsiTheme="majorHAnsi"/>
          <w:sz w:val="24"/>
          <w:szCs w:val="24"/>
        </w:rPr>
        <w:t xml:space="preserve"> Agriculture and Natural Resources and the goals of the initiative support Priority Area 5: Programs of Demonstrable Efficiency and Effectiveness</w:t>
      </w:r>
      <w:r w:rsidR="00ED55D6">
        <w:rPr>
          <w:rFonts w:asciiTheme="majorHAnsi" w:hAnsiTheme="majorHAnsi"/>
          <w:sz w:val="24"/>
          <w:szCs w:val="24"/>
        </w:rPr>
        <w:t xml:space="preserve"> of the </w:t>
      </w:r>
      <w:r w:rsidR="00ED55D6">
        <w:rPr>
          <w:rFonts w:asciiTheme="majorHAnsi" w:hAnsiTheme="majorHAnsi"/>
          <w:i/>
          <w:sz w:val="24"/>
          <w:szCs w:val="24"/>
        </w:rPr>
        <w:t>National Research Agenda</w:t>
      </w:r>
      <w:r w:rsidR="00ED55D6">
        <w:rPr>
          <w:rFonts w:asciiTheme="majorHAnsi" w:hAnsiTheme="majorHAnsi"/>
          <w:sz w:val="24"/>
          <w:szCs w:val="24"/>
        </w:rPr>
        <w:t xml:space="preserve"> (Doerfert, 2011).  </w:t>
      </w:r>
    </w:p>
    <w:p w:rsidR="00E31CEB" w:rsidRDefault="00E31CEB" w:rsidP="00B15C4B">
      <w:pPr>
        <w:autoSpaceDE w:val="0"/>
        <w:autoSpaceDN w:val="0"/>
        <w:adjustRightInd w:val="0"/>
        <w:spacing w:after="0" w:line="240" w:lineRule="auto"/>
        <w:rPr>
          <w:rFonts w:asciiTheme="majorHAnsi" w:hAnsiTheme="majorHAnsi"/>
          <w:sz w:val="24"/>
          <w:szCs w:val="24"/>
        </w:rPr>
      </w:pPr>
    </w:p>
    <w:p w:rsidR="00E31CEB" w:rsidRDefault="00E31CEB"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The Initiative Steering Committee established five goals/priority areas for the initiative ([State] Ag Ed Initiative, 2014):</w:t>
      </w:r>
    </w:p>
    <w:p w:rsidR="00E31CEB" w:rsidRDefault="00E31CEB" w:rsidP="00E31CEB">
      <w:pPr>
        <w:pStyle w:val="ListParagraph"/>
        <w:numPr>
          <w:ilvl w:val="0"/>
          <w:numId w:val="1"/>
        </w:num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Adjust and fully fund added cost allocations</w:t>
      </w:r>
    </w:p>
    <w:p w:rsidR="00E31CEB" w:rsidRDefault="00E31CEB" w:rsidP="00E31CEB">
      <w:pPr>
        <w:pStyle w:val="ListParagraph"/>
        <w:numPr>
          <w:ilvl w:val="0"/>
          <w:numId w:val="1"/>
        </w:num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Restore full time [State] FFA Association Executive Director Position</w:t>
      </w:r>
    </w:p>
    <w:p w:rsidR="00E31CEB" w:rsidRDefault="00E31CEB" w:rsidP="00E31CEB">
      <w:pPr>
        <w:pStyle w:val="ListParagraph"/>
        <w:numPr>
          <w:ilvl w:val="0"/>
          <w:numId w:val="1"/>
        </w:num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Expand statewide professional development and mentoring program</w:t>
      </w:r>
    </w:p>
    <w:p w:rsidR="00E31CEB" w:rsidRDefault="00E31CEB" w:rsidP="00E31CEB">
      <w:pPr>
        <w:pStyle w:val="ListParagraph"/>
        <w:numPr>
          <w:ilvl w:val="0"/>
          <w:numId w:val="1"/>
        </w:num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Implement [State] Quality Program Standards and incentive grants</w:t>
      </w:r>
    </w:p>
    <w:p w:rsidR="00E31CEB" w:rsidRPr="00E31CEB" w:rsidRDefault="00E31CEB" w:rsidP="00E31CEB">
      <w:pPr>
        <w:pStyle w:val="ListParagraph"/>
        <w:numPr>
          <w:ilvl w:val="0"/>
          <w:numId w:val="1"/>
        </w:num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Create a pilot for agriculture and natural resource education program start up grants</w:t>
      </w:r>
    </w:p>
    <w:p w:rsidR="00493407" w:rsidRDefault="00493407" w:rsidP="00B15C4B">
      <w:pPr>
        <w:autoSpaceDE w:val="0"/>
        <w:autoSpaceDN w:val="0"/>
        <w:adjustRightInd w:val="0"/>
        <w:spacing w:after="0" w:line="240" w:lineRule="auto"/>
        <w:rPr>
          <w:rFonts w:asciiTheme="majorHAnsi" w:hAnsiTheme="majorHAnsi"/>
          <w:sz w:val="24"/>
          <w:szCs w:val="24"/>
        </w:rPr>
      </w:pPr>
    </w:p>
    <w:p w:rsidR="005F2E8F" w:rsidRDefault="00E31CEB"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A grant was received from the </w:t>
      </w:r>
      <w:r w:rsidR="00F109B2">
        <w:rPr>
          <w:rFonts w:asciiTheme="majorHAnsi" w:hAnsiTheme="majorHAnsi"/>
          <w:sz w:val="24"/>
          <w:szCs w:val="24"/>
        </w:rPr>
        <w:t xml:space="preserve">J. R. </w:t>
      </w:r>
      <w:r>
        <w:rPr>
          <w:rFonts w:asciiTheme="majorHAnsi" w:hAnsiTheme="majorHAnsi"/>
          <w:sz w:val="24"/>
          <w:szCs w:val="24"/>
        </w:rPr>
        <w:t xml:space="preserve">Simplot </w:t>
      </w:r>
      <w:r w:rsidR="00F109B2">
        <w:rPr>
          <w:rFonts w:asciiTheme="majorHAnsi" w:hAnsiTheme="majorHAnsi"/>
          <w:sz w:val="24"/>
          <w:szCs w:val="24"/>
        </w:rPr>
        <w:t>Company</w:t>
      </w:r>
      <w:r>
        <w:rPr>
          <w:rFonts w:asciiTheme="majorHAnsi" w:hAnsiTheme="majorHAnsi"/>
          <w:sz w:val="24"/>
          <w:szCs w:val="24"/>
        </w:rPr>
        <w:t xml:space="preserve"> to hire an advocate for the initiative who would see the project through proposal to the legislature, the legislative session, and final implementation of the components of the initiative.  The selected individual was a former [State] FFA President who has been a lobbyist and staffer in Congress and currently owns her own consulting form.  Her understanding of agricultural education and the legislative process served as a major asset to the initiative.  Once the goals and lobbyist were in place, Senators and Representatives who have been long term supporters of agricultural education were contacted about the potential of sponsoring the proposal in 2015.  The targeted legislators encouraged Team Ag Ed to propose the legislation in 2014.  As a result, Team Ag Ed with the primary support of the [State] Alumni Association established 5 round table meetings throughout the state to gather stakeholder input on the contents of the initiative and </w:t>
      </w:r>
      <w:r w:rsidR="00DC5C38">
        <w:rPr>
          <w:rFonts w:asciiTheme="majorHAnsi" w:hAnsiTheme="majorHAnsi"/>
          <w:sz w:val="24"/>
          <w:szCs w:val="24"/>
        </w:rPr>
        <w:t xml:space="preserve">secure stakeholder support of the initiative.  Over 300 stakeholders from the agricultural industry attended the round table meetings and over </w:t>
      </w:r>
      <w:r w:rsidR="00153866">
        <w:rPr>
          <w:rFonts w:asciiTheme="majorHAnsi" w:hAnsiTheme="majorHAnsi"/>
          <w:sz w:val="24"/>
          <w:szCs w:val="24"/>
        </w:rPr>
        <w:t>90</w:t>
      </w:r>
      <w:r w:rsidR="00DC5C38">
        <w:rPr>
          <w:rFonts w:asciiTheme="majorHAnsi" w:hAnsiTheme="majorHAnsi"/>
          <w:sz w:val="24"/>
          <w:szCs w:val="24"/>
        </w:rPr>
        <w:t xml:space="preserve"> agricultural businesses added their names and logos in support of the initiative </w:t>
      </w:r>
      <w:r w:rsidR="00DC5C38">
        <w:rPr>
          <w:rFonts w:asciiTheme="majorHAnsi" w:hAnsiTheme="majorHAnsi"/>
          <w:sz w:val="24"/>
          <w:szCs w:val="24"/>
        </w:rPr>
        <w:t xml:space="preserve">([State] Ag </w:t>
      </w:r>
      <w:r w:rsidR="00DC5C38">
        <w:rPr>
          <w:rFonts w:asciiTheme="majorHAnsi" w:hAnsiTheme="majorHAnsi"/>
          <w:sz w:val="24"/>
          <w:szCs w:val="24"/>
        </w:rPr>
        <w:lastRenderedPageBreak/>
        <w:t>Ed Initiative, 2014)</w:t>
      </w:r>
      <w:r w:rsidR="00DC5C38">
        <w:rPr>
          <w:rFonts w:asciiTheme="majorHAnsi" w:hAnsiTheme="majorHAnsi"/>
          <w:sz w:val="24"/>
          <w:szCs w:val="24"/>
        </w:rPr>
        <w:t>.</w:t>
      </w:r>
      <w:r w:rsidR="002E2E82">
        <w:rPr>
          <w:rFonts w:asciiTheme="majorHAnsi" w:hAnsiTheme="majorHAnsi"/>
          <w:sz w:val="24"/>
          <w:szCs w:val="24"/>
        </w:rPr>
        <w:t xml:space="preserve">  </w:t>
      </w:r>
      <w:bookmarkStart w:id="0" w:name="_GoBack"/>
      <w:bookmarkEnd w:id="0"/>
      <w:r w:rsidR="005F2E8F">
        <w:rPr>
          <w:rFonts w:asciiTheme="majorHAnsi" w:hAnsiTheme="majorHAnsi"/>
          <w:sz w:val="24"/>
          <w:szCs w:val="24"/>
        </w:rPr>
        <w:t xml:space="preserve">One bill was sent through the legislature which addressed incentive grants which would be awarded based on secondary instructor scores on the Idaho Quality Program Standards and program implementation grants.  Additionally, added cost funds were addressed in the [State] Division of Professional Technical Education budget for agricultural education programs and all other CTE program areas.  The [State] FFA Association Executive Director Position was added to the University of [State] College of Agricultural and Life Sciences budget.  The mentoring and professional development priority was not addressed by the legislature as </w:t>
      </w:r>
      <w:r w:rsidR="00153866">
        <w:rPr>
          <w:rFonts w:asciiTheme="majorHAnsi" w:hAnsiTheme="majorHAnsi"/>
          <w:sz w:val="24"/>
          <w:szCs w:val="24"/>
        </w:rPr>
        <w:t>agricultural education has access to the [State] Department of Education mentoring program funds.</w:t>
      </w:r>
    </w:p>
    <w:p w:rsidR="00E31CEB" w:rsidRDefault="00E31CEB" w:rsidP="00B15C4B">
      <w:pPr>
        <w:autoSpaceDE w:val="0"/>
        <w:autoSpaceDN w:val="0"/>
        <w:adjustRightInd w:val="0"/>
        <w:spacing w:after="0" w:line="240" w:lineRule="auto"/>
        <w:rPr>
          <w:rFonts w:asciiTheme="majorHAnsi" w:hAnsiTheme="majorHAnsi"/>
          <w:sz w:val="24"/>
          <w:szCs w:val="24"/>
        </w:rPr>
      </w:pPr>
    </w:p>
    <w:p w:rsidR="00493407" w:rsidRPr="00493407" w:rsidRDefault="00493407"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Results to Date/Implications</w:t>
      </w:r>
    </w:p>
    <w:p w:rsidR="00CF1684" w:rsidRDefault="00153866"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 xml:space="preserve">Senate Bill 1275 funding the Agricultural Education Incentive Grants and Program Implementation Grants passed the House and Senate nearly unanimously and was signed into law by the Governor on April 1, 2014.  Teachers who meet the minimum qualifications and ratings on the [State] Quality Program Standards will qualify for $10,000 incentive grants which are renewable annually.  It is anticipated that up to 40% of [State] teachers will qualify in the first year.  School districts starting new agricultural education programs can qualify for up to $25,000 in implementation grant moneys.  State added cost fund allocation for agricultural education programs were increased from $10,260 per FTE to $15,000 per FTE, a 46% increase for FY15 which was placed in the state PTE budget along with a 5% increase for all other program areas.  The [State] FFA Association Executive Director position was added to the College of Agricultural and Life Sciences budget and included $85,000 for salary, benefits, travel, equipment and supplies for the FY15 budget.  </w:t>
      </w:r>
    </w:p>
    <w:p w:rsidR="00153866" w:rsidRDefault="00153866" w:rsidP="00B15C4B">
      <w:pPr>
        <w:autoSpaceDE w:val="0"/>
        <w:autoSpaceDN w:val="0"/>
        <w:adjustRightInd w:val="0"/>
        <w:spacing w:after="0" w:line="240" w:lineRule="auto"/>
        <w:rPr>
          <w:rFonts w:asciiTheme="majorHAnsi" w:hAnsiTheme="majorHAnsi"/>
          <w:sz w:val="24"/>
          <w:szCs w:val="24"/>
        </w:rPr>
      </w:pPr>
    </w:p>
    <w:p w:rsidR="00CF1684" w:rsidRDefault="00CF1684"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Future Plans/Advice to Others</w:t>
      </w:r>
    </w:p>
    <w:p w:rsidR="00CF1684" w:rsidRDefault="00153866" w:rsidP="00B15C4B">
      <w:pPr>
        <w:autoSpaceDE w:val="0"/>
        <w:autoSpaceDN w:val="0"/>
        <w:adjustRightInd w:val="0"/>
        <w:spacing w:after="0" w:line="240" w:lineRule="auto"/>
        <w:rPr>
          <w:rFonts w:asciiTheme="majorHAnsi" w:hAnsiTheme="majorHAnsi"/>
          <w:sz w:val="24"/>
          <w:szCs w:val="24"/>
        </w:rPr>
      </w:pPr>
      <w:r>
        <w:rPr>
          <w:rFonts w:asciiTheme="majorHAnsi" w:hAnsiTheme="majorHAnsi"/>
          <w:sz w:val="24"/>
          <w:szCs w:val="24"/>
        </w:rPr>
        <w:t>The next two tears will be key to determining the continuation of the [State] Agricultural Education Initiative.  The [State] Quality Program</w:t>
      </w:r>
      <w:r w:rsidR="003B2669">
        <w:rPr>
          <w:rFonts w:asciiTheme="majorHAnsi" w:hAnsiTheme="majorHAnsi"/>
          <w:sz w:val="24"/>
          <w:szCs w:val="24"/>
        </w:rPr>
        <w:t xml:space="preserve"> Standards and quality indicators are currently being developed by a committee including a secondary teacher, state staff, and teacher educator.  Input is being gathered from all stakeholders and the final draft will go to the [State] Board of Education in July.  The rules for distribution of grants are being developed by the state department of education and will go the State Board for approval this fall.  Increased added cost funds will be distributed to programs in October as part of FY 15 and the State FFA Executive Director position is currently advertised and will </w:t>
      </w:r>
      <w:proofErr w:type="spellStart"/>
      <w:r w:rsidR="003B2669">
        <w:rPr>
          <w:rFonts w:asciiTheme="majorHAnsi" w:hAnsiTheme="majorHAnsi"/>
          <w:sz w:val="24"/>
          <w:szCs w:val="24"/>
        </w:rPr>
        <w:t>by</w:t>
      </w:r>
      <w:proofErr w:type="spellEnd"/>
      <w:r w:rsidR="003B2669">
        <w:rPr>
          <w:rFonts w:asciiTheme="majorHAnsi" w:hAnsiTheme="majorHAnsi"/>
          <w:sz w:val="24"/>
          <w:szCs w:val="24"/>
        </w:rPr>
        <w:t xml:space="preserve"> filled by July 1, 2014.  Other states attempting a similar initiative should be sure to have all stakeholders in support of the concept and then select key legislators to support and sponsor the bill(s).  Secondary teachers, FFA members, and industry supporters were also key in testifying to the legislature and gaining their support.  Industry support, both in the form of the grant for the lobbyist and publicity for the initiative were also key in its success.</w:t>
      </w:r>
    </w:p>
    <w:p w:rsidR="003B2669" w:rsidRDefault="003B2669" w:rsidP="00B15C4B">
      <w:pPr>
        <w:autoSpaceDE w:val="0"/>
        <w:autoSpaceDN w:val="0"/>
        <w:adjustRightInd w:val="0"/>
        <w:spacing w:after="0" w:line="240" w:lineRule="auto"/>
        <w:rPr>
          <w:rFonts w:asciiTheme="majorHAnsi" w:hAnsiTheme="majorHAnsi"/>
          <w:sz w:val="24"/>
          <w:szCs w:val="24"/>
        </w:rPr>
      </w:pPr>
    </w:p>
    <w:p w:rsidR="00CF1684" w:rsidRDefault="00CF1684" w:rsidP="00B15C4B">
      <w:pPr>
        <w:autoSpaceDE w:val="0"/>
        <w:autoSpaceDN w:val="0"/>
        <w:adjustRightInd w:val="0"/>
        <w:spacing w:after="0" w:line="240" w:lineRule="auto"/>
        <w:rPr>
          <w:rFonts w:asciiTheme="majorHAnsi" w:hAnsiTheme="majorHAnsi"/>
          <w:b/>
          <w:sz w:val="24"/>
          <w:szCs w:val="24"/>
        </w:rPr>
      </w:pPr>
      <w:r>
        <w:rPr>
          <w:rFonts w:asciiTheme="majorHAnsi" w:hAnsiTheme="majorHAnsi"/>
          <w:b/>
          <w:sz w:val="24"/>
          <w:szCs w:val="24"/>
        </w:rPr>
        <w:t>Costs and Resources</w:t>
      </w:r>
    </w:p>
    <w:p w:rsidR="00B15C4B" w:rsidRDefault="003B2669" w:rsidP="00F109B2">
      <w:pPr>
        <w:autoSpaceDE w:val="0"/>
        <w:autoSpaceDN w:val="0"/>
        <w:adjustRightInd w:val="0"/>
        <w:spacing w:after="0" w:line="240" w:lineRule="auto"/>
        <w:rPr>
          <w:rFonts w:ascii="Times-Roman" w:hAnsi="Times-Roman" w:cs="Times-Roman"/>
          <w:sz w:val="24"/>
          <w:szCs w:val="24"/>
        </w:rPr>
      </w:pPr>
      <w:r>
        <w:rPr>
          <w:rFonts w:asciiTheme="majorHAnsi" w:hAnsiTheme="majorHAnsi"/>
          <w:sz w:val="24"/>
          <w:szCs w:val="24"/>
        </w:rPr>
        <w:t>The key resources for the initiative were people willing to spend their time supporting the initiative.  The</w:t>
      </w:r>
      <w:r w:rsidR="00F109B2">
        <w:rPr>
          <w:rFonts w:asciiTheme="majorHAnsi" w:hAnsiTheme="majorHAnsi"/>
          <w:sz w:val="24"/>
          <w:szCs w:val="24"/>
        </w:rPr>
        <w:t xml:space="preserve"> $12,500</w:t>
      </w:r>
      <w:r>
        <w:rPr>
          <w:rFonts w:asciiTheme="majorHAnsi" w:hAnsiTheme="majorHAnsi"/>
          <w:sz w:val="24"/>
          <w:szCs w:val="24"/>
        </w:rPr>
        <w:t xml:space="preserve"> grant from </w:t>
      </w:r>
      <w:r w:rsidR="00F109B2">
        <w:rPr>
          <w:rFonts w:asciiTheme="majorHAnsi" w:hAnsiTheme="majorHAnsi"/>
          <w:sz w:val="24"/>
          <w:szCs w:val="24"/>
        </w:rPr>
        <w:t xml:space="preserve">J. R. </w:t>
      </w:r>
      <w:r>
        <w:rPr>
          <w:rFonts w:asciiTheme="majorHAnsi" w:hAnsiTheme="majorHAnsi"/>
          <w:sz w:val="24"/>
          <w:szCs w:val="24"/>
        </w:rPr>
        <w:t xml:space="preserve">Simplot </w:t>
      </w:r>
      <w:r w:rsidR="00F109B2">
        <w:rPr>
          <w:rFonts w:asciiTheme="majorHAnsi" w:hAnsiTheme="majorHAnsi"/>
          <w:sz w:val="24"/>
          <w:szCs w:val="24"/>
        </w:rPr>
        <w:t>Company was used to cover the cost of the lobbyist and roundtable events throughout the state.</w:t>
      </w:r>
      <w:r w:rsidR="002E2E82">
        <w:rPr>
          <w:rFonts w:asciiTheme="majorHAnsi" w:hAnsiTheme="majorHAnsi"/>
          <w:sz w:val="24"/>
          <w:szCs w:val="24"/>
        </w:rPr>
        <w:t xml:space="preserve">  Cost to the state to fund the project totaled approximately $250,000.00.</w:t>
      </w:r>
      <w:r w:rsidR="002E2E82">
        <w:rPr>
          <w:rFonts w:ascii="Times-Roman" w:hAnsi="Times-Roman" w:cs="Times-Roman"/>
          <w:sz w:val="24"/>
          <w:szCs w:val="24"/>
        </w:rPr>
        <w:t xml:space="preserve"> </w:t>
      </w:r>
      <w:r w:rsidR="00B15C4B">
        <w:rPr>
          <w:rFonts w:ascii="Times-Roman" w:hAnsi="Times-Roman" w:cs="Times-Roman"/>
          <w:sz w:val="24"/>
          <w:szCs w:val="24"/>
        </w:rPr>
        <w:br w:type="page"/>
      </w:r>
    </w:p>
    <w:p w:rsidR="00ED55D6" w:rsidRDefault="00ED55D6" w:rsidP="00ED55D6">
      <w:pPr>
        <w:autoSpaceDE w:val="0"/>
        <w:autoSpaceDN w:val="0"/>
        <w:adjustRightInd w:val="0"/>
        <w:spacing w:after="0" w:line="240" w:lineRule="auto"/>
        <w:ind w:left="720" w:hanging="720"/>
        <w:rPr>
          <w:rFonts w:asciiTheme="majorHAnsi" w:hAnsiTheme="majorHAnsi"/>
          <w:sz w:val="24"/>
          <w:szCs w:val="24"/>
        </w:rPr>
      </w:pPr>
    </w:p>
    <w:p w:rsidR="008E3ED2" w:rsidRPr="008E3ED2" w:rsidRDefault="008E3ED2" w:rsidP="008E3ED2">
      <w:pPr>
        <w:autoSpaceDE w:val="0"/>
        <w:autoSpaceDN w:val="0"/>
        <w:adjustRightInd w:val="0"/>
        <w:spacing w:after="0" w:line="240" w:lineRule="auto"/>
        <w:ind w:left="720" w:hanging="720"/>
        <w:jc w:val="center"/>
        <w:rPr>
          <w:rFonts w:asciiTheme="majorHAnsi" w:hAnsiTheme="majorHAnsi"/>
          <w:b/>
          <w:sz w:val="24"/>
          <w:szCs w:val="24"/>
        </w:rPr>
      </w:pPr>
      <w:r>
        <w:rPr>
          <w:rFonts w:asciiTheme="majorHAnsi" w:hAnsiTheme="majorHAnsi"/>
          <w:b/>
          <w:sz w:val="24"/>
          <w:szCs w:val="24"/>
        </w:rPr>
        <w:t>References</w:t>
      </w:r>
    </w:p>
    <w:p w:rsidR="008E3ED2" w:rsidRDefault="008E3ED2" w:rsidP="00ED55D6">
      <w:pPr>
        <w:autoSpaceDE w:val="0"/>
        <w:autoSpaceDN w:val="0"/>
        <w:adjustRightInd w:val="0"/>
        <w:spacing w:after="0" w:line="240" w:lineRule="auto"/>
        <w:ind w:left="720" w:hanging="720"/>
        <w:rPr>
          <w:rFonts w:asciiTheme="majorHAnsi" w:hAnsiTheme="majorHAnsi"/>
          <w:sz w:val="24"/>
          <w:szCs w:val="24"/>
        </w:rPr>
      </w:pPr>
    </w:p>
    <w:p w:rsidR="00F109B2" w:rsidRPr="00250EDD" w:rsidRDefault="00F109B2" w:rsidP="00F109B2">
      <w:pPr>
        <w:pStyle w:val="EndNoteBibliography"/>
        <w:ind w:left="720" w:hanging="720"/>
        <w:jc w:val="left"/>
      </w:pPr>
      <w:r w:rsidRPr="00250EDD">
        <w:t xml:space="preserve">2014 Initiative for Secondary Agricultural Education Improvement. (2014).   Retrieved April 2, 2014, 2014, from </w:t>
      </w:r>
      <w:hyperlink r:id="rId9" w:history="1">
        <w:r w:rsidRPr="00250EDD">
          <w:rPr>
            <w:rStyle w:val="Hyperlink"/>
          </w:rPr>
          <w:t>http://[state]agedinitiative.com/</w:t>
        </w:r>
      </w:hyperlink>
    </w:p>
    <w:p w:rsidR="00F109B2" w:rsidRDefault="00F109B2" w:rsidP="00ED55D6">
      <w:pPr>
        <w:autoSpaceDE w:val="0"/>
        <w:autoSpaceDN w:val="0"/>
        <w:adjustRightInd w:val="0"/>
        <w:spacing w:after="0" w:line="240" w:lineRule="auto"/>
        <w:ind w:left="720" w:hanging="720"/>
        <w:rPr>
          <w:rFonts w:asciiTheme="majorHAnsi" w:hAnsiTheme="majorHAnsi"/>
          <w:sz w:val="24"/>
          <w:szCs w:val="24"/>
        </w:rPr>
      </w:pPr>
    </w:p>
    <w:p w:rsidR="00ED55D6" w:rsidRDefault="00ED55D6" w:rsidP="00ED55D6">
      <w:pPr>
        <w:autoSpaceDE w:val="0"/>
        <w:autoSpaceDN w:val="0"/>
        <w:adjustRightInd w:val="0"/>
        <w:spacing w:after="0" w:line="240" w:lineRule="auto"/>
        <w:ind w:left="720" w:hanging="720"/>
        <w:rPr>
          <w:rFonts w:asciiTheme="majorHAnsi" w:hAnsiTheme="majorHAnsi"/>
          <w:sz w:val="24"/>
          <w:szCs w:val="24"/>
        </w:rPr>
      </w:pPr>
      <w:proofErr w:type="spellStart"/>
      <w:r w:rsidRPr="00ED55D6">
        <w:rPr>
          <w:rFonts w:asciiTheme="majorHAnsi" w:hAnsiTheme="majorHAnsi"/>
          <w:sz w:val="24"/>
          <w:szCs w:val="24"/>
        </w:rPr>
        <w:t>Doerfert</w:t>
      </w:r>
      <w:proofErr w:type="spellEnd"/>
      <w:r w:rsidRPr="00ED55D6">
        <w:rPr>
          <w:rFonts w:asciiTheme="majorHAnsi" w:hAnsiTheme="majorHAnsi"/>
          <w:sz w:val="24"/>
          <w:szCs w:val="24"/>
        </w:rPr>
        <w:t>, D. L. ed. (2011). National research agenda: American association for agricultural education's research priority areas for 2011-2015. Lubbock, TX: Texas Tech University, Department of Agricultural Education and Communications.</w:t>
      </w:r>
    </w:p>
    <w:p w:rsidR="00ED55D6" w:rsidRPr="00ED55D6" w:rsidRDefault="00ED55D6" w:rsidP="00ED55D6">
      <w:pPr>
        <w:autoSpaceDE w:val="0"/>
        <w:autoSpaceDN w:val="0"/>
        <w:adjustRightInd w:val="0"/>
        <w:spacing w:after="0" w:line="240" w:lineRule="auto"/>
        <w:ind w:left="720" w:hanging="720"/>
        <w:rPr>
          <w:rFonts w:asciiTheme="majorHAnsi" w:hAnsiTheme="majorHAnsi"/>
          <w:sz w:val="24"/>
          <w:szCs w:val="24"/>
        </w:rPr>
      </w:pPr>
    </w:p>
    <w:p w:rsidR="0019073F" w:rsidRPr="0019073F" w:rsidRDefault="0019073F" w:rsidP="0019073F">
      <w:pPr>
        <w:jc w:val="center"/>
        <w:rPr>
          <w:rFonts w:asciiTheme="majorHAnsi" w:hAnsiTheme="majorHAnsi"/>
          <w:sz w:val="24"/>
          <w:szCs w:val="24"/>
        </w:rPr>
      </w:pPr>
    </w:p>
    <w:sectPr w:rsidR="0019073F" w:rsidRPr="0019073F" w:rsidSect="0019073F">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77ED" w:rsidRDefault="00C877ED" w:rsidP="0019073F">
      <w:pPr>
        <w:spacing w:after="0" w:line="240" w:lineRule="auto"/>
      </w:pPr>
      <w:r>
        <w:separator/>
      </w:r>
    </w:p>
  </w:endnote>
  <w:endnote w:type="continuationSeparator" w:id="0">
    <w:p w:rsidR="00C877ED" w:rsidRDefault="00C877ED" w:rsidP="00190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77ED" w:rsidRDefault="00C877ED" w:rsidP="0019073F">
      <w:pPr>
        <w:spacing w:after="0" w:line="240" w:lineRule="auto"/>
      </w:pPr>
      <w:r>
        <w:separator/>
      </w:r>
    </w:p>
  </w:footnote>
  <w:footnote w:type="continuationSeparator" w:id="0">
    <w:p w:rsidR="00C877ED" w:rsidRDefault="00C877ED" w:rsidP="001907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073F" w:rsidRPr="00994843" w:rsidRDefault="00313AE4" w:rsidP="0019073F">
    <w:pPr>
      <w:pStyle w:val="Header"/>
      <w:jc w:val="right"/>
      <w:rPr>
        <w:rFonts w:asciiTheme="majorHAnsi" w:hAnsiTheme="majorHAnsi"/>
        <w:sz w:val="24"/>
      </w:rPr>
    </w:pPr>
    <w:r>
      <w:rPr>
        <w:rFonts w:asciiTheme="majorHAnsi" w:hAnsiTheme="majorHAnsi"/>
        <w:sz w:val="24"/>
      </w:rPr>
      <w:t>Innovative Idea Poster</w:t>
    </w:r>
  </w:p>
  <w:p w:rsidR="0019073F" w:rsidRPr="00994843" w:rsidRDefault="0019073F" w:rsidP="0019073F">
    <w:pPr>
      <w:pStyle w:val="Header"/>
      <w:jc w:val="right"/>
      <w:rPr>
        <w:rFonts w:asciiTheme="majorHAnsi" w:hAnsiTheme="majorHAnsi"/>
        <w:sz w:val="24"/>
      </w:rPr>
    </w:pPr>
    <w:r w:rsidRPr="00994843">
      <w:rPr>
        <w:rFonts w:asciiTheme="majorHAnsi" w:hAnsiTheme="majorHAnsi"/>
        <w:sz w:val="24"/>
      </w:rPr>
      <w:t>201</w:t>
    </w:r>
    <w:r w:rsidR="0064003F">
      <w:rPr>
        <w:rFonts w:asciiTheme="majorHAnsi" w:hAnsiTheme="majorHAnsi"/>
        <w:sz w:val="24"/>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22C03"/>
    <w:multiLevelType w:val="hybridMultilevel"/>
    <w:tmpl w:val="0F78B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73F"/>
    <w:rsid w:val="0005550D"/>
    <w:rsid w:val="00062868"/>
    <w:rsid w:val="00146582"/>
    <w:rsid w:val="00153866"/>
    <w:rsid w:val="00175CD8"/>
    <w:rsid w:val="0019073F"/>
    <w:rsid w:val="002E2E82"/>
    <w:rsid w:val="00313AE4"/>
    <w:rsid w:val="003400DE"/>
    <w:rsid w:val="003B2669"/>
    <w:rsid w:val="003D58DF"/>
    <w:rsid w:val="00493407"/>
    <w:rsid w:val="004949A0"/>
    <w:rsid w:val="004F58FF"/>
    <w:rsid w:val="005655BB"/>
    <w:rsid w:val="005F2E8F"/>
    <w:rsid w:val="0064003F"/>
    <w:rsid w:val="0068114B"/>
    <w:rsid w:val="006946D0"/>
    <w:rsid w:val="006E28B7"/>
    <w:rsid w:val="00743424"/>
    <w:rsid w:val="007D117A"/>
    <w:rsid w:val="008E3ED2"/>
    <w:rsid w:val="00994843"/>
    <w:rsid w:val="00B15C4B"/>
    <w:rsid w:val="00BB1DAB"/>
    <w:rsid w:val="00BB2D59"/>
    <w:rsid w:val="00C877ED"/>
    <w:rsid w:val="00CF1684"/>
    <w:rsid w:val="00DC5C38"/>
    <w:rsid w:val="00E04E24"/>
    <w:rsid w:val="00E31CEB"/>
    <w:rsid w:val="00ED55D6"/>
    <w:rsid w:val="00F10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3493E0-384D-40EF-8E48-7296E9CE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073F"/>
    <w:rPr>
      <w:color w:val="0000FF" w:themeColor="hyperlink"/>
      <w:u w:val="single"/>
    </w:rPr>
  </w:style>
  <w:style w:type="paragraph" w:styleId="Header">
    <w:name w:val="header"/>
    <w:basedOn w:val="Normal"/>
    <w:link w:val="HeaderChar"/>
    <w:uiPriority w:val="99"/>
    <w:unhideWhenUsed/>
    <w:rsid w:val="001907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073F"/>
  </w:style>
  <w:style w:type="paragraph" w:styleId="Footer">
    <w:name w:val="footer"/>
    <w:basedOn w:val="Normal"/>
    <w:link w:val="FooterChar"/>
    <w:uiPriority w:val="99"/>
    <w:unhideWhenUsed/>
    <w:rsid w:val="001907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073F"/>
  </w:style>
  <w:style w:type="paragraph" w:styleId="ListParagraph">
    <w:name w:val="List Paragraph"/>
    <w:basedOn w:val="Normal"/>
    <w:uiPriority w:val="34"/>
    <w:qFormat/>
    <w:rsid w:val="00E31CEB"/>
    <w:pPr>
      <w:ind w:left="720"/>
      <w:contextualSpacing/>
    </w:pPr>
  </w:style>
  <w:style w:type="paragraph" w:customStyle="1" w:styleId="EndNoteBibliography">
    <w:name w:val="EndNote Bibliography"/>
    <w:basedOn w:val="Normal"/>
    <w:link w:val="EndNoteBibliographyChar"/>
    <w:rsid w:val="00F109B2"/>
    <w:pPr>
      <w:spacing w:after="160" w:line="240" w:lineRule="auto"/>
      <w:jc w:val="center"/>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F109B2"/>
    <w:rPr>
      <w:rFonts w:ascii="Times New Roman" w:hAnsi="Times New Roman" w:cs="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ouchstone@uidaho.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ate]agedinitiat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37706-2CAE-4CD7-BD1E-83DAC18CE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1104</Words>
  <Characters>6295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Touchstone, Allison</dc:creator>
  <cp:lastModifiedBy>Touchstone, Allison (atouchstone@uidaho.edu)</cp:lastModifiedBy>
  <cp:revision>3</cp:revision>
  <dcterms:created xsi:type="dcterms:W3CDTF">2014-05-15T16:09:00Z</dcterms:created>
  <dcterms:modified xsi:type="dcterms:W3CDTF">2014-05-15T17:46:00Z</dcterms:modified>
</cp:coreProperties>
</file>