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9F7" w:rsidRPr="00B53629" w:rsidRDefault="00D569F7" w:rsidP="00D569F7">
      <w:pPr>
        <w:jc w:val="center"/>
        <w:rPr>
          <w:b/>
        </w:rPr>
      </w:pPr>
    </w:p>
    <w:p w:rsidR="00B57699" w:rsidRDefault="00B57699" w:rsidP="00647F92">
      <w:pPr>
        <w:jc w:val="center"/>
      </w:pPr>
    </w:p>
    <w:p w:rsidR="00B57699" w:rsidRDefault="00B57699" w:rsidP="00647F92">
      <w:pPr>
        <w:jc w:val="center"/>
      </w:pPr>
    </w:p>
    <w:p w:rsidR="00F205CC" w:rsidRDefault="00F205CC" w:rsidP="00647F92">
      <w:pPr>
        <w:jc w:val="center"/>
      </w:pPr>
    </w:p>
    <w:p w:rsidR="00F205CC" w:rsidRDefault="00F205CC" w:rsidP="00647F92">
      <w:pPr>
        <w:jc w:val="center"/>
      </w:pPr>
    </w:p>
    <w:p w:rsidR="00F205CC" w:rsidRDefault="009D2A05" w:rsidP="009D2A05">
      <w:pPr>
        <w:tabs>
          <w:tab w:val="left" w:pos="3396"/>
        </w:tabs>
      </w:pPr>
      <w:r>
        <w:tab/>
      </w:r>
    </w:p>
    <w:p w:rsidR="00F205CC" w:rsidRDefault="00F205CC" w:rsidP="00647F92">
      <w:pPr>
        <w:jc w:val="center"/>
      </w:pPr>
    </w:p>
    <w:p w:rsidR="00F205CC" w:rsidRDefault="00F205CC" w:rsidP="00647F92">
      <w:pPr>
        <w:jc w:val="center"/>
      </w:pPr>
    </w:p>
    <w:p w:rsidR="00F205CC" w:rsidRDefault="00F205CC" w:rsidP="00647F92">
      <w:pPr>
        <w:jc w:val="center"/>
      </w:pPr>
    </w:p>
    <w:p w:rsidR="00F205CC" w:rsidRDefault="00F205CC" w:rsidP="00647F92">
      <w:pPr>
        <w:jc w:val="center"/>
      </w:pPr>
    </w:p>
    <w:p w:rsidR="00647F92" w:rsidRPr="009D2A05" w:rsidRDefault="000545E1" w:rsidP="00647F92">
      <w:pPr>
        <w:jc w:val="center"/>
        <w:rPr>
          <w:b/>
        </w:rPr>
      </w:pPr>
      <w:r w:rsidRPr="009D2A05">
        <w:rPr>
          <w:b/>
        </w:rPr>
        <w:t>Academic Adv</w:t>
      </w:r>
      <w:r w:rsidR="00D10A1C">
        <w:rPr>
          <w:b/>
        </w:rPr>
        <w:t>ising Expectations: The Student</w:t>
      </w:r>
      <w:r w:rsidRPr="009D2A05">
        <w:rPr>
          <w:b/>
        </w:rPr>
        <w:t>s</w:t>
      </w:r>
      <w:r w:rsidR="00D10A1C">
        <w:rPr>
          <w:b/>
        </w:rPr>
        <w:t>’</w:t>
      </w:r>
      <w:r w:rsidRPr="009D2A05">
        <w:rPr>
          <w:b/>
        </w:rPr>
        <w:t xml:space="preserve"> Perspective</w:t>
      </w:r>
    </w:p>
    <w:p w:rsidR="00EE66D7" w:rsidRDefault="00EE66D7" w:rsidP="00647F92">
      <w:pPr>
        <w:jc w:val="center"/>
      </w:pPr>
    </w:p>
    <w:p w:rsidR="000D3128" w:rsidRDefault="000D3128" w:rsidP="00647F92">
      <w:pPr>
        <w:jc w:val="center"/>
      </w:pPr>
    </w:p>
    <w:p w:rsidR="000D3128" w:rsidRPr="00647F92" w:rsidRDefault="000D3128" w:rsidP="00647F92">
      <w:pPr>
        <w:jc w:val="center"/>
      </w:pPr>
    </w:p>
    <w:p w:rsidR="00647F92" w:rsidRDefault="00647F92" w:rsidP="006E43FB">
      <w:pPr>
        <w:sectPr w:rsidR="00647F92" w:rsidSect="005431AF">
          <w:headerReference w:type="default" r:id="rId9"/>
          <w:pgSz w:w="12240" w:h="15840"/>
          <w:pgMar w:top="1440" w:right="1440" w:bottom="1440" w:left="1440" w:header="720" w:footer="720" w:gutter="0"/>
          <w:cols w:space="720"/>
          <w:docGrid w:linePitch="360"/>
        </w:sectPr>
      </w:pPr>
    </w:p>
    <w:p w:rsidR="00647F92" w:rsidRDefault="00647F92" w:rsidP="006E43FB">
      <w:r>
        <w:lastRenderedPageBreak/>
        <w:t>Michael S. Retallick</w:t>
      </w:r>
    </w:p>
    <w:p w:rsidR="00647F92" w:rsidRDefault="00D10A1C" w:rsidP="006E43FB">
      <w:r>
        <w:t>Associate</w:t>
      </w:r>
      <w:r w:rsidR="00647F92">
        <w:t xml:space="preserve"> Professor</w:t>
      </w:r>
    </w:p>
    <w:p w:rsidR="00647F92" w:rsidRDefault="00647F92" w:rsidP="006E43FB">
      <w:r>
        <w:t>Iowa State University</w:t>
      </w:r>
    </w:p>
    <w:p w:rsidR="00647F92" w:rsidRDefault="00647F92" w:rsidP="006E43FB">
      <w:r>
        <w:t>206 Curtiss Hall</w:t>
      </w:r>
    </w:p>
    <w:p w:rsidR="00647F92" w:rsidRDefault="00647F92" w:rsidP="006E43FB">
      <w:r>
        <w:t>Iowa State University</w:t>
      </w:r>
    </w:p>
    <w:p w:rsidR="00647F92" w:rsidRDefault="00647F92" w:rsidP="006E43FB">
      <w:r>
        <w:t>Ames, IA 50011</w:t>
      </w:r>
    </w:p>
    <w:p w:rsidR="00B57699" w:rsidRPr="00B53629" w:rsidRDefault="00B57699" w:rsidP="00B57699">
      <w:r>
        <w:t>(515) 294-4810</w:t>
      </w:r>
    </w:p>
    <w:p w:rsidR="00647F92" w:rsidRDefault="00647F92" w:rsidP="006E43FB">
      <w:r>
        <w:t>msr@iastate.edu</w:t>
      </w:r>
    </w:p>
    <w:p w:rsidR="009868E3" w:rsidRDefault="009868E3" w:rsidP="009868E3"/>
    <w:p w:rsidR="009868E3" w:rsidRPr="00B53629" w:rsidRDefault="009868E3" w:rsidP="009868E3">
      <w:r w:rsidRPr="00B53629">
        <w:lastRenderedPageBreak/>
        <w:t>Elizabeth Foreman</w:t>
      </w:r>
    </w:p>
    <w:p w:rsidR="009868E3" w:rsidRPr="00B53629" w:rsidRDefault="009868E3" w:rsidP="009868E3">
      <w:r>
        <w:t>Program Coordinator</w:t>
      </w:r>
    </w:p>
    <w:p w:rsidR="009868E3" w:rsidRPr="00B53629" w:rsidRDefault="009868E3" w:rsidP="009868E3">
      <w:r w:rsidRPr="00B53629">
        <w:t>Iowa State University</w:t>
      </w:r>
    </w:p>
    <w:p w:rsidR="009868E3" w:rsidRPr="00B53629" w:rsidRDefault="009868E3" w:rsidP="009868E3">
      <w:r>
        <w:t>20</w:t>
      </w:r>
      <w:r w:rsidRPr="00B53629">
        <w:t xml:space="preserve"> Curtiss Hall</w:t>
      </w:r>
    </w:p>
    <w:p w:rsidR="009868E3" w:rsidRPr="00B53629" w:rsidRDefault="009868E3" w:rsidP="009868E3">
      <w:r w:rsidRPr="00B53629">
        <w:t>Iowa State University</w:t>
      </w:r>
    </w:p>
    <w:p w:rsidR="009868E3" w:rsidRPr="00B53629" w:rsidRDefault="009868E3" w:rsidP="009868E3">
      <w:r w:rsidRPr="00B53629">
        <w:t>Ames, IA 50011</w:t>
      </w:r>
    </w:p>
    <w:p w:rsidR="009868E3" w:rsidRDefault="009868E3" w:rsidP="009868E3">
      <w:r w:rsidRPr="00B53629">
        <w:t>(515) 294-4548</w:t>
      </w:r>
    </w:p>
    <w:p w:rsidR="009868E3" w:rsidRPr="00B53629" w:rsidRDefault="00FA6D75" w:rsidP="009868E3">
      <w:hyperlink r:id="rId10" w:history="1">
        <w:r w:rsidR="009868E3" w:rsidRPr="00B53629">
          <w:rPr>
            <w:rStyle w:val="Hyperlink"/>
            <w:color w:val="auto"/>
            <w:u w:val="none"/>
          </w:rPr>
          <w:t>bforeman@iastate.edu</w:t>
        </w:r>
      </w:hyperlink>
    </w:p>
    <w:p w:rsidR="00647F92" w:rsidRDefault="00647F92" w:rsidP="006E43FB">
      <w:pPr>
        <w:jc w:val="center"/>
        <w:rPr>
          <w:b/>
        </w:rPr>
      </w:pPr>
    </w:p>
    <w:p w:rsidR="009868E3" w:rsidRDefault="009868E3" w:rsidP="006E43FB">
      <w:pPr>
        <w:jc w:val="center"/>
        <w:rPr>
          <w:b/>
        </w:rPr>
        <w:sectPr w:rsidR="009868E3" w:rsidSect="005431AF">
          <w:type w:val="continuous"/>
          <w:pgSz w:w="12240" w:h="15840"/>
          <w:pgMar w:top="1440" w:right="1440" w:bottom="1440" w:left="1440" w:header="720" w:footer="720" w:gutter="0"/>
          <w:cols w:num="2" w:space="4320"/>
          <w:docGrid w:linePitch="360"/>
        </w:sectPr>
      </w:pPr>
    </w:p>
    <w:p w:rsidR="006E43FB" w:rsidRDefault="006E43FB" w:rsidP="006E43FB">
      <w:pPr>
        <w:jc w:val="center"/>
        <w:rPr>
          <w:b/>
        </w:rPr>
      </w:pPr>
    </w:p>
    <w:p w:rsidR="00256315" w:rsidRPr="00B53629" w:rsidRDefault="00256315" w:rsidP="006E43FB">
      <w:pPr>
        <w:jc w:val="center"/>
        <w:rPr>
          <w:b/>
        </w:rPr>
      </w:pPr>
    </w:p>
    <w:p w:rsidR="0068383B" w:rsidRDefault="00B57699">
      <w:pPr>
        <w:spacing w:after="200" w:line="276" w:lineRule="auto"/>
        <w:sectPr w:rsidR="0068383B" w:rsidSect="0068383B">
          <w:headerReference w:type="default" r:id="rId11"/>
          <w:type w:val="continuous"/>
          <w:pgSz w:w="12240" w:h="15840"/>
          <w:pgMar w:top="1440" w:right="1440" w:bottom="1440" w:left="1440" w:header="720" w:footer="720" w:gutter="0"/>
          <w:pgNumType w:start="1"/>
          <w:cols w:space="720"/>
          <w:docGrid w:linePitch="360"/>
        </w:sectPr>
      </w:pPr>
      <w:r>
        <w:br w:type="page"/>
      </w:r>
    </w:p>
    <w:p w:rsidR="000545E1" w:rsidRPr="0068383B" w:rsidRDefault="000545E1" w:rsidP="000545E1">
      <w:pPr>
        <w:jc w:val="center"/>
        <w:rPr>
          <w:b/>
        </w:rPr>
      </w:pPr>
      <w:r w:rsidRPr="0068383B">
        <w:rPr>
          <w:b/>
        </w:rPr>
        <w:lastRenderedPageBreak/>
        <w:t>Academic Advi</w:t>
      </w:r>
      <w:r w:rsidR="00D10A1C">
        <w:rPr>
          <w:b/>
        </w:rPr>
        <w:t>sing Expectations: The Students’</w:t>
      </w:r>
      <w:r w:rsidRPr="0068383B">
        <w:rPr>
          <w:b/>
        </w:rPr>
        <w:t xml:space="preserve"> Perspective</w:t>
      </w:r>
    </w:p>
    <w:p w:rsidR="004F2457" w:rsidRPr="0068383B" w:rsidRDefault="004F2457" w:rsidP="00A116F0">
      <w:pPr>
        <w:jc w:val="center"/>
        <w:rPr>
          <w:b/>
        </w:rPr>
      </w:pPr>
    </w:p>
    <w:p w:rsidR="004D7877" w:rsidRPr="0068383B" w:rsidRDefault="003704B1" w:rsidP="0068383B">
      <w:pPr>
        <w:jc w:val="center"/>
        <w:rPr>
          <w:b/>
        </w:rPr>
      </w:pPr>
      <w:r w:rsidRPr="0068383B">
        <w:rPr>
          <w:b/>
        </w:rPr>
        <w:t>I</w:t>
      </w:r>
      <w:r w:rsidR="00155C20" w:rsidRPr="0068383B">
        <w:rPr>
          <w:b/>
        </w:rPr>
        <w:t>ntroduction</w:t>
      </w:r>
      <w:r w:rsidR="000545E1" w:rsidRPr="0068383B">
        <w:rPr>
          <w:b/>
        </w:rPr>
        <w:t xml:space="preserve"> and </w:t>
      </w:r>
      <w:r w:rsidR="00B65FCE" w:rsidRPr="0068383B">
        <w:rPr>
          <w:b/>
        </w:rPr>
        <w:t>Background</w:t>
      </w:r>
    </w:p>
    <w:p w:rsidR="0068383B" w:rsidRDefault="0068383B" w:rsidP="0068383B">
      <w:r>
        <w:t>The American higher education system is in the midst of transforming itself from an industrial and agrarian focus to one centered on information and service (</w:t>
      </w:r>
      <w:proofErr w:type="spellStart"/>
      <w:r>
        <w:t>Teitelbaum</w:t>
      </w:r>
      <w:proofErr w:type="spellEnd"/>
      <w:r>
        <w:t>, 2000).  The impetus for this transformation include</w:t>
      </w:r>
      <w:r w:rsidR="00FA6D75">
        <w:t>s</w:t>
      </w:r>
      <w:r>
        <w:t xml:space="preserve"> 1) increasing costs of higher education and impact of enrollment growth, 2) demand for constituent-based education and rapid changes in the labor </w:t>
      </w:r>
      <w:proofErr w:type="gramStart"/>
      <w:r>
        <w:t>market,</w:t>
      </w:r>
      <w:proofErr w:type="gramEnd"/>
      <w:r>
        <w:t xml:space="preserve"> 3) focus on student learning and outcomes, and 4) technology advancements (</w:t>
      </w:r>
      <w:proofErr w:type="spellStart"/>
      <w:r>
        <w:t>Teitelbaum</w:t>
      </w:r>
      <w:proofErr w:type="spellEnd"/>
      <w:r>
        <w:t xml:space="preserve">, 2000).  </w:t>
      </w:r>
    </w:p>
    <w:p w:rsidR="0068383B" w:rsidRDefault="0068383B" w:rsidP="0068383B"/>
    <w:p w:rsidR="0068383B" w:rsidRDefault="0068383B" w:rsidP="0068383B">
      <w:r>
        <w:t>While the faculty roles and responsibilities have changed; specifically, the amount of time faculty members spend advising students has decreased (</w:t>
      </w:r>
      <w:proofErr w:type="spellStart"/>
      <w:r>
        <w:t>Milem</w:t>
      </w:r>
      <w:proofErr w:type="spellEnd"/>
      <w:r>
        <w:t xml:space="preserve">, Berger, &amp; </w:t>
      </w:r>
      <w:proofErr w:type="spellStart"/>
      <w:r>
        <w:t>Dey</w:t>
      </w:r>
      <w:proofErr w:type="spellEnd"/>
      <w:r>
        <w:t>, 2000), the student body has become more diverse (</w:t>
      </w:r>
      <w:proofErr w:type="spellStart"/>
      <w:r>
        <w:t>Pascarella</w:t>
      </w:r>
      <w:proofErr w:type="spellEnd"/>
      <w:r>
        <w:t xml:space="preserve"> &amp; </w:t>
      </w:r>
      <w:proofErr w:type="spellStart"/>
      <w:r>
        <w:t>Terenzini</w:t>
      </w:r>
      <w:proofErr w:type="spellEnd"/>
      <w:r>
        <w:t>, 1998</w:t>
      </w:r>
      <w:r w:rsidR="00F5467D">
        <w:t xml:space="preserve">; </w:t>
      </w:r>
      <w:proofErr w:type="spellStart"/>
      <w:r w:rsidR="00F5467D">
        <w:t>Renn</w:t>
      </w:r>
      <w:proofErr w:type="spellEnd"/>
      <w:r w:rsidR="00F5467D">
        <w:t xml:space="preserve"> &amp; Reason, 2013</w:t>
      </w:r>
      <w:r>
        <w:t>). Today’s students are not only more ethnically diverse, but also have changed in attitudes and behaviors (</w:t>
      </w:r>
      <w:proofErr w:type="spellStart"/>
      <w:r>
        <w:t>Astin</w:t>
      </w:r>
      <w:proofErr w:type="spellEnd"/>
      <w:r>
        <w:t xml:space="preserve">, </w:t>
      </w:r>
      <w:proofErr w:type="spellStart"/>
      <w:r>
        <w:t>Oseguera</w:t>
      </w:r>
      <w:proofErr w:type="spellEnd"/>
      <w:r>
        <w:t xml:space="preserve">, Sax, &amp; </w:t>
      </w:r>
      <w:proofErr w:type="spellStart"/>
      <w:r>
        <w:t>Korn</w:t>
      </w:r>
      <w:proofErr w:type="spellEnd"/>
      <w:r>
        <w:t xml:space="preserve">, 1997). These factors have been identified as putting students at risk for not persisting toward degree completion (Horn &amp; </w:t>
      </w:r>
      <w:proofErr w:type="spellStart"/>
      <w:r>
        <w:t>Premo</w:t>
      </w:r>
      <w:proofErr w:type="spellEnd"/>
      <w:r>
        <w:t>, 1995).</w:t>
      </w:r>
    </w:p>
    <w:p w:rsidR="0068383B" w:rsidRDefault="0068383B" w:rsidP="0068383B"/>
    <w:p w:rsidR="00A116F0" w:rsidRDefault="0068383B" w:rsidP="0068383B">
      <w:r>
        <w:t xml:space="preserve">Academic advising is an important element in student persistence and retention. The reshaping of higher education has impacted the structure and strategies of academic advising. The academic adviser and the student each have a role and responsibility in the advising experience (Larsen &amp; Brown, 1983). In studying the various functions </w:t>
      </w:r>
      <w:r w:rsidR="00FA6D75">
        <w:t xml:space="preserve">of </w:t>
      </w:r>
      <w:r>
        <w:t xml:space="preserve">advising, Smith &amp; Allen (2006) discovered that students </w:t>
      </w:r>
      <w:r w:rsidR="00FA6D75">
        <w:t>valued different functions that</w:t>
      </w:r>
      <w:bookmarkStart w:id="0" w:name="_GoBack"/>
      <w:bookmarkEnd w:id="0"/>
      <w:r>
        <w:t xml:space="preserve"> theorists would consider essence. The changing landscape of higher education institutes, the increased diversity of </w:t>
      </w:r>
      <w:r w:rsidR="00FA6D75">
        <w:t xml:space="preserve">the </w:t>
      </w:r>
      <w:r>
        <w:t>student body and the differing expectations and demands of students give credence to the continued study of academic advising, especially from the student perspective.</w:t>
      </w:r>
    </w:p>
    <w:p w:rsidR="004F2457" w:rsidRPr="00A116F0" w:rsidRDefault="004F2457" w:rsidP="004F2457">
      <w:pPr>
        <w:jc w:val="center"/>
      </w:pPr>
    </w:p>
    <w:p w:rsidR="002A4CD1" w:rsidRDefault="00B57699" w:rsidP="002A4CD1">
      <w:pPr>
        <w:jc w:val="center"/>
        <w:rPr>
          <w:b/>
        </w:rPr>
      </w:pPr>
      <w:r w:rsidRPr="002A4CD1">
        <w:rPr>
          <w:b/>
        </w:rPr>
        <w:t>Problem Statement</w:t>
      </w:r>
      <w:r w:rsidR="00634483" w:rsidRPr="002A4CD1">
        <w:rPr>
          <w:b/>
        </w:rPr>
        <w:t xml:space="preserve"> and Purpose of the Study</w:t>
      </w:r>
    </w:p>
    <w:p w:rsidR="002A4CD1" w:rsidRPr="002A4CD1" w:rsidRDefault="002A4CD1" w:rsidP="002A4CD1">
      <w:r w:rsidRPr="002A4CD1">
        <w:t xml:space="preserve">The purpose of this study is to explore undergraduate student </w:t>
      </w:r>
      <w:r w:rsidR="004735FE">
        <w:t>expectations of academic advisers</w:t>
      </w:r>
      <w:r w:rsidRPr="002A4CD1">
        <w:t>.</w:t>
      </w:r>
      <w:r w:rsidR="009D2A05">
        <w:t xml:space="preserve"> </w:t>
      </w:r>
      <w:r w:rsidRPr="002A4CD1">
        <w:t>The following objectives were developed to meet this purpose.</w:t>
      </w:r>
    </w:p>
    <w:p w:rsidR="002A4CD1" w:rsidRPr="002A4CD1" w:rsidRDefault="002A4CD1" w:rsidP="002A4CD1">
      <w:pPr>
        <w:pStyle w:val="ListParagraph"/>
        <w:numPr>
          <w:ilvl w:val="0"/>
          <w:numId w:val="3"/>
        </w:numPr>
        <w:ind w:left="360"/>
        <w:rPr>
          <w:rFonts w:ascii="Times New Roman" w:hAnsi="Times New Roman" w:cs="Times New Roman"/>
          <w:sz w:val="24"/>
          <w:szCs w:val="24"/>
        </w:rPr>
      </w:pPr>
      <w:r w:rsidRPr="002A4CD1">
        <w:rPr>
          <w:rFonts w:ascii="Times New Roman" w:hAnsi="Times New Roman" w:cs="Times New Roman"/>
          <w:sz w:val="24"/>
          <w:szCs w:val="24"/>
        </w:rPr>
        <w:t xml:space="preserve">Determine what expectations undergraduate students have of their </w:t>
      </w:r>
      <w:r w:rsidR="00D10A1C">
        <w:rPr>
          <w:rFonts w:ascii="Times New Roman" w:hAnsi="Times New Roman" w:cs="Times New Roman"/>
          <w:sz w:val="24"/>
          <w:szCs w:val="24"/>
        </w:rPr>
        <w:t>academic advisers</w:t>
      </w:r>
      <w:r w:rsidRPr="002A4CD1">
        <w:rPr>
          <w:rFonts w:ascii="Times New Roman" w:hAnsi="Times New Roman" w:cs="Times New Roman"/>
          <w:sz w:val="24"/>
          <w:szCs w:val="24"/>
        </w:rPr>
        <w:t>.</w:t>
      </w:r>
    </w:p>
    <w:p w:rsidR="002A4CD1" w:rsidRPr="002A4CD1" w:rsidRDefault="002A4CD1" w:rsidP="002A4CD1">
      <w:pPr>
        <w:pStyle w:val="ListParagraph"/>
        <w:numPr>
          <w:ilvl w:val="0"/>
          <w:numId w:val="3"/>
        </w:numPr>
        <w:ind w:left="360"/>
        <w:rPr>
          <w:rFonts w:ascii="Times New Roman" w:hAnsi="Times New Roman" w:cs="Times New Roman"/>
          <w:sz w:val="24"/>
          <w:szCs w:val="24"/>
        </w:rPr>
      </w:pPr>
      <w:r w:rsidRPr="002A4CD1">
        <w:rPr>
          <w:rFonts w:ascii="Times New Roman" w:hAnsi="Times New Roman" w:cs="Times New Roman"/>
          <w:sz w:val="24"/>
          <w:szCs w:val="24"/>
        </w:rPr>
        <w:t xml:space="preserve">Determine what expectations undergraduate students believe </w:t>
      </w:r>
      <w:r w:rsidR="00D10A1C">
        <w:rPr>
          <w:rFonts w:ascii="Times New Roman" w:hAnsi="Times New Roman" w:cs="Times New Roman"/>
          <w:sz w:val="24"/>
          <w:szCs w:val="24"/>
        </w:rPr>
        <w:t>academic advisers</w:t>
      </w:r>
      <w:r w:rsidRPr="002A4CD1">
        <w:rPr>
          <w:rFonts w:ascii="Times New Roman" w:hAnsi="Times New Roman" w:cs="Times New Roman"/>
          <w:sz w:val="24"/>
          <w:szCs w:val="24"/>
        </w:rPr>
        <w:t xml:space="preserve"> can expect of them.</w:t>
      </w:r>
    </w:p>
    <w:p w:rsidR="004D7877" w:rsidRDefault="002A4CD1" w:rsidP="002A4CD1">
      <w:pPr>
        <w:pStyle w:val="ListParagraph"/>
        <w:numPr>
          <w:ilvl w:val="0"/>
          <w:numId w:val="3"/>
        </w:numPr>
        <w:ind w:left="360"/>
        <w:rPr>
          <w:rFonts w:ascii="Times New Roman" w:hAnsi="Times New Roman" w:cs="Times New Roman"/>
          <w:sz w:val="24"/>
          <w:szCs w:val="24"/>
        </w:rPr>
      </w:pPr>
      <w:r w:rsidRPr="002A4CD1">
        <w:rPr>
          <w:rFonts w:ascii="Times New Roman" w:hAnsi="Times New Roman" w:cs="Times New Roman"/>
          <w:sz w:val="24"/>
          <w:szCs w:val="24"/>
        </w:rPr>
        <w:t>Explore various demographic variables to determine if there</w:t>
      </w:r>
      <w:r w:rsidR="009D2A05">
        <w:rPr>
          <w:rFonts w:ascii="Times New Roman" w:hAnsi="Times New Roman" w:cs="Times New Roman"/>
          <w:sz w:val="24"/>
          <w:szCs w:val="24"/>
        </w:rPr>
        <w:t xml:space="preserve"> are any differences based upon </w:t>
      </w:r>
      <w:r w:rsidR="004735FE">
        <w:rPr>
          <w:rFonts w:ascii="Times New Roman" w:hAnsi="Times New Roman" w:cs="Times New Roman"/>
          <w:sz w:val="24"/>
          <w:szCs w:val="24"/>
        </w:rPr>
        <w:t>classification, gender, entry type, and</w:t>
      </w:r>
      <w:r w:rsidR="00CC6388">
        <w:rPr>
          <w:rFonts w:ascii="Times New Roman" w:hAnsi="Times New Roman" w:cs="Times New Roman"/>
          <w:sz w:val="24"/>
          <w:szCs w:val="24"/>
        </w:rPr>
        <w:t xml:space="preserve"> pre-collegiate academic performance</w:t>
      </w:r>
      <w:r w:rsidR="004735FE">
        <w:rPr>
          <w:rFonts w:ascii="Times New Roman" w:hAnsi="Times New Roman" w:cs="Times New Roman"/>
          <w:sz w:val="24"/>
          <w:szCs w:val="24"/>
        </w:rPr>
        <w:t xml:space="preserve">. </w:t>
      </w:r>
    </w:p>
    <w:p w:rsidR="002A4CD1" w:rsidRPr="00BD31FE" w:rsidRDefault="002A4CD1" w:rsidP="002A4CD1">
      <w:pPr>
        <w:pStyle w:val="ListParagraph"/>
        <w:ind w:left="360"/>
        <w:rPr>
          <w:rFonts w:ascii="Times New Roman" w:hAnsi="Times New Roman" w:cs="Times New Roman"/>
          <w:sz w:val="16"/>
          <w:szCs w:val="16"/>
        </w:rPr>
      </w:pPr>
    </w:p>
    <w:p w:rsidR="002A4CD1" w:rsidRPr="002A4CD1" w:rsidRDefault="002A4CD1" w:rsidP="00BD31FE">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Methods</w:t>
      </w:r>
    </w:p>
    <w:p w:rsidR="00BD31FE" w:rsidRDefault="00FC280E" w:rsidP="00BD31FE">
      <w:pPr>
        <w:rPr>
          <w:b/>
          <w:color w:val="000000" w:themeColor="text1"/>
          <w:sz w:val="22"/>
          <w:szCs w:val="22"/>
        </w:rPr>
      </w:pPr>
      <w:r>
        <w:t xml:space="preserve">This study is a part of a larger study designed to explore student expectations of faculty and staff.  </w:t>
      </w:r>
      <w:r w:rsidR="003704B1">
        <w:t>T</w:t>
      </w:r>
      <w:r w:rsidR="00D802B9" w:rsidRPr="00B53629">
        <w:t xml:space="preserve">raditional-age undergraduate </w:t>
      </w:r>
      <w:r w:rsidR="00F01A83" w:rsidRPr="00B53629">
        <w:t>college students</w:t>
      </w:r>
      <w:r w:rsidR="004F314A" w:rsidRPr="00B53629">
        <w:t xml:space="preserve"> </w:t>
      </w:r>
      <w:r w:rsidR="009246D1" w:rsidRPr="00B53629">
        <w:rPr>
          <w:color w:val="000000"/>
        </w:rPr>
        <w:t xml:space="preserve">who </w:t>
      </w:r>
      <w:r w:rsidR="009246D1">
        <w:rPr>
          <w:color w:val="000000"/>
        </w:rPr>
        <w:t xml:space="preserve">were classified as </w:t>
      </w:r>
      <w:r w:rsidR="002A4CD1">
        <w:rPr>
          <w:color w:val="000000"/>
        </w:rPr>
        <w:t>freshman and seniors</w:t>
      </w:r>
      <w:r w:rsidR="009246D1" w:rsidRPr="00B53629" w:rsidDel="009246D1">
        <w:t xml:space="preserve"> </w:t>
      </w:r>
      <w:r w:rsidR="009246D1" w:rsidRPr="00B53629">
        <w:rPr>
          <w:color w:val="000000"/>
        </w:rPr>
        <w:t xml:space="preserve">in the College of Agriculture and Life Sciences at [Midwestern State University] </w:t>
      </w:r>
      <w:r w:rsidR="003704B1">
        <w:t>were surveyed</w:t>
      </w:r>
      <w:r w:rsidR="004F314A" w:rsidRPr="00B53629">
        <w:rPr>
          <w:color w:val="000000"/>
        </w:rPr>
        <w:t xml:space="preserve"> (</w:t>
      </w:r>
      <w:r w:rsidR="009246D1">
        <w:rPr>
          <w:i/>
          <w:color w:val="000000"/>
        </w:rPr>
        <w:t>N</w:t>
      </w:r>
      <w:r w:rsidR="002A4CD1">
        <w:rPr>
          <w:color w:val="000000"/>
        </w:rPr>
        <w:t>=</w:t>
      </w:r>
      <w:r w:rsidR="004735FE">
        <w:rPr>
          <w:color w:val="000000"/>
        </w:rPr>
        <w:t>1885</w:t>
      </w:r>
      <w:r w:rsidR="00FC5D96">
        <w:rPr>
          <w:color w:val="000000"/>
        </w:rPr>
        <w:t xml:space="preserve">), using a </w:t>
      </w:r>
      <w:r w:rsidR="00D64323">
        <w:t>researc</w:t>
      </w:r>
      <w:r w:rsidR="00FC5D96">
        <w:t xml:space="preserve">her-designed instrument </w:t>
      </w:r>
      <w:r w:rsidR="00D64323">
        <w:t xml:space="preserve">administered </w:t>
      </w:r>
      <w:r w:rsidR="00D64323" w:rsidRPr="00FC5D96">
        <w:t xml:space="preserve">via </w:t>
      </w:r>
      <w:proofErr w:type="spellStart"/>
      <w:r w:rsidR="00D64323" w:rsidRPr="00FC5D96">
        <w:t>Qualtrics</w:t>
      </w:r>
      <w:proofErr w:type="spellEnd"/>
      <w:r w:rsidR="00D64323" w:rsidRPr="00FC5D96">
        <w:t xml:space="preserve"> (</w:t>
      </w:r>
      <w:proofErr w:type="spellStart"/>
      <w:r w:rsidR="00FC5D96" w:rsidRPr="00FC5D96">
        <w:t>Qualtrics</w:t>
      </w:r>
      <w:proofErr w:type="spellEnd"/>
      <w:r w:rsidR="00FC5D96" w:rsidRPr="00FC5D96">
        <w:t xml:space="preserve"> Labs, </w:t>
      </w:r>
      <w:proofErr w:type="spellStart"/>
      <w:r w:rsidR="00FC5D96" w:rsidRPr="00FC5D96">
        <w:t>Inc</w:t>
      </w:r>
      <w:proofErr w:type="spellEnd"/>
      <w:r w:rsidR="00FC5D96" w:rsidRPr="00FC5D96">
        <w:t>, Provo, UT</w:t>
      </w:r>
      <w:r w:rsidR="00D64323" w:rsidRPr="00FC5D96">
        <w:t xml:space="preserve">).  </w:t>
      </w:r>
      <w:r w:rsidR="00D64323" w:rsidRPr="00D64323">
        <w:rPr>
          <w:color w:val="000000" w:themeColor="text1"/>
        </w:rPr>
        <w:t>Likert-style questions accessed students’ perceptions regarding their expectations of advisers and what students felt advisers could expect of them (</w:t>
      </w:r>
      <w:r w:rsidR="00A116F0">
        <w:rPr>
          <w:color w:val="000000" w:themeColor="text1"/>
        </w:rPr>
        <w:t xml:space="preserve">i.e., </w:t>
      </w:r>
      <w:r w:rsidR="00D64323" w:rsidRPr="00D64323">
        <w:rPr>
          <w:color w:val="000000" w:themeColor="text1"/>
        </w:rPr>
        <w:t>“1” = “never”, “2” = “rarely”, “3” = “sometimes”, “4” = “most of the time”, and “5” = “always”).</w:t>
      </w:r>
      <w:r w:rsidR="00D64323">
        <w:rPr>
          <w:color w:val="C00000"/>
        </w:rPr>
        <w:t xml:space="preserve">  </w:t>
      </w:r>
      <w:r w:rsidR="004735FE">
        <w:t xml:space="preserve">Descriptive statistics were used </w:t>
      </w:r>
      <w:r w:rsidR="00D64323">
        <w:t>analyze these questions</w:t>
      </w:r>
      <w:r w:rsidR="004735FE">
        <w:t xml:space="preserve">.  </w:t>
      </w:r>
      <w:r w:rsidR="001F382D">
        <w:t xml:space="preserve">Variables were computed to represent student expectations of advisers and what students believed advisers could expect of them.  </w:t>
      </w:r>
      <w:r w:rsidR="004735FE">
        <w:t>I</w:t>
      </w:r>
      <w:r w:rsidR="00F205CC">
        <w:t>nfe</w:t>
      </w:r>
      <w:r w:rsidR="001F382D">
        <w:t xml:space="preserve">rential </w:t>
      </w:r>
      <w:r w:rsidR="001F382D">
        <w:lastRenderedPageBreak/>
        <w:t>statistics were used</w:t>
      </w:r>
      <w:r w:rsidR="00F205CC">
        <w:t xml:space="preserve"> to examine </w:t>
      </w:r>
      <w:r w:rsidR="004735FE">
        <w:t xml:space="preserve">mean differences </w:t>
      </w:r>
      <w:r w:rsidR="001F382D">
        <w:t xml:space="preserve">of the computed variables </w:t>
      </w:r>
      <w:r w:rsidR="004735FE">
        <w:t xml:space="preserve">based on gender, classification, entry type, </w:t>
      </w:r>
      <w:r w:rsidR="00DF5D08">
        <w:t>and ACT.</w:t>
      </w:r>
    </w:p>
    <w:p w:rsidR="00BD31FE" w:rsidRPr="00BD31FE" w:rsidRDefault="00BD31FE" w:rsidP="00BD31FE">
      <w:pPr>
        <w:rPr>
          <w:b/>
          <w:color w:val="000000" w:themeColor="text1"/>
          <w:sz w:val="16"/>
          <w:szCs w:val="16"/>
        </w:rPr>
      </w:pPr>
    </w:p>
    <w:p w:rsidR="00FC280E" w:rsidRPr="00BD31FE" w:rsidRDefault="008972B4" w:rsidP="00BD31FE">
      <w:pPr>
        <w:jc w:val="center"/>
        <w:rPr>
          <w:b/>
          <w:color w:val="000000" w:themeColor="text1"/>
          <w:sz w:val="22"/>
          <w:szCs w:val="22"/>
        </w:rPr>
      </w:pPr>
      <w:r w:rsidRPr="00B53629">
        <w:rPr>
          <w:b/>
          <w:color w:val="000000" w:themeColor="text1"/>
        </w:rPr>
        <w:t>Results</w:t>
      </w:r>
    </w:p>
    <w:p w:rsidR="00074C2C" w:rsidRDefault="00FC280E" w:rsidP="00F27D20">
      <w:pPr>
        <w:rPr>
          <w:color w:val="000000" w:themeColor="text1"/>
        </w:rPr>
      </w:pPr>
      <w:r>
        <w:rPr>
          <w:color w:val="000000" w:themeColor="text1"/>
        </w:rPr>
        <w:t>Eight-hundred and twenty-eight students (43.93% response rate) responded to the survey.</w:t>
      </w:r>
      <w:r w:rsidR="00F27D20">
        <w:rPr>
          <w:color w:val="000000" w:themeColor="text1"/>
        </w:rPr>
        <w:t xml:space="preserve"> Of those that responded, 480 (58%) were female and 348 (42%) were male.  </w:t>
      </w:r>
      <w:r w:rsidR="002814F0">
        <w:rPr>
          <w:color w:val="000000" w:themeColor="text1"/>
        </w:rPr>
        <w:t xml:space="preserve">Students who entered directly from high school represented 664 (80.2%) and transfer students represented 164 (19.8%).  Two-hundred and sixty-nine (32.5%) </w:t>
      </w:r>
      <w:r w:rsidR="0026567C">
        <w:rPr>
          <w:color w:val="000000" w:themeColor="text1"/>
        </w:rPr>
        <w:t xml:space="preserve">were freshman </w:t>
      </w:r>
      <w:r w:rsidR="002814F0">
        <w:rPr>
          <w:color w:val="000000" w:themeColor="text1"/>
        </w:rPr>
        <w:t>and</w:t>
      </w:r>
      <w:r w:rsidR="0026567C">
        <w:rPr>
          <w:color w:val="000000" w:themeColor="text1"/>
        </w:rPr>
        <w:t xml:space="preserve"> five-hundred and fifty-nine (67.5%) were seniors.</w:t>
      </w:r>
      <w:r w:rsidR="00074C2C">
        <w:rPr>
          <w:color w:val="000000" w:themeColor="text1"/>
        </w:rPr>
        <w:t xml:space="preserve">  </w:t>
      </w:r>
    </w:p>
    <w:p w:rsidR="00D64323" w:rsidRPr="004432CA" w:rsidRDefault="00D64323" w:rsidP="00F27D20">
      <w:pPr>
        <w:rPr>
          <w:color w:val="000000" w:themeColor="text1"/>
          <w:sz w:val="16"/>
          <w:szCs w:val="16"/>
        </w:rPr>
      </w:pPr>
    </w:p>
    <w:p w:rsidR="00D64323" w:rsidRPr="00D64323" w:rsidRDefault="00D64323" w:rsidP="00F27D20">
      <w:pPr>
        <w:rPr>
          <w:color w:val="000000" w:themeColor="text1"/>
          <w:sz w:val="16"/>
          <w:szCs w:val="16"/>
        </w:rPr>
      </w:pPr>
      <w:r>
        <w:rPr>
          <w:color w:val="000000" w:themeColor="text1"/>
        </w:rPr>
        <w:t>Students were given twelve statements and asked, “</w:t>
      </w:r>
      <w:r w:rsidRPr="00440567">
        <w:rPr>
          <w:i/>
          <w:color w:val="000000" w:themeColor="text1"/>
        </w:rPr>
        <w:t xml:space="preserve">To what extent do you </w:t>
      </w:r>
      <w:r w:rsidR="00DE3803" w:rsidRPr="00440567">
        <w:rPr>
          <w:i/>
          <w:color w:val="000000" w:themeColor="text1"/>
        </w:rPr>
        <w:t>expect your academic adviser to</w:t>
      </w:r>
      <w:r w:rsidR="00F5467D" w:rsidRPr="00440567">
        <w:rPr>
          <w:i/>
          <w:color w:val="000000" w:themeColor="text1"/>
        </w:rPr>
        <w:t>…</w:t>
      </w:r>
      <w:r>
        <w:rPr>
          <w:color w:val="000000" w:themeColor="text1"/>
        </w:rPr>
        <w:t>”</w:t>
      </w:r>
      <w:r w:rsidR="00A116F0">
        <w:rPr>
          <w:color w:val="000000" w:themeColor="text1"/>
        </w:rPr>
        <w:t xml:space="preserve"> S</w:t>
      </w:r>
      <w:r w:rsidR="00DE3803">
        <w:rPr>
          <w:color w:val="000000" w:themeColor="text1"/>
        </w:rPr>
        <w:t>tudents rated each</w:t>
      </w:r>
      <w:r>
        <w:rPr>
          <w:color w:val="000000" w:themeColor="text1"/>
        </w:rPr>
        <w:t xml:space="preserve"> of the expectations above a 4.0, with the highest two responses being, “be knowledgeable about degree programs and requirements” (</w:t>
      </w:r>
      <w:r>
        <w:rPr>
          <w:i/>
          <w:color w:val="000000" w:themeColor="text1"/>
        </w:rPr>
        <w:t>M</w:t>
      </w:r>
      <w:r>
        <w:rPr>
          <w:color w:val="000000" w:themeColor="text1"/>
        </w:rPr>
        <w:t xml:space="preserve"> = 4.68) and “be knowledgeable about university deadlines” (</w:t>
      </w:r>
      <w:r>
        <w:rPr>
          <w:i/>
          <w:color w:val="000000" w:themeColor="text1"/>
        </w:rPr>
        <w:t>M</w:t>
      </w:r>
      <w:r>
        <w:rPr>
          <w:color w:val="000000" w:themeColor="text1"/>
        </w:rPr>
        <w:t xml:space="preserve"> = 4.62).  “Assist you in clarifying career and life goals” (</w:t>
      </w:r>
      <w:r>
        <w:rPr>
          <w:i/>
          <w:color w:val="000000" w:themeColor="text1"/>
        </w:rPr>
        <w:t>M</w:t>
      </w:r>
      <w:r>
        <w:rPr>
          <w:color w:val="000000" w:themeColor="text1"/>
        </w:rPr>
        <w:t xml:space="preserve"> = 4.15) was rated the lowest by students.</w:t>
      </w:r>
    </w:p>
    <w:p w:rsidR="00D64323" w:rsidRPr="004432CA" w:rsidRDefault="00D64323" w:rsidP="00F27D20">
      <w:pPr>
        <w:rPr>
          <w:color w:val="000000" w:themeColor="text1"/>
          <w:sz w:val="16"/>
          <w:szCs w:val="16"/>
        </w:rPr>
      </w:pPr>
    </w:p>
    <w:p w:rsidR="00D64323" w:rsidRPr="000D2E80" w:rsidRDefault="00D64323" w:rsidP="00F27D20">
      <w:pPr>
        <w:rPr>
          <w:color w:val="000000" w:themeColor="text1"/>
        </w:rPr>
      </w:pPr>
      <w:r>
        <w:rPr>
          <w:color w:val="000000" w:themeColor="text1"/>
        </w:rPr>
        <w:t xml:space="preserve">When given </w:t>
      </w:r>
      <w:r w:rsidR="00A116F0">
        <w:rPr>
          <w:color w:val="000000" w:themeColor="text1"/>
        </w:rPr>
        <w:t>a list of nine</w:t>
      </w:r>
      <w:r>
        <w:rPr>
          <w:color w:val="000000" w:themeColor="text1"/>
        </w:rPr>
        <w:t xml:space="preserve"> statements and asked, “</w:t>
      </w:r>
      <w:r w:rsidRPr="00440567">
        <w:rPr>
          <w:i/>
          <w:color w:val="000000" w:themeColor="text1"/>
        </w:rPr>
        <w:t>To what extent do you feel your aca</w:t>
      </w:r>
      <w:r w:rsidR="00DE3803" w:rsidRPr="00440567">
        <w:rPr>
          <w:i/>
          <w:color w:val="000000" w:themeColor="text1"/>
        </w:rPr>
        <w:t>demic adviser can expect you to</w:t>
      </w:r>
      <w:r w:rsidR="00F5467D" w:rsidRPr="00440567">
        <w:rPr>
          <w:i/>
          <w:color w:val="000000" w:themeColor="text1"/>
        </w:rPr>
        <w:t>…</w:t>
      </w:r>
      <w:r w:rsidR="00440567">
        <w:rPr>
          <w:color w:val="000000" w:themeColor="text1"/>
        </w:rPr>
        <w:t>,</w:t>
      </w:r>
      <w:r>
        <w:rPr>
          <w:color w:val="000000" w:themeColor="text1"/>
        </w:rPr>
        <w:t>” students rated, “take an active role i</w:t>
      </w:r>
      <w:r w:rsidR="00A116F0">
        <w:rPr>
          <w:color w:val="000000" w:themeColor="text1"/>
        </w:rPr>
        <w:t>n your own educational progress</w:t>
      </w:r>
      <w:r>
        <w:rPr>
          <w:color w:val="000000" w:themeColor="text1"/>
        </w:rPr>
        <w:t>” (</w:t>
      </w:r>
      <w:r>
        <w:rPr>
          <w:i/>
          <w:color w:val="000000" w:themeColor="text1"/>
        </w:rPr>
        <w:t>M</w:t>
      </w:r>
      <w:r>
        <w:rPr>
          <w:color w:val="000000" w:themeColor="text1"/>
        </w:rPr>
        <w:t xml:space="preserve"> = 4.70) the highest, followed by “be prepared for advising meetings” (</w:t>
      </w:r>
      <w:r>
        <w:rPr>
          <w:i/>
          <w:color w:val="000000" w:themeColor="text1"/>
        </w:rPr>
        <w:t>M</w:t>
      </w:r>
      <w:r w:rsidR="00A116F0">
        <w:rPr>
          <w:color w:val="000000" w:themeColor="text1"/>
        </w:rPr>
        <w:t xml:space="preserve"> = 4.68</w:t>
      </w:r>
      <w:r>
        <w:rPr>
          <w:color w:val="000000" w:themeColor="text1"/>
        </w:rPr>
        <w:t xml:space="preserve">) and </w:t>
      </w:r>
      <w:r w:rsidR="000D2E80">
        <w:rPr>
          <w:color w:val="000000" w:themeColor="text1"/>
        </w:rPr>
        <w:t>“make and keep advising appointments” (</w:t>
      </w:r>
      <w:r w:rsidR="000D2E80">
        <w:rPr>
          <w:i/>
          <w:color w:val="000000" w:themeColor="text1"/>
        </w:rPr>
        <w:t>M</w:t>
      </w:r>
      <w:r w:rsidR="000D2E80">
        <w:rPr>
          <w:color w:val="000000" w:themeColor="text1"/>
        </w:rPr>
        <w:t xml:space="preserve"> = 4.68).  One item received a rating less than 4.0; “communicate on a regular basis” had a mean of 3.95.</w:t>
      </w:r>
    </w:p>
    <w:p w:rsidR="00D64323" w:rsidRPr="004432CA" w:rsidRDefault="00D64323" w:rsidP="00F27D20">
      <w:pPr>
        <w:rPr>
          <w:color w:val="000000" w:themeColor="text1"/>
          <w:sz w:val="16"/>
          <w:szCs w:val="16"/>
        </w:rPr>
      </w:pPr>
    </w:p>
    <w:p w:rsidR="000C684A" w:rsidRPr="000C684A" w:rsidRDefault="00C35938" w:rsidP="00F27D20">
      <w:pPr>
        <w:rPr>
          <w:color w:val="000000" w:themeColor="text1"/>
        </w:rPr>
      </w:pPr>
      <w:r>
        <w:rPr>
          <w:color w:val="000000" w:themeColor="text1"/>
        </w:rPr>
        <w:t xml:space="preserve">Expectations varied based on several independent variables.  Females </w:t>
      </w:r>
      <w:r w:rsidR="001F382D">
        <w:rPr>
          <w:color w:val="000000" w:themeColor="text1"/>
        </w:rPr>
        <w:t>(</w:t>
      </w:r>
      <w:r w:rsidR="001F382D" w:rsidRPr="001F382D">
        <w:rPr>
          <w:i/>
          <w:color w:val="000000" w:themeColor="text1"/>
        </w:rPr>
        <w:t>M</w:t>
      </w:r>
      <w:r w:rsidR="001F382D">
        <w:rPr>
          <w:color w:val="000000" w:themeColor="text1"/>
        </w:rPr>
        <w:t xml:space="preserve"> = 54.24, </w:t>
      </w:r>
      <w:r w:rsidR="001F382D">
        <w:rPr>
          <w:i/>
          <w:color w:val="000000" w:themeColor="text1"/>
        </w:rPr>
        <w:t>SD</w:t>
      </w:r>
      <w:r w:rsidR="001F382D">
        <w:rPr>
          <w:color w:val="000000" w:themeColor="text1"/>
        </w:rPr>
        <w:t xml:space="preserve"> = 5.75)</w:t>
      </w:r>
      <w:r w:rsidR="001F382D">
        <w:rPr>
          <w:i/>
          <w:color w:val="000000" w:themeColor="text1"/>
        </w:rPr>
        <w:t xml:space="preserve"> </w:t>
      </w:r>
      <w:r w:rsidRPr="001F382D">
        <w:rPr>
          <w:color w:val="000000" w:themeColor="text1"/>
        </w:rPr>
        <w:t>had</w:t>
      </w:r>
      <w:r>
        <w:rPr>
          <w:color w:val="000000" w:themeColor="text1"/>
        </w:rPr>
        <w:t xml:space="preserve"> higher expectations of advisers</w:t>
      </w:r>
      <w:r w:rsidR="001F382D">
        <w:rPr>
          <w:color w:val="000000" w:themeColor="text1"/>
        </w:rPr>
        <w:t xml:space="preserve"> than males (</w:t>
      </w:r>
      <w:r w:rsidR="001F382D">
        <w:rPr>
          <w:i/>
          <w:color w:val="000000" w:themeColor="text1"/>
        </w:rPr>
        <w:t>M</w:t>
      </w:r>
      <w:r w:rsidR="001F382D">
        <w:rPr>
          <w:color w:val="000000" w:themeColor="text1"/>
        </w:rPr>
        <w:t xml:space="preserve"> = 51.63, </w:t>
      </w:r>
      <w:r w:rsidR="001F382D">
        <w:rPr>
          <w:i/>
          <w:color w:val="000000" w:themeColor="text1"/>
        </w:rPr>
        <w:t>SD</w:t>
      </w:r>
      <w:r w:rsidR="001F382D">
        <w:rPr>
          <w:color w:val="000000" w:themeColor="text1"/>
        </w:rPr>
        <w:t xml:space="preserve"> = 7.37</w:t>
      </w:r>
      <w:r w:rsidR="001215F8">
        <w:rPr>
          <w:color w:val="000000" w:themeColor="text1"/>
        </w:rPr>
        <w:t xml:space="preserve">, </w:t>
      </w:r>
      <w:r w:rsidR="001215F8">
        <w:rPr>
          <w:i/>
          <w:color w:val="000000" w:themeColor="text1"/>
        </w:rPr>
        <w:t>t</w:t>
      </w:r>
      <w:r w:rsidR="00B733E2">
        <w:rPr>
          <w:color w:val="000000" w:themeColor="text1"/>
        </w:rPr>
        <w:t xml:space="preserve"> (522.03</w:t>
      </w:r>
      <w:r w:rsidR="001F382D">
        <w:rPr>
          <w:color w:val="000000" w:themeColor="text1"/>
        </w:rPr>
        <w:t>)</w:t>
      </w:r>
      <w:r w:rsidR="00B733E2">
        <w:rPr>
          <w:color w:val="000000" w:themeColor="text1"/>
        </w:rPr>
        <w:t xml:space="preserve"> = -4.97</w:t>
      </w:r>
      <w:r w:rsidR="001215F8">
        <w:rPr>
          <w:color w:val="000000" w:themeColor="text1"/>
        </w:rPr>
        <w:t xml:space="preserve">, </w:t>
      </w:r>
      <w:r w:rsidR="001215F8">
        <w:rPr>
          <w:i/>
          <w:color w:val="000000" w:themeColor="text1"/>
        </w:rPr>
        <w:t xml:space="preserve">p </w:t>
      </w:r>
      <w:r w:rsidR="001215F8">
        <w:rPr>
          <w:color w:val="000000" w:themeColor="text1"/>
        </w:rPr>
        <w:t>= .000)</w:t>
      </w:r>
      <w:r w:rsidR="001F382D">
        <w:rPr>
          <w:color w:val="000000" w:themeColor="text1"/>
        </w:rPr>
        <w:t>.  Females (</w:t>
      </w:r>
      <w:r w:rsidR="001F382D" w:rsidRPr="001F382D">
        <w:rPr>
          <w:i/>
          <w:color w:val="000000" w:themeColor="text1"/>
        </w:rPr>
        <w:t>M</w:t>
      </w:r>
      <w:r w:rsidR="001F382D">
        <w:rPr>
          <w:color w:val="000000" w:themeColor="text1"/>
        </w:rPr>
        <w:t xml:space="preserve"> = 40.51, </w:t>
      </w:r>
      <w:r w:rsidR="001F382D">
        <w:rPr>
          <w:i/>
          <w:color w:val="000000" w:themeColor="text1"/>
        </w:rPr>
        <w:t xml:space="preserve">SD </w:t>
      </w:r>
      <w:r w:rsidR="001F382D">
        <w:rPr>
          <w:color w:val="000000" w:themeColor="text1"/>
        </w:rPr>
        <w:t xml:space="preserve">= </w:t>
      </w:r>
      <w:r w:rsidR="001215F8">
        <w:rPr>
          <w:color w:val="000000" w:themeColor="text1"/>
        </w:rPr>
        <w:t>4.13)</w:t>
      </w:r>
      <w:r w:rsidR="001F382D">
        <w:rPr>
          <w:color w:val="000000" w:themeColor="text1"/>
        </w:rPr>
        <w:t xml:space="preserve"> </w:t>
      </w:r>
      <w:r w:rsidRPr="001F382D">
        <w:rPr>
          <w:color w:val="000000" w:themeColor="text1"/>
        </w:rPr>
        <w:t>also</w:t>
      </w:r>
      <w:r>
        <w:rPr>
          <w:color w:val="000000" w:themeColor="text1"/>
        </w:rPr>
        <w:t xml:space="preserve"> felt that advi</w:t>
      </w:r>
      <w:r w:rsidR="001F382D">
        <w:rPr>
          <w:color w:val="000000" w:themeColor="text1"/>
        </w:rPr>
        <w:t>sers could expect more of students than did their male counterparts</w:t>
      </w:r>
      <w:r w:rsidR="001215F8">
        <w:rPr>
          <w:color w:val="000000" w:themeColor="text1"/>
        </w:rPr>
        <w:t xml:space="preserve"> (</w:t>
      </w:r>
      <w:r w:rsidR="001215F8">
        <w:rPr>
          <w:i/>
          <w:color w:val="000000" w:themeColor="text1"/>
        </w:rPr>
        <w:t>M</w:t>
      </w:r>
      <w:r w:rsidR="001215F8">
        <w:rPr>
          <w:color w:val="000000" w:themeColor="text1"/>
        </w:rPr>
        <w:t xml:space="preserve"> = 38.89, </w:t>
      </w:r>
      <w:r w:rsidR="001215F8">
        <w:rPr>
          <w:i/>
          <w:color w:val="000000" w:themeColor="text1"/>
        </w:rPr>
        <w:t xml:space="preserve">SD </w:t>
      </w:r>
      <w:r w:rsidR="001215F8">
        <w:rPr>
          <w:color w:val="000000" w:themeColor="text1"/>
        </w:rPr>
        <w:t xml:space="preserve">= 4.83, </w:t>
      </w:r>
      <w:r w:rsidR="001215F8">
        <w:rPr>
          <w:i/>
          <w:color w:val="000000" w:themeColor="text1"/>
        </w:rPr>
        <w:t xml:space="preserve">t </w:t>
      </w:r>
      <w:r w:rsidR="001215F8">
        <w:rPr>
          <w:color w:val="000000" w:themeColor="text1"/>
        </w:rPr>
        <w:t xml:space="preserve">(550.81) = -4.56, </w:t>
      </w:r>
      <w:r w:rsidR="001215F8">
        <w:rPr>
          <w:i/>
          <w:color w:val="000000" w:themeColor="text1"/>
        </w:rPr>
        <w:t xml:space="preserve">p </w:t>
      </w:r>
      <w:r w:rsidR="001215F8">
        <w:rPr>
          <w:color w:val="000000" w:themeColor="text1"/>
        </w:rPr>
        <w:t>= .000)</w:t>
      </w:r>
      <w:r>
        <w:rPr>
          <w:color w:val="000000" w:themeColor="text1"/>
        </w:rPr>
        <w:t>. The same trend was true based on classification, where freshm</w:t>
      </w:r>
      <w:r w:rsidR="00C5465C">
        <w:rPr>
          <w:color w:val="000000" w:themeColor="text1"/>
        </w:rPr>
        <w:t>e</w:t>
      </w:r>
      <w:r>
        <w:rPr>
          <w:color w:val="000000" w:themeColor="text1"/>
        </w:rPr>
        <w:t xml:space="preserve">n </w:t>
      </w:r>
      <w:r w:rsidR="002F1145">
        <w:rPr>
          <w:color w:val="000000" w:themeColor="text1"/>
        </w:rPr>
        <w:t>(</w:t>
      </w:r>
      <w:r w:rsidR="002F1145">
        <w:rPr>
          <w:i/>
          <w:color w:val="000000" w:themeColor="text1"/>
        </w:rPr>
        <w:t xml:space="preserve">M </w:t>
      </w:r>
      <w:r w:rsidR="002F1145">
        <w:rPr>
          <w:color w:val="000000" w:themeColor="text1"/>
        </w:rPr>
        <w:t xml:space="preserve">= 53.87, </w:t>
      </w:r>
      <w:r w:rsidR="002F1145">
        <w:rPr>
          <w:i/>
          <w:color w:val="000000" w:themeColor="text1"/>
        </w:rPr>
        <w:t xml:space="preserve">SD </w:t>
      </w:r>
      <w:r w:rsidR="002F1145">
        <w:rPr>
          <w:color w:val="000000" w:themeColor="text1"/>
        </w:rPr>
        <w:t xml:space="preserve">= 5.88) </w:t>
      </w:r>
      <w:r>
        <w:rPr>
          <w:color w:val="000000" w:themeColor="text1"/>
        </w:rPr>
        <w:t xml:space="preserve">had higher expectations of advisers </w:t>
      </w:r>
      <w:r w:rsidR="001F382D">
        <w:rPr>
          <w:color w:val="000000" w:themeColor="text1"/>
        </w:rPr>
        <w:t>than seniors</w:t>
      </w:r>
      <w:r w:rsidR="002F1145">
        <w:rPr>
          <w:color w:val="000000" w:themeColor="text1"/>
        </w:rPr>
        <w:t xml:space="preserve"> (</w:t>
      </w:r>
      <w:r w:rsidR="002F1145">
        <w:rPr>
          <w:i/>
          <w:color w:val="000000" w:themeColor="text1"/>
        </w:rPr>
        <w:t xml:space="preserve">M </w:t>
      </w:r>
      <w:r w:rsidR="002F1145">
        <w:rPr>
          <w:color w:val="000000" w:themeColor="text1"/>
        </w:rPr>
        <w:t xml:space="preserve">= 52.79, </w:t>
      </w:r>
      <w:r w:rsidR="002F1145">
        <w:rPr>
          <w:i/>
          <w:color w:val="000000" w:themeColor="text1"/>
        </w:rPr>
        <w:t>SD</w:t>
      </w:r>
      <w:r w:rsidR="002F1145">
        <w:rPr>
          <w:color w:val="000000" w:themeColor="text1"/>
        </w:rPr>
        <w:t xml:space="preserve"> = 6.89</w:t>
      </w:r>
      <w:r w:rsidR="009358C0">
        <w:rPr>
          <w:color w:val="000000" w:themeColor="text1"/>
        </w:rPr>
        <w:t xml:space="preserve">, </w:t>
      </w:r>
      <w:r w:rsidR="009358C0">
        <w:rPr>
          <w:i/>
          <w:color w:val="000000" w:themeColor="text1"/>
        </w:rPr>
        <w:t>t</w:t>
      </w:r>
      <w:r w:rsidR="009358C0">
        <w:rPr>
          <w:color w:val="000000" w:themeColor="text1"/>
        </w:rPr>
        <w:t xml:space="preserve"> (462.57) = 2.07, </w:t>
      </w:r>
      <w:r w:rsidR="009358C0">
        <w:rPr>
          <w:i/>
          <w:color w:val="000000" w:themeColor="text1"/>
        </w:rPr>
        <w:t xml:space="preserve">p </w:t>
      </w:r>
      <w:r w:rsidR="009358C0">
        <w:rPr>
          <w:color w:val="000000" w:themeColor="text1"/>
        </w:rPr>
        <w:t>= .039).  Freshman</w:t>
      </w:r>
      <w:r w:rsidR="001F382D">
        <w:rPr>
          <w:color w:val="000000" w:themeColor="text1"/>
        </w:rPr>
        <w:t xml:space="preserve"> </w:t>
      </w:r>
      <w:r w:rsidR="009358C0">
        <w:rPr>
          <w:color w:val="000000" w:themeColor="text1"/>
        </w:rPr>
        <w:t>(</w:t>
      </w:r>
      <w:r w:rsidR="009358C0">
        <w:rPr>
          <w:i/>
          <w:color w:val="000000" w:themeColor="text1"/>
        </w:rPr>
        <w:t xml:space="preserve">M </w:t>
      </w:r>
      <w:r w:rsidR="009358C0">
        <w:rPr>
          <w:color w:val="000000" w:themeColor="text1"/>
        </w:rPr>
        <w:t xml:space="preserve">= 40.38, </w:t>
      </w:r>
      <w:r w:rsidR="009358C0">
        <w:rPr>
          <w:i/>
          <w:color w:val="000000" w:themeColor="text1"/>
        </w:rPr>
        <w:t xml:space="preserve">SD </w:t>
      </w:r>
      <w:r w:rsidR="009358C0">
        <w:rPr>
          <w:color w:val="000000" w:themeColor="text1"/>
        </w:rPr>
        <w:t xml:space="preserve">= 4.27) </w:t>
      </w:r>
      <w:r>
        <w:rPr>
          <w:color w:val="000000" w:themeColor="text1"/>
        </w:rPr>
        <w:t>also believed advisers could expect more of students</w:t>
      </w:r>
      <w:r w:rsidR="009358C0">
        <w:rPr>
          <w:color w:val="000000" w:themeColor="text1"/>
        </w:rPr>
        <w:t xml:space="preserve"> than did seniors (</w:t>
      </w:r>
      <w:r w:rsidR="009358C0">
        <w:rPr>
          <w:i/>
          <w:color w:val="000000" w:themeColor="text1"/>
        </w:rPr>
        <w:t xml:space="preserve">M </w:t>
      </w:r>
      <w:r w:rsidR="009358C0">
        <w:rPr>
          <w:color w:val="000000" w:themeColor="text1"/>
        </w:rPr>
        <w:t xml:space="preserve">= 39.57, </w:t>
      </w:r>
      <w:r w:rsidR="009358C0">
        <w:rPr>
          <w:i/>
          <w:color w:val="000000" w:themeColor="text1"/>
        </w:rPr>
        <w:t xml:space="preserve">SD </w:t>
      </w:r>
      <w:r w:rsidR="009358C0">
        <w:rPr>
          <w:color w:val="000000" w:themeColor="text1"/>
        </w:rPr>
        <w:t xml:space="preserve">= 4.59, </w:t>
      </w:r>
      <w:r w:rsidR="009358C0">
        <w:rPr>
          <w:i/>
          <w:color w:val="000000" w:themeColor="text1"/>
        </w:rPr>
        <w:t xml:space="preserve">t </w:t>
      </w:r>
      <w:r w:rsidR="009358C0">
        <w:rPr>
          <w:color w:val="000000" w:themeColor="text1"/>
        </w:rPr>
        <w:t xml:space="preserve">(673) = 2.19, </w:t>
      </w:r>
      <w:r w:rsidR="009358C0">
        <w:rPr>
          <w:i/>
          <w:color w:val="000000" w:themeColor="text1"/>
        </w:rPr>
        <w:t>p</w:t>
      </w:r>
      <w:r w:rsidR="009358C0">
        <w:rPr>
          <w:color w:val="000000" w:themeColor="text1"/>
        </w:rPr>
        <w:t xml:space="preserve"> = .029)</w:t>
      </w:r>
      <w:r>
        <w:rPr>
          <w:color w:val="000000" w:themeColor="text1"/>
        </w:rPr>
        <w:t>.  However, significant differences were not found based whether students entered the university direct from high school or as a transfer student or based on their ACT score.</w:t>
      </w:r>
    </w:p>
    <w:p w:rsidR="00BD31FE" w:rsidRPr="007B15FA" w:rsidRDefault="00BD31FE" w:rsidP="007B15FA">
      <w:pPr>
        <w:jc w:val="center"/>
        <w:rPr>
          <w:b/>
          <w:sz w:val="16"/>
          <w:szCs w:val="16"/>
        </w:rPr>
      </w:pPr>
    </w:p>
    <w:p w:rsidR="004D7877" w:rsidRDefault="007B15FA" w:rsidP="007B15FA">
      <w:pPr>
        <w:jc w:val="center"/>
        <w:rPr>
          <w:sz w:val="22"/>
          <w:szCs w:val="22"/>
        </w:rPr>
      </w:pPr>
      <w:r>
        <w:rPr>
          <w:b/>
        </w:rPr>
        <w:t>Conclusions/R</w:t>
      </w:r>
      <w:r w:rsidR="008972B4" w:rsidRPr="00B53629">
        <w:rPr>
          <w:b/>
        </w:rPr>
        <w:t>ecommendations</w:t>
      </w:r>
    </w:p>
    <w:p w:rsidR="00F5688E" w:rsidRDefault="00B61D12" w:rsidP="00F5688E">
      <w:pPr>
        <w:spacing w:after="120"/>
      </w:pPr>
      <w:r>
        <w:t>Smith</w:t>
      </w:r>
      <w:r w:rsidR="00F5467D">
        <w:t xml:space="preserve"> &amp; Allen</w:t>
      </w:r>
      <w:r>
        <w:t xml:space="preserve"> (2006</w:t>
      </w:r>
      <w:r w:rsidR="00F5467D">
        <w:t>)</w:t>
      </w:r>
      <w:r>
        <w:t xml:space="preserve"> would argue the dichotomous approach to academic advising (i.e., developmental vs. prescriptive) is problematic </w:t>
      </w:r>
      <w:r w:rsidR="00C5465C">
        <w:t>because</w:t>
      </w:r>
      <w:r>
        <w:t xml:space="preserve"> both approaches have elements that are important</w:t>
      </w:r>
      <w:r w:rsidR="00F5467D">
        <w:t xml:space="preserve">. The results of this study would indicate that </w:t>
      </w:r>
      <w:r w:rsidR="00D10A1C">
        <w:t xml:space="preserve">student expect </w:t>
      </w:r>
      <w:r w:rsidR="00C5465C">
        <w:t xml:space="preserve">both approaches. </w:t>
      </w:r>
      <w:r w:rsidR="00D10A1C">
        <w:t xml:space="preserve">Today’s </w:t>
      </w:r>
      <w:r w:rsidR="00F87F17">
        <w:t>students</w:t>
      </w:r>
      <w:r w:rsidR="00C5465C">
        <w:t xml:space="preserve"> </w:t>
      </w:r>
      <w:r w:rsidR="00F5467D">
        <w:t>e</w:t>
      </w:r>
      <w:r w:rsidR="00C5465C">
        <w:t>xpect to control their adv</w:t>
      </w:r>
      <w:r w:rsidR="00D10A1C">
        <w:t>ising experience and want advise</w:t>
      </w:r>
      <w:r w:rsidR="00C5465C">
        <w:t xml:space="preserve">rs to know degree requirements and understand university policy.  </w:t>
      </w:r>
      <w:r w:rsidR="00F87F17">
        <w:t>Students’</w:t>
      </w:r>
      <w:r w:rsidR="00C5465C">
        <w:t xml:space="preserve"> access to technology for information and communication as well as their upbring</w:t>
      </w:r>
      <w:r w:rsidR="00F87F17">
        <w:t>ing</w:t>
      </w:r>
      <w:r w:rsidR="00C5465C">
        <w:t xml:space="preserve">, where they have been the </w:t>
      </w:r>
      <w:r w:rsidR="00F87F17">
        <w:t>focus of the family nucleus and controlled the family agenda, may be influencing factors and need further study.</w:t>
      </w:r>
      <w:r w:rsidR="00C5465C">
        <w:t xml:space="preserve"> </w:t>
      </w:r>
    </w:p>
    <w:p w:rsidR="00C5465C" w:rsidRDefault="00C5465C" w:rsidP="00F5688E">
      <w:pPr>
        <w:spacing w:after="120"/>
      </w:pPr>
      <w:r>
        <w:t>Gender and classification affects students’ expectations of academic advising.  Females have higher expectations of themselves when it comes to academic advising</w:t>
      </w:r>
      <w:r w:rsidR="00221817">
        <w:t xml:space="preserve"> which is supported by the work of Lowe and Cook (2003)</w:t>
      </w:r>
      <w:r>
        <w:t xml:space="preserve">.  Freshmen not only have higher expectations of themselves, but they also have higher expectations of their </w:t>
      </w:r>
      <w:r w:rsidR="00FA6D75">
        <w:t>adviser</w:t>
      </w:r>
      <w:r>
        <w:t>s.</w:t>
      </w:r>
      <w:r w:rsidR="009C6934">
        <w:t xml:space="preserve"> While the expectations are different between freshmen and seniors, their needs are also different (Khali &amp; Williamson, 2014) which may demand differing advising approaches.  </w:t>
      </w:r>
    </w:p>
    <w:p w:rsidR="004D7877" w:rsidRDefault="00A16494">
      <w:pPr>
        <w:spacing w:after="120"/>
        <w:rPr>
          <w:b/>
        </w:rPr>
      </w:pPr>
      <w:r w:rsidRPr="009C6155">
        <w:rPr>
          <w:b/>
        </w:rPr>
        <w:lastRenderedPageBreak/>
        <w:br w:type="page"/>
      </w:r>
    </w:p>
    <w:p w:rsidR="004D7877" w:rsidRDefault="0094199B" w:rsidP="00B03B94">
      <w:pPr>
        <w:jc w:val="center"/>
        <w:rPr>
          <w:b/>
        </w:rPr>
      </w:pPr>
      <w:r w:rsidRPr="00C24D93">
        <w:rPr>
          <w:b/>
        </w:rPr>
        <w:lastRenderedPageBreak/>
        <w:t>References</w:t>
      </w:r>
    </w:p>
    <w:p w:rsidR="001519A9" w:rsidRDefault="001519A9" w:rsidP="001519A9">
      <w:pPr>
        <w:ind w:left="720" w:hanging="720"/>
      </w:pPr>
      <w:proofErr w:type="spellStart"/>
      <w:proofErr w:type="gramStart"/>
      <w:r w:rsidRPr="001519A9">
        <w:t>Astin</w:t>
      </w:r>
      <w:proofErr w:type="spellEnd"/>
      <w:r w:rsidRPr="001519A9">
        <w:t xml:space="preserve">, A. W., </w:t>
      </w:r>
      <w:proofErr w:type="spellStart"/>
      <w:r w:rsidRPr="001519A9">
        <w:t>Oseguera</w:t>
      </w:r>
      <w:proofErr w:type="spellEnd"/>
      <w:r w:rsidRPr="001519A9">
        <w:t xml:space="preserve">, L., Sax, L. J., &amp; </w:t>
      </w:r>
      <w:proofErr w:type="spellStart"/>
      <w:r w:rsidRPr="001519A9">
        <w:t>Korn</w:t>
      </w:r>
      <w:proofErr w:type="spellEnd"/>
      <w:r w:rsidRPr="001519A9">
        <w:t>, W. S. (1997).</w:t>
      </w:r>
      <w:proofErr w:type="gramEnd"/>
      <w:r w:rsidRPr="001519A9">
        <w:t xml:space="preserve"> </w:t>
      </w:r>
      <w:r w:rsidRPr="001519A9">
        <w:rPr>
          <w:i/>
        </w:rPr>
        <w:t>The American freshman: Thirty year trends, 1966–1996.</w:t>
      </w:r>
      <w:r w:rsidRPr="001519A9">
        <w:t xml:space="preserve"> Los Angeles: Higher Education Research Institute.</w:t>
      </w:r>
    </w:p>
    <w:p w:rsidR="001519A9" w:rsidRDefault="001519A9" w:rsidP="001519A9">
      <w:pPr>
        <w:ind w:left="720" w:hanging="720"/>
      </w:pPr>
      <w:proofErr w:type="gramStart"/>
      <w:r>
        <w:t xml:space="preserve">Horn, L. J., &amp; </w:t>
      </w:r>
      <w:proofErr w:type="spellStart"/>
      <w:r>
        <w:t>Premo</w:t>
      </w:r>
      <w:proofErr w:type="spellEnd"/>
      <w:r>
        <w:t>, M. D. (1995).</w:t>
      </w:r>
      <w:proofErr w:type="gramEnd"/>
      <w:r>
        <w:t xml:space="preserve"> Profile of undergraduates in U.S. postsecondary education institutions: 1992–93, </w:t>
      </w:r>
      <w:proofErr w:type="gramStart"/>
      <w:r>
        <w:t>With</w:t>
      </w:r>
      <w:proofErr w:type="gramEnd"/>
      <w:r>
        <w:t xml:space="preserve"> an essay on undergraduates at risk (NCES 96–237). Retrieved from U.S. Department of Education, National Center for Education Statistics website: </w:t>
      </w:r>
      <w:hyperlink r:id="rId12" w:history="1">
        <w:r w:rsidRPr="00CB359F">
          <w:rPr>
            <w:rStyle w:val="Hyperlink"/>
          </w:rPr>
          <w:t>http://nces.ed.gov/pubsearch/pubsinfo.asp?pubid=96237</w:t>
        </w:r>
      </w:hyperlink>
    </w:p>
    <w:p w:rsidR="009C6934" w:rsidRDefault="009C6934" w:rsidP="001519A9">
      <w:pPr>
        <w:ind w:left="720" w:hanging="720"/>
      </w:pPr>
      <w:proofErr w:type="gramStart"/>
      <w:r w:rsidRPr="009C6934">
        <w:t>Khali, A., &amp; Williamson, J. (2014).</w:t>
      </w:r>
      <w:proofErr w:type="gramEnd"/>
      <w:r w:rsidRPr="009C6934">
        <w:t xml:space="preserve"> </w:t>
      </w:r>
      <w:proofErr w:type="gramStart"/>
      <w:r w:rsidRPr="009C6934">
        <w:t>Role of Academic Advisors in the Success of Engineering Students.</w:t>
      </w:r>
      <w:proofErr w:type="gramEnd"/>
      <w:r>
        <w:t xml:space="preserve"> </w:t>
      </w:r>
      <w:r>
        <w:rPr>
          <w:i/>
        </w:rPr>
        <w:t>Universal Journal of Educational Research, 2</w:t>
      </w:r>
      <w:r>
        <w:t xml:space="preserve">(1), 73-79. </w:t>
      </w:r>
      <w:proofErr w:type="spellStart"/>
      <w:proofErr w:type="gramStart"/>
      <w:r>
        <w:t>doi</w:t>
      </w:r>
      <w:proofErr w:type="spellEnd"/>
      <w:proofErr w:type="gramEnd"/>
      <w:r>
        <w:t xml:space="preserve">: </w:t>
      </w:r>
      <w:r w:rsidRPr="009C6934">
        <w:t>10.13189/ujer.2014.020109</w:t>
      </w:r>
    </w:p>
    <w:p w:rsidR="001519A9" w:rsidRDefault="001519A9" w:rsidP="00F87F17">
      <w:pPr>
        <w:ind w:left="720" w:hanging="720"/>
      </w:pPr>
      <w:proofErr w:type="gramStart"/>
      <w:r w:rsidRPr="001519A9">
        <w:t>Larsen, M. D., &amp; Allen, B. (1983).</w:t>
      </w:r>
      <w:proofErr w:type="gramEnd"/>
      <w:r w:rsidRPr="001519A9">
        <w:t xml:space="preserve"> </w:t>
      </w:r>
      <w:proofErr w:type="gramStart"/>
      <w:r w:rsidRPr="001519A9">
        <w:t>Student and faculty expectations of academic advising.</w:t>
      </w:r>
      <w:proofErr w:type="gramEnd"/>
      <w:r w:rsidRPr="001519A9">
        <w:t xml:space="preserve"> </w:t>
      </w:r>
      <w:r w:rsidRPr="001519A9">
        <w:rPr>
          <w:i/>
        </w:rPr>
        <w:t>NACADA Journal, 3</w:t>
      </w:r>
      <w:r w:rsidRPr="001519A9">
        <w:t xml:space="preserve">(1), 31-37. </w:t>
      </w:r>
      <w:proofErr w:type="spellStart"/>
      <w:proofErr w:type="gramStart"/>
      <w:r w:rsidRPr="001519A9">
        <w:t>doi</w:t>
      </w:r>
      <w:proofErr w:type="spellEnd"/>
      <w:proofErr w:type="gramEnd"/>
      <w:r w:rsidRPr="001519A9">
        <w:t>: http://dx.doi.org/10.12930/0271-9517-3.1.31</w:t>
      </w:r>
    </w:p>
    <w:p w:rsidR="001519A9" w:rsidRDefault="00F87F17" w:rsidP="001519A9">
      <w:pPr>
        <w:ind w:left="720" w:hanging="720"/>
      </w:pPr>
      <w:r>
        <w:t>Lowe, H. &amp; Cook, A. (2003) Mind the Gap: Are students</w:t>
      </w:r>
      <w:r w:rsidR="001519A9">
        <w:t xml:space="preserve"> </w:t>
      </w:r>
      <w:r>
        <w:t xml:space="preserve">prepared for higher education? </w:t>
      </w:r>
      <w:r w:rsidRPr="00F87F17">
        <w:rPr>
          <w:i/>
        </w:rPr>
        <w:t>Journal of Further and Higher Education, 27</w:t>
      </w:r>
      <w:r>
        <w:t>(1), 53-76, DOI:</w:t>
      </w:r>
      <w:r w:rsidR="001519A9">
        <w:t xml:space="preserve"> 10.1080/03098770305629</w:t>
      </w:r>
    </w:p>
    <w:p w:rsidR="001519A9" w:rsidRDefault="001519A9" w:rsidP="001519A9">
      <w:pPr>
        <w:ind w:left="720" w:hanging="720"/>
      </w:pPr>
      <w:proofErr w:type="spellStart"/>
      <w:proofErr w:type="gramStart"/>
      <w:r w:rsidRPr="001519A9">
        <w:t>Milem</w:t>
      </w:r>
      <w:proofErr w:type="spellEnd"/>
      <w:r w:rsidRPr="001519A9">
        <w:t xml:space="preserve">, J. F., Berger, J. B., &amp; </w:t>
      </w:r>
      <w:proofErr w:type="spellStart"/>
      <w:r w:rsidRPr="001519A9">
        <w:t>Dey</w:t>
      </w:r>
      <w:proofErr w:type="spellEnd"/>
      <w:r w:rsidRPr="001519A9">
        <w:t>, E. L. (2000).</w:t>
      </w:r>
      <w:proofErr w:type="gramEnd"/>
      <w:r w:rsidRPr="001519A9">
        <w:t xml:space="preserve"> Faculty time allocation: A study of change over twenty years. </w:t>
      </w:r>
      <w:proofErr w:type="gramStart"/>
      <w:r w:rsidRPr="001519A9">
        <w:rPr>
          <w:i/>
        </w:rPr>
        <w:t>Journal of Higher Education, 71</w:t>
      </w:r>
      <w:r w:rsidRPr="001519A9">
        <w:t>, 454–75.</w:t>
      </w:r>
      <w:proofErr w:type="gramEnd"/>
    </w:p>
    <w:p w:rsidR="001519A9" w:rsidRPr="001519A9" w:rsidRDefault="001519A9" w:rsidP="001519A9">
      <w:pPr>
        <w:ind w:left="720" w:hanging="720"/>
      </w:pPr>
      <w:proofErr w:type="spellStart"/>
      <w:proofErr w:type="gramStart"/>
      <w:r w:rsidRPr="001519A9">
        <w:t>Pascarella</w:t>
      </w:r>
      <w:proofErr w:type="spellEnd"/>
      <w:r w:rsidRPr="001519A9">
        <w:t xml:space="preserve">, E., &amp; </w:t>
      </w:r>
      <w:proofErr w:type="spellStart"/>
      <w:r w:rsidRPr="001519A9">
        <w:t>Terenzini</w:t>
      </w:r>
      <w:proofErr w:type="spellEnd"/>
      <w:r w:rsidRPr="001519A9">
        <w:t>, P. (1998).</w:t>
      </w:r>
      <w:proofErr w:type="gramEnd"/>
      <w:r w:rsidRPr="001519A9">
        <w:t xml:space="preserve"> </w:t>
      </w:r>
      <w:proofErr w:type="gramStart"/>
      <w:r w:rsidRPr="001519A9">
        <w:t>Studying college students in the 21st century: Meeting new challenges.</w:t>
      </w:r>
      <w:proofErr w:type="gramEnd"/>
      <w:r w:rsidRPr="001519A9">
        <w:t xml:space="preserve"> </w:t>
      </w:r>
      <w:proofErr w:type="gramStart"/>
      <w:r w:rsidRPr="001519A9">
        <w:rPr>
          <w:i/>
        </w:rPr>
        <w:t>Review of Higher Education, 21</w:t>
      </w:r>
      <w:r w:rsidRPr="001519A9">
        <w:t>, 151–65.</w:t>
      </w:r>
      <w:proofErr w:type="gramEnd"/>
    </w:p>
    <w:p w:rsidR="004F2457" w:rsidRDefault="004F2457" w:rsidP="00B03B94">
      <w:pPr>
        <w:ind w:left="720" w:hanging="720"/>
      </w:pPr>
      <w:proofErr w:type="spellStart"/>
      <w:proofErr w:type="gramStart"/>
      <w:r w:rsidRPr="00B03B94">
        <w:t>Qualtrics</w:t>
      </w:r>
      <w:proofErr w:type="spellEnd"/>
      <w:r w:rsidRPr="00B03B94">
        <w:t xml:space="preserve"> software, Version [</w:t>
      </w:r>
      <w:r w:rsidR="00B03B94" w:rsidRPr="00B03B94">
        <w:rPr>
          <w:rStyle w:val="version"/>
        </w:rPr>
        <w:t>56686</w:t>
      </w:r>
      <w:r w:rsidRPr="00B03B94">
        <w:t xml:space="preserve">] of the </w:t>
      </w:r>
      <w:proofErr w:type="spellStart"/>
      <w:r w:rsidRPr="00B03B94">
        <w:t>Qualtrics</w:t>
      </w:r>
      <w:proofErr w:type="spellEnd"/>
      <w:r w:rsidRPr="00B03B94">
        <w:t xml:space="preserve"> Research Suite.</w:t>
      </w:r>
      <w:proofErr w:type="gramEnd"/>
      <w:r w:rsidRPr="00B03B94">
        <w:t xml:space="preserve"> </w:t>
      </w:r>
      <w:proofErr w:type="gramStart"/>
      <w:r w:rsidRPr="00B03B94">
        <w:t xml:space="preserve">Copyright © [2014] </w:t>
      </w:r>
      <w:proofErr w:type="spellStart"/>
      <w:r w:rsidRPr="00B03B94">
        <w:t>Qualtrics</w:t>
      </w:r>
      <w:proofErr w:type="spellEnd"/>
      <w:r w:rsidRPr="00B03B94">
        <w:t>.</w:t>
      </w:r>
      <w:proofErr w:type="gramEnd"/>
      <w:r w:rsidRPr="00B03B94">
        <w:t xml:space="preserve"> </w:t>
      </w:r>
      <w:proofErr w:type="spellStart"/>
      <w:r w:rsidRPr="00B03B94">
        <w:t>Qualtrics</w:t>
      </w:r>
      <w:proofErr w:type="spellEnd"/>
      <w:r w:rsidRPr="00B03B94">
        <w:t xml:space="preserve"> and all other </w:t>
      </w:r>
      <w:proofErr w:type="spellStart"/>
      <w:r w:rsidRPr="00B03B94">
        <w:t>Qualtrics</w:t>
      </w:r>
      <w:proofErr w:type="spellEnd"/>
      <w:r w:rsidRPr="00B03B94">
        <w:t xml:space="preserve"> product or service names are registered trademarks or trademarks of </w:t>
      </w:r>
      <w:proofErr w:type="spellStart"/>
      <w:r w:rsidRPr="00B03B94">
        <w:t>Qualtrics</w:t>
      </w:r>
      <w:proofErr w:type="spellEnd"/>
      <w:r w:rsidRPr="00B03B94">
        <w:t xml:space="preserve">, Provo, UT, USA. </w:t>
      </w:r>
      <w:hyperlink r:id="rId13" w:history="1">
        <w:r w:rsidR="001519A9" w:rsidRPr="00CB359F">
          <w:rPr>
            <w:rStyle w:val="Hyperlink"/>
          </w:rPr>
          <w:t>http://www.qualtrics.com</w:t>
        </w:r>
      </w:hyperlink>
    </w:p>
    <w:p w:rsidR="00440567" w:rsidRPr="00C43F3E" w:rsidRDefault="00440567" w:rsidP="00440567">
      <w:pPr>
        <w:shd w:val="clear" w:color="auto" w:fill="FFFFFF"/>
        <w:spacing w:line="270" w:lineRule="atLeast"/>
        <w:ind w:left="720" w:hanging="720"/>
        <w:textAlignment w:val="center"/>
      </w:pPr>
      <w:proofErr w:type="spellStart"/>
      <w:proofErr w:type="gramStart"/>
      <w:r w:rsidRPr="006145E6">
        <w:t>Renn</w:t>
      </w:r>
      <w:proofErr w:type="spellEnd"/>
      <w:r w:rsidRPr="006145E6">
        <w:t>, K. A. &amp; Reason, R. D. (2013).</w:t>
      </w:r>
      <w:proofErr w:type="gramEnd"/>
      <w:r w:rsidRPr="006145E6">
        <w:t xml:space="preserve"> College students in the United States: Characteristics, experiences, and outcomes. San </w:t>
      </w:r>
      <w:proofErr w:type="spellStart"/>
      <w:r w:rsidRPr="006145E6">
        <w:t>Franscisco</w:t>
      </w:r>
      <w:proofErr w:type="spellEnd"/>
      <w:r w:rsidRPr="006145E6">
        <w:t xml:space="preserve">: </w:t>
      </w:r>
      <w:proofErr w:type="spellStart"/>
      <w:r w:rsidRPr="006145E6">
        <w:t>Jossey</w:t>
      </w:r>
      <w:proofErr w:type="spellEnd"/>
      <w:r w:rsidRPr="006145E6">
        <w:t xml:space="preserve">-Bass. </w:t>
      </w:r>
    </w:p>
    <w:p w:rsidR="001519A9" w:rsidRPr="001519A9" w:rsidRDefault="001519A9" w:rsidP="001519A9">
      <w:pPr>
        <w:ind w:left="720" w:hanging="720"/>
        <w:rPr>
          <w:u w:val="single"/>
        </w:rPr>
      </w:pPr>
      <w:proofErr w:type="gramStart"/>
      <w:r w:rsidRPr="001519A9">
        <w:t>Smith, C. L. &amp; Allen, J. M. (2006).</w:t>
      </w:r>
      <w:proofErr w:type="gramEnd"/>
      <w:r w:rsidRPr="001519A9">
        <w:t xml:space="preserve"> Essential functions of academic advising: What students want and get. </w:t>
      </w:r>
      <w:r w:rsidRPr="001519A9">
        <w:rPr>
          <w:i/>
        </w:rPr>
        <w:t>NACADA Journal, 26</w:t>
      </w:r>
      <w:r w:rsidRPr="001519A9">
        <w:t xml:space="preserve">(1), 56-66. </w:t>
      </w:r>
      <w:proofErr w:type="spellStart"/>
      <w:proofErr w:type="gramStart"/>
      <w:r w:rsidRPr="001519A9">
        <w:rPr>
          <w:bCs/>
        </w:rPr>
        <w:t>doi</w:t>
      </w:r>
      <w:proofErr w:type="spellEnd"/>
      <w:proofErr w:type="gramEnd"/>
      <w:r w:rsidRPr="001519A9">
        <w:rPr>
          <w:bCs/>
        </w:rPr>
        <w:t>:</w:t>
      </w:r>
      <w:r w:rsidRPr="001519A9">
        <w:t> http://dx.doi.org/10.12930/0271-9517-26.1.56</w:t>
      </w:r>
    </w:p>
    <w:p w:rsidR="001519A9" w:rsidRPr="001519A9" w:rsidRDefault="001519A9" w:rsidP="001519A9">
      <w:pPr>
        <w:ind w:left="720" w:hanging="720"/>
      </w:pPr>
      <w:proofErr w:type="spellStart"/>
      <w:r w:rsidRPr="001519A9">
        <w:t>Teitelbaum</w:t>
      </w:r>
      <w:proofErr w:type="spellEnd"/>
      <w:r w:rsidRPr="001519A9">
        <w:t xml:space="preserve">, H. (2000). Anticipating, implementing, and adapting to changes in academic advising. In V. N. Gordon &amp; W. R. </w:t>
      </w:r>
      <w:proofErr w:type="spellStart"/>
      <w:r w:rsidRPr="001519A9">
        <w:t>Habley</w:t>
      </w:r>
      <w:proofErr w:type="spellEnd"/>
      <w:r w:rsidRPr="001519A9">
        <w:t xml:space="preserve"> (Eds.), </w:t>
      </w:r>
      <w:r w:rsidRPr="001519A9">
        <w:rPr>
          <w:i/>
          <w:iCs/>
        </w:rPr>
        <w:t xml:space="preserve">Academic advising: A comprehensive handbook </w:t>
      </w:r>
      <w:r w:rsidRPr="001519A9">
        <w:t xml:space="preserve">(pp. 393–402). San Francisco: </w:t>
      </w:r>
      <w:proofErr w:type="spellStart"/>
      <w:r w:rsidRPr="001519A9">
        <w:t>Jossey</w:t>
      </w:r>
      <w:proofErr w:type="spellEnd"/>
      <w:r w:rsidRPr="001519A9">
        <w:t>-Bass.</w:t>
      </w:r>
    </w:p>
    <w:p w:rsidR="001519A9" w:rsidRPr="00B03B94" w:rsidRDefault="001519A9" w:rsidP="00B03B94">
      <w:pPr>
        <w:ind w:left="720" w:hanging="720"/>
        <w:rPr>
          <w:b/>
        </w:rPr>
      </w:pPr>
    </w:p>
    <w:sectPr w:rsidR="001519A9" w:rsidRPr="00B03B94" w:rsidSect="0068383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14B" w:rsidRDefault="00CD214B" w:rsidP="00817674">
      <w:r>
        <w:separator/>
      </w:r>
    </w:p>
  </w:endnote>
  <w:endnote w:type="continuationSeparator" w:id="0">
    <w:p w:rsidR="00CD214B" w:rsidRDefault="00CD214B" w:rsidP="00817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14B" w:rsidRDefault="00CD214B" w:rsidP="00817674">
      <w:r>
        <w:separator/>
      </w:r>
    </w:p>
  </w:footnote>
  <w:footnote w:type="continuationSeparator" w:id="0">
    <w:p w:rsidR="00CD214B" w:rsidRDefault="00CD214B" w:rsidP="00817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71674"/>
      <w:docPartObj>
        <w:docPartGallery w:val="Page Numbers (Top of Page)"/>
        <w:docPartUnique/>
      </w:docPartObj>
    </w:sdtPr>
    <w:sdtEndPr/>
    <w:sdtContent>
      <w:p w:rsidR="00C62065" w:rsidRPr="00817674" w:rsidRDefault="00C62065" w:rsidP="000D612B">
        <w:pPr>
          <w:pStyle w:val="Header"/>
          <w:jc w:val="right"/>
          <w:rPr>
            <w:rFonts w:asciiTheme="minorHAnsi" w:hAnsiTheme="minorHAnsi"/>
          </w:rPr>
        </w:pPr>
        <w:r>
          <w:t xml:space="preserve">Research </w:t>
        </w:r>
      </w:p>
      <w:p w:rsidR="00C62065" w:rsidRPr="000D612B" w:rsidRDefault="00FA6D75">
        <w:pPr>
          <w:pStyle w:val="Header"/>
          <w:jc w:val="right"/>
          <w:rPr>
            <w:rFonts w:asciiTheme="minorHAnsi" w:hAnsiTheme="minorHAnsi"/>
          </w:rPr>
        </w:pPr>
      </w:p>
    </w:sdtContent>
  </w:sdt>
  <w:p w:rsidR="00C62065" w:rsidRDefault="00C620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0934469"/>
      <w:docPartObj>
        <w:docPartGallery w:val="Page Numbers (Top of Page)"/>
        <w:docPartUnique/>
      </w:docPartObj>
    </w:sdtPr>
    <w:sdtEndPr/>
    <w:sdtContent>
      <w:p w:rsidR="0068383B" w:rsidRPr="00817674" w:rsidRDefault="0068383B" w:rsidP="000D612B">
        <w:pPr>
          <w:pStyle w:val="Header"/>
          <w:jc w:val="right"/>
          <w:rPr>
            <w:rFonts w:asciiTheme="minorHAnsi" w:hAnsiTheme="minorHAnsi"/>
          </w:rPr>
        </w:pPr>
        <w:r>
          <w:t xml:space="preserve">Research </w:t>
        </w:r>
      </w:p>
      <w:p w:rsidR="0068383B" w:rsidRPr="000D612B" w:rsidRDefault="00FA6D75">
        <w:pPr>
          <w:pStyle w:val="Header"/>
          <w:jc w:val="right"/>
          <w:rPr>
            <w:rFonts w:asciiTheme="minorHAnsi" w:hAnsiTheme="minorHAnsi"/>
          </w:rPr>
        </w:pPr>
        <w:sdt>
          <w:sdtPr>
            <w:rPr>
              <w:rFonts w:asciiTheme="minorHAnsi" w:hAnsiTheme="minorHAnsi"/>
            </w:rPr>
            <w:id w:val="-638655013"/>
            <w:docPartObj>
              <w:docPartGallery w:val="Page Numbers (Top of Page)"/>
              <w:docPartUnique/>
            </w:docPartObj>
          </w:sdtPr>
          <w:sdtEndPr/>
          <w:sdtContent>
            <w:r w:rsidR="0068383B" w:rsidRPr="00817674">
              <w:rPr>
                <w:rFonts w:asciiTheme="minorHAnsi" w:hAnsiTheme="minorHAnsi"/>
              </w:rPr>
              <w:fldChar w:fldCharType="begin"/>
            </w:r>
            <w:r w:rsidR="0068383B" w:rsidRPr="00817674">
              <w:rPr>
                <w:rFonts w:asciiTheme="minorHAnsi" w:hAnsiTheme="minorHAnsi"/>
              </w:rPr>
              <w:instrText xml:space="preserve"> PAGE   \* MERGEFORMAT </w:instrText>
            </w:r>
            <w:r w:rsidR="0068383B" w:rsidRPr="00817674">
              <w:rPr>
                <w:rFonts w:asciiTheme="minorHAnsi" w:hAnsiTheme="minorHAnsi"/>
              </w:rPr>
              <w:fldChar w:fldCharType="separate"/>
            </w:r>
            <w:r>
              <w:rPr>
                <w:rFonts w:asciiTheme="minorHAnsi" w:hAnsiTheme="minorHAnsi"/>
                <w:noProof/>
              </w:rPr>
              <w:t>1</w:t>
            </w:r>
            <w:r w:rsidR="0068383B" w:rsidRPr="00817674">
              <w:rPr>
                <w:rFonts w:asciiTheme="minorHAnsi" w:hAnsiTheme="minorHAnsi"/>
              </w:rPr>
              <w:fldChar w:fldCharType="end"/>
            </w:r>
          </w:sdtContent>
        </w:sdt>
      </w:p>
    </w:sdtContent>
  </w:sdt>
  <w:p w:rsidR="0068383B" w:rsidRDefault="006838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750EB"/>
    <w:multiLevelType w:val="hybridMultilevel"/>
    <w:tmpl w:val="D5D86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6E7CA1"/>
    <w:multiLevelType w:val="hybridMultilevel"/>
    <w:tmpl w:val="380CA67C"/>
    <w:lvl w:ilvl="0" w:tplc="B67C67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F611AD5"/>
    <w:multiLevelType w:val="hybridMultilevel"/>
    <w:tmpl w:val="1A1031A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C20"/>
    <w:rsid w:val="00007021"/>
    <w:rsid w:val="00011DFF"/>
    <w:rsid w:val="00015DB0"/>
    <w:rsid w:val="00022E16"/>
    <w:rsid w:val="000235EC"/>
    <w:rsid w:val="00027207"/>
    <w:rsid w:val="000362B2"/>
    <w:rsid w:val="00040AFE"/>
    <w:rsid w:val="00047B28"/>
    <w:rsid w:val="000509CF"/>
    <w:rsid w:val="000545E1"/>
    <w:rsid w:val="00055A60"/>
    <w:rsid w:val="00072945"/>
    <w:rsid w:val="00074C2C"/>
    <w:rsid w:val="00081F82"/>
    <w:rsid w:val="000845FE"/>
    <w:rsid w:val="00090482"/>
    <w:rsid w:val="000A11CF"/>
    <w:rsid w:val="000A5213"/>
    <w:rsid w:val="000C1BCF"/>
    <w:rsid w:val="000C684A"/>
    <w:rsid w:val="000D2E80"/>
    <w:rsid w:val="000D3128"/>
    <w:rsid w:val="000D3B94"/>
    <w:rsid w:val="000D612B"/>
    <w:rsid w:val="000E21AA"/>
    <w:rsid w:val="000F34B0"/>
    <w:rsid w:val="00102705"/>
    <w:rsid w:val="00102CBA"/>
    <w:rsid w:val="00110E15"/>
    <w:rsid w:val="00113F1F"/>
    <w:rsid w:val="001148AC"/>
    <w:rsid w:val="001149F6"/>
    <w:rsid w:val="001215F8"/>
    <w:rsid w:val="00127339"/>
    <w:rsid w:val="00141CCD"/>
    <w:rsid w:val="00142316"/>
    <w:rsid w:val="00142CB1"/>
    <w:rsid w:val="00143E3D"/>
    <w:rsid w:val="001519A9"/>
    <w:rsid w:val="00155C20"/>
    <w:rsid w:val="00157F91"/>
    <w:rsid w:val="00160309"/>
    <w:rsid w:val="00172558"/>
    <w:rsid w:val="00176D14"/>
    <w:rsid w:val="001928F0"/>
    <w:rsid w:val="001938AA"/>
    <w:rsid w:val="001A599F"/>
    <w:rsid w:val="001B362A"/>
    <w:rsid w:val="001B59AE"/>
    <w:rsid w:val="001C06CD"/>
    <w:rsid w:val="001C0963"/>
    <w:rsid w:val="001C6255"/>
    <w:rsid w:val="001E62E5"/>
    <w:rsid w:val="001F1785"/>
    <w:rsid w:val="001F1A8E"/>
    <w:rsid w:val="001F382D"/>
    <w:rsid w:val="00203DE8"/>
    <w:rsid w:val="00206035"/>
    <w:rsid w:val="002139C8"/>
    <w:rsid w:val="00221817"/>
    <w:rsid w:val="002265A0"/>
    <w:rsid w:val="00230596"/>
    <w:rsid w:val="00231699"/>
    <w:rsid w:val="002319FC"/>
    <w:rsid w:val="00233312"/>
    <w:rsid w:val="00236778"/>
    <w:rsid w:val="00237327"/>
    <w:rsid w:val="0025610E"/>
    <w:rsid w:val="00256315"/>
    <w:rsid w:val="00260168"/>
    <w:rsid w:val="0026567C"/>
    <w:rsid w:val="002774D8"/>
    <w:rsid w:val="002814F0"/>
    <w:rsid w:val="002A4CD1"/>
    <w:rsid w:val="002C04F0"/>
    <w:rsid w:val="002C0AD1"/>
    <w:rsid w:val="002C1FE8"/>
    <w:rsid w:val="002C7F6D"/>
    <w:rsid w:val="002D5B4C"/>
    <w:rsid w:val="002D5F5E"/>
    <w:rsid w:val="002D6DED"/>
    <w:rsid w:val="002E2C34"/>
    <w:rsid w:val="002F1145"/>
    <w:rsid w:val="00303E45"/>
    <w:rsid w:val="00305174"/>
    <w:rsid w:val="00305B43"/>
    <w:rsid w:val="00310060"/>
    <w:rsid w:val="0031550C"/>
    <w:rsid w:val="0032272F"/>
    <w:rsid w:val="00326301"/>
    <w:rsid w:val="00335FD1"/>
    <w:rsid w:val="00336BC7"/>
    <w:rsid w:val="00347B37"/>
    <w:rsid w:val="00350A28"/>
    <w:rsid w:val="00351A11"/>
    <w:rsid w:val="003604CA"/>
    <w:rsid w:val="003662E5"/>
    <w:rsid w:val="003704B1"/>
    <w:rsid w:val="0037639C"/>
    <w:rsid w:val="00395710"/>
    <w:rsid w:val="003A590B"/>
    <w:rsid w:val="003C5838"/>
    <w:rsid w:val="003D0BF5"/>
    <w:rsid w:val="003D246C"/>
    <w:rsid w:val="003E30A4"/>
    <w:rsid w:val="003E42B4"/>
    <w:rsid w:val="003F37A2"/>
    <w:rsid w:val="003F7143"/>
    <w:rsid w:val="0040273D"/>
    <w:rsid w:val="004365E7"/>
    <w:rsid w:val="00440567"/>
    <w:rsid w:val="00442439"/>
    <w:rsid w:val="00442D5A"/>
    <w:rsid w:val="00443191"/>
    <w:rsid w:val="004432CA"/>
    <w:rsid w:val="00444850"/>
    <w:rsid w:val="004735FE"/>
    <w:rsid w:val="00474724"/>
    <w:rsid w:val="00482A2D"/>
    <w:rsid w:val="00484364"/>
    <w:rsid w:val="00491FB7"/>
    <w:rsid w:val="004A4F90"/>
    <w:rsid w:val="004A641D"/>
    <w:rsid w:val="004B1282"/>
    <w:rsid w:val="004B3450"/>
    <w:rsid w:val="004C444D"/>
    <w:rsid w:val="004C6A2D"/>
    <w:rsid w:val="004D075C"/>
    <w:rsid w:val="004D4441"/>
    <w:rsid w:val="004D7877"/>
    <w:rsid w:val="004E1B54"/>
    <w:rsid w:val="004E2B12"/>
    <w:rsid w:val="004E37E5"/>
    <w:rsid w:val="004F2457"/>
    <w:rsid w:val="004F265B"/>
    <w:rsid w:val="004F314A"/>
    <w:rsid w:val="004F7C68"/>
    <w:rsid w:val="00500269"/>
    <w:rsid w:val="0050148D"/>
    <w:rsid w:val="0051590D"/>
    <w:rsid w:val="00517576"/>
    <w:rsid w:val="0052203B"/>
    <w:rsid w:val="005246EE"/>
    <w:rsid w:val="005431AF"/>
    <w:rsid w:val="0054482E"/>
    <w:rsid w:val="00552C28"/>
    <w:rsid w:val="00571ECC"/>
    <w:rsid w:val="00572484"/>
    <w:rsid w:val="005734C2"/>
    <w:rsid w:val="005B01E0"/>
    <w:rsid w:val="005D0D13"/>
    <w:rsid w:val="005D44D5"/>
    <w:rsid w:val="005E3BB5"/>
    <w:rsid w:val="005E6A80"/>
    <w:rsid w:val="005F459C"/>
    <w:rsid w:val="005F4C60"/>
    <w:rsid w:val="005F5E8D"/>
    <w:rsid w:val="00602A94"/>
    <w:rsid w:val="00605322"/>
    <w:rsid w:val="006242F8"/>
    <w:rsid w:val="00634483"/>
    <w:rsid w:val="006350C3"/>
    <w:rsid w:val="006353FB"/>
    <w:rsid w:val="006469ED"/>
    <w:rsid w:val="00647F92"/>
    <w:rsid w:val="006630EC"/>
    <w:rsid w:val="006639D7"/>
    <w:rsid w:val="00664D90"/>
    <w:rsid w:val="00666121"/>
    <w:rsid w:val="006804CB"/>
    <w:rsid w:val="0068383B"/>
    <w:rsid w:val="00692014"/>
    <w:rsid w:val="006951B8"/>
    <w:rsid w:val="00697DBC"/>
    <w:rsid w:val="006B12FE"/>
    <w:rsid w:val="006B7EB7"/>
    <w:rsid w:val="006C2483"/>
    <w:rsid w:val="006C7306"/>
    <w:rsid w:val="006D3FDE"/>
    <w:rsid w:val="006E0146"/>
    <w:rsid w:val="006E43FB"/>
    <w:rsid w:val="0070080B"/>
    <w:rsid w:val="007071D0"/>
    <w:rsid w:val="007137AD"/>
    <w:rsid w:val="00716CA3"/>
    <w:rsid w:val="007303CC"/>
    <w:rsid w:val="00743DDA"/>
    <w:rsid w:val="007644F3"/>
    <w:rsid w:val="007705FC"/>
    <w:rsid w:val="007926AE"/>
    <w:rsid w:val="007954E2"/>
    <w:rsid w:val="007A44CA"/>
    <w:rsid w:val="007B15FA"/>
    <w:rsid w:val="007B57BD"/>
    <w:rsid w:val="007B6096"/>
    <w:rsid w:val="007C2467"/>
    <w:rsid w:val="007C4488"/>
    <w:rsid w:val="007D3279"/>
    <w:rsid w:val="007E0ACF"/>
    <w:rsid w:val="007E31D5"/>
    <w:rsid w:val="007E602C"/>
    <w:rsid w:val="007E60B5"/>
    <w:rsid w:val="007E6B0C"/>
    <w:rsid w:val="007E7857"/>
    <w:rsid w:val="007F06DA"/>
    <w:rsid w:val="007F79D7"/>
    <w:rsid w:val="0080102C"/>
    <w:rsid w:val="00817674"/>
    <w:rsid w:val="0084032E"/>
    <w:rsid w:val="008530B9"/>
    <w:rsid w:val="0086237B"/>
    <w:rsid w:val="00882C05"/>
    <w:rsid w:val="00883AF3"/>
    <w:rsid w:val="008862D7"/>
    <w:rsid w:val="00891BD3"/>
    <w:rsid w:val="00894468"/>
    <w:rsid w:val="008972B4"/>
    <w:rsid w:val="008A24D0"/>
    <w:rsid w:val="008A2FEB"/>
    <w:rsid w:val="008D7256"/>
    <w:rsid w:val="008E0839"/>
    <w:rsid w:val="008E0DA2"/>
    <w:rsid w:val="008E524F"/>
    <w:rsid w:val="008E5C56"/>
    <w:rsid w:val="009005F1"/>
    <w:rsid w:val="009157EF"/>
    <w:rsid w:val="00916C6B"/>
    <w:rsid w:val="00920243"/>
    <w:rsid w:val="009246D1"/>
    <w:rsid w:val="009358C0"/>
    <w:rsid w:val="00936364"/>
    <w:rsid w:val="00937356"/>
    <w:rsid w:val="009375F0"/>
    <w:rsid w:val="00940D89"/>
    <w:rsid w:val="0094199B"/>
    <w:rsid w:val="00944485"/>
    <w:rsid w:val="0094745E"/>
    <w:rsid w:val="00957881"/>
    <w:rsid w:val="00957C6D"/>
    <w:rsid w:val="0096620A"/>
    <w:rsid w:val="009669A7"/>
    <w:rsid w:val="00976991"/>
    <w:rsid w:val="00976DBC"/>
    <w:rsid w:val="009868E3"/>
    <w:rsid w:val="00992D8B"/>
    <w:rsid w:val="009A051F"/>
    <w:rsid w:val="009A2973"/>
    <w:rsid w:val="009A307F"/>
    <w:rsid w:val="009A70CF"/>
    <w:rsid w:val="009B2F58"/>
    <w:rsid w:val="009B3BB9"/>
    <w:rsid w:val="009B432C"/>
    <w:rsid w:val="009B56B7"/>
    <w:rsid w:val="009C5029"/>
    <w:rsid w:val="009C6155"/>
    <w:rsid w:val="009C6934"/>
    <w:rsid w:val="009D2A05"/>
    <w:rsid w:val="009D30CB"/>
    <w:rsid w:val="009D3E0B"/>
    <w:rsid w:val="009D7242"/>
    <w:rsid w:val="009E01A4"/>
    <w:rsid w:val="009E1188"/>
    <w:rsid w:val="009F02A1"/>
    <w:rsid w:val="009F12D6"/>
    <w:rsid w:val="00A032FE"/>
    <w:rsid w:val="00A04A85"/>
    <w:rsid w:val="00A116F0"/>
    <w:rsid w:val="00A16494"/>
    <w:rsid w:val="00A224CE"/>
    <w:rsid w:val="00A36739"/>
    <w:rsid w:val="00A37A30"/>
    <w:rsid w:val="00A43411"/>
    <w:rsid w:val="00A43C84"/>
    <w:rsid w:val="00A45818"/>
    <w:rsid w:val="00A4702E"/>
    <w:rsid w:val="00A64804"/>
    <w:rsid w:val="00A678BA"/>
    <w:rsid w:val="00A7155A"/>
    <w:rsid w:val="00A7300E"/>
    <w:rsid w:val="00A87F85"/>
    <w:rsid w:val="00A97A0C"/>
    <w:rsid w:val="00AC08AD"/>
    <w:rsid w:val="00AC2887"/>
    <w:rsid w:val="00AC3B58"/>
    <w:rsid w:val="00AC57F6"/>
    <w:rsid w:val="00AD5193"/>
    <w:rsid w:val="00AE137F"/>
    <w:rsid w:val="00AE3A89"/>
    <w:rsid w:val="00AE5DE3"/>
    <w:rsid w:val="00AE6D4D"/>
    <w:rsid w:val="00AF33B5"/>
    <w:rsid w:val="00AF6A4C"/>
    <w:rsid w:val="00B03B94"/>
    <w:rsid w:val="00B12DCD"/>
    <w:rsid w:val="00B15A58"/>
    <w:rsid w:val="00B42CD3"/>
    <w:rsid w:val="00B5252F"/>
    <w:rsid w:val="00B525DB"/>
    <w:rsid w:val="00B53629"/>
    <w:rsid w:val="00B53CFF"/>
    <w:rsid w:val="00B56A85"/>
    <w:rsid w:val="00B57699"/>
    <w:rsid w:val="00B61D12"/>
    <w:rsid w:val="00B65FCE"/>
    <w:rsid w:val="00B67148"/>
    <w:rsid w:val="00B67153"/>
    <w:rsid w:val="00B6716E"/>
    <w:rsid w:val="00B733E2"/>
    <w:rsid w:val="00B824E9"/>
    <w:rsid w:val="00B91268"/>
    <w:rsid w:val="00B92DEF"/>
    <w:rsid w:val="00BA2E88"/>
    <w:rsid w:val="00BC3B0B"/>
    <w:rsid w:val="00BC78B4"/>
    <w:rsid w:val="00BD2360"/>
    <w:rsid w:val="00BD2D93"/>
    <w:rsid w:val="00BD31FE"/>
    <w:rsid w:val="00BD6AAD"/>
    <w:rsid w:val="00BD7460"/>
    <w:rsid w:val="00BD7953"/>
    <w:rsid w:val="00BE0598"/>
    <w:rsid w:val="00BE0F77"/>
    <w:rsid w:val="00BF23AC"/>
    <w:rsid w:val="00BF5315"/>
    <w:rsid w:val="00C23040"/>
    <w:rsid w:val="00C239F9"/>
    <w:rsid w:val="00C24D93"/>
    <w:rsid w:val="00C24DB6"/>
    <w:rsid w:val="00C24EDB"/>
    <w:rsid w:val="00C336E6"/>
    <w:rsid w:val="00C35938"/>
    <w:rsid w:val="00C42712"/>
    <w:rsid w:val="00C51EAD"/>
    <w:rsid w:val="00C5465C"/>
    <w:rsid w:val="00C62065"/>
    <w:rsid w:val="00C66BFB"/>
    <w:rsid w:val="00C734E8"/>
    <w:rsid w:val="00C7386A"/>
    <w:rsid w:val="00CB1BBD"/>
    <w:rsid w:val="00CB2F94"/>
    <w:rsid w:val="00CB3A67"/>
    <w:rsid w:val="00CC3675"/>
    <w:rsid w:val="00CC6388"/>
    <w:rsid w:val="00CC6409"/>
    <w:rsid w:val="00CD214B"/>
    <w:rsid w:val="00CD4066"/>
    <w:rsid w:val="00CD7FFE"/>
    <w:rsid w:val="00CE20AD"/>
    <w:rsid w:val="00CE28C2"/>
    <w:rsid w:val="00CF63EC"/>
    <w:rsid w:val="00CF7A5B"/>
    <w:rsid w:val="00D014E2"/>
    <w:rsid w:val="00D10A1C"/>
    <w:rsid w:val="00D14389"/>
    <w:rsid w:val="00D20172"/>
    <w:rsid w:val="00D23909"/>
    <w:rsid w:val="00D307F1"/>
    <w:rsid w:val="00D37681"/>
    <w:rsid w:val="00D569F7"/>
    <w:rsid w:val="00D57432"/>
    <w:rsid w:val="00D629F1"/>
    <w:rsid w:val="00D64323"/>
    <w:rsid w:val="00D67AA2"/>
    <w:rsid w:val="00D802B9"/>
    <w:rsid w:val="00D83C85"/>
    <w:rsid w:val="00D85E42"/>
    <w:rsid w:val="00D937E1"/>
    <w:rsid w:val="00D94F5E"/>
    <w:rsid w:val="00D95371"/>
    <w:rsid w:val="00DA1599"/>
    <w:rsid w:val="00DA1A93"/>
    <w:rsid w:val="00DA27AD"/>
    <w:rsid w:val="00DB2132"/>
    <w:rsid w:val="00DC3C9D"/>
    <w:rsid w:val="00DD375B"/>
    <w:rsid w:val="00DD7EE2"/>
    <w:rsid w:val="00DE2915"/>
    <w:rsid w:val="00DE3803"/>
    <w:rsid w:val="00DF5D08"/>
    <w:rsid w:val="00E03AC1"/>
    <w:rsid w:val="00E04A29"/>
    <w:rsid w:val="00E0744C"/>
    <w:rsid w:val="00E15E3E"/>
    <w:rsid w:val="00E1734F"/>
    <w:rsid w:val="00E32FCA"/>
    <w:rsid w:val="00E33FBE"/>
    <w:rsid w:val="00E3626A"/>
    <w:rsid w:val="00E44D0F"/>
    <w:rsid w:val="00E4675A"/>
    <w:rsid w:val="00E66F4E"/>
    <w:rsid w:val="00E7775A"/>
    <w:rsid w:val="00E85E12"/>
    <w:rsid w:val="00E87CB9"/>
    <w:rsid w:val="00E917EF"/>
    <w:rsid w:val="00E92D33"/>
    <w:rsid w:val="00E93384"/>
    <w:rsid w:val="00E9370D"/>
    <w:rsid w:val="00EA0B38"/>
    <w:rsid w:val="00EA4798"/>
    <w:rsid w:val="00EA5DAE"/>
    <w:rsid w:val="00EA5F95"/>
    <w:rsid w:val="00EB77B8"/>
    <w:rsid w:val="00EC4971"/>
    <w:rsid w:val="00ED5D29"/>
    <w:rsid w:val="00ED62A8"/>
    <w:rsid w:val="00ED7E6A"/>
    <w:rsid w:val="00EE2AAA"/>
    <w:rsid w:val="00EE35A5"/>
    <w:rsid w:val="00EE4DF1"/>
    <w:rsid w:val="00EE66D7"/>
    <w:rsid w:val="00EF0E4A"/>
    <w:rsid w:val="00EF1902"/>
    <w:rsid w:val="00EF32CB"/>
    <w:rsid w:val="00F01A83"/>
    <w:rsid w:val="00F128D2"/>
    <w:rsid w:val="00F205CC"/>
    <w:rsid w:val="00F22E6C"/>
    <w:rsid w:val="00F25322"/>
    <w:rsid w:val="00F27D20"/>
    <w:rsid w:val="00F30889"/>
    <w:rsid w:val="00F46975"/>
    <w:rsid w:val="00F51ABE"/>
    <w:rsid w:val="00F52AC3"/>
    <w:rsid w:val="00F5467D"/>
    <w:rsid w:val="00F5688E"/>
    <w:rsid w:val="00F73544"/>
    <w:rsid w:val="00F75E38"/>
    <w:rsid w:val="00F822BB"/>
    <w:rsid w:val="00F87F17"/>
    <w:rsid w:val="00F90DC2"/>
    <w:rsid w:val="00F90FBC"/>
    <w:rsid w:val="00F977BF"/>
    <w:rsid w:val="00FA45D9"/>
    <w:rsid w:val="00FA5429"/>
    <w:rsid w:val="00FA6D75"/>
    <w:rsid w:val="00FB2BBC"/>
    <w:rsid w:val="00FB5A6B"/>
    <w:rsid w:val="00FC00CA"/>
    <w:rsid w:val="00FC26A1"/>
    <w:rsid w:val="00FC280E"/>
    <w:rsid w:val="00FC5D96"/>
    <w:rsid w:val="00FD2345"/>
    <w:rsid w:val="00FF7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C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FA542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17674"/>
    <w:pPr>
      <w:tabs>
        <w:tab w:val="center" w:pos="4680"/>
        <w:tab w:val="right" w:pos="9360"/>
      </w:tabs>
    </w:pPr>
  </w:style>
  <w:style w:type="character" w:customStyle="1" w:styleId="HeaderChar">
    <w:name w:val="Header Char"/>
    <w:basedOn w:val="DefaultParagraphFont"/>
    <w:link w:val="Header"/>
    <w:uiPriority w:val="99"/>
    <w:rsid w:val="008176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17674"/>
    <w:pPr>
      <w:tabs>
        <w:tab w:val="center" w:pos="4680"/>
        <w:tab w:val="right" w:pos="9360"/>
      </w:tabs>
    </w:pPr>
  </w:style>
  <w:style w:type="character" w:customStyle="1" w:styleId="FooterChar">
    <w:name w:val="Footer Char"/>
    <w:basedOn w:val="DefaultParagraphFont"/>
    <w:link w:val="Footer"/>
    <w:uiPriority w:val="99"/>
    <w:rsid w:val="00817674"/>
    <w:rPr>
      <w:rFonts w:ascii="Times New Roman" w:eastAsia="Times New Roman" w:hAnsi="Times New Roman" w:cs="Times New Roman"/>
      <w:sz w:val="24"/>
      <w:szCs w:val="24"/>
    </w:rPr>
  </w:style>
  <w:style w:type="paragraph" w:styleId="Revision">
    <w:name w:val="Revision"/>
    <w:hidden/>
    <w:uiPriority w:val="99"/>
    <w:semiHidden/>
    <w:rsid w:val="00D83C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3C85"/>
    <w:rPr>
      <w:rFonts w:ascii="Tahoma" w:hAnsi="Tahoma" w:cs="Tahoma"/>
      <w:sz w:val="16"/>
      <w:szCs w:val="16"/>
    </w:rPr>
  </w:style>
  <w:style w:type="character" w:customStyle="1" w:styleId="BalloonTextChar">
    <w:name w:val="Balloon Text Char"/>
    <w:basedOn w:val="DefaultParagraphFont"/>
    <w:link w:val="BalloonText"/>
    <w:uiPriority w:val="99"/>
    <w:semiHidden/>
    <w:rsid w:val="00D83C8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83C85"/>
    <w:rPr>
      <w:sz w:val="16"/>
      <w:szCs w:val="16"/>
    </w:rPr>
  </w:style>
  <w:style w:type="paragraph" w:styleId="CommentText">
    <w:name w:val="annotation text"/>
    <w:basedOn w:val="Normal"/>
    <w:link w:val="CommentTextChar"/>
    <w:uiPriority w:val="99"/>
    <w:semiHidden/>
    <w:unhideWhenUsed/>
    <w:rsid w:val="00D83C85"/>
    <w:rPr>
      <w:sz w:val="20"/>
      <w:szCs w:val="20"/>
    </w:rPr>
  </w:style>
  <w:style w:type="character" w:customStyle="1" w:styleId="CommentTextChar">
    <w:name w:val="Comment Text Char"/>
    <w:basedOn w:val="DefaultParagraphFont"/>
    <w:link w:val="CommentText"/>
    <w:uiPriority w:val="99"/>
    <w:semiHidden/>
    <w:rsid w:val="00D83C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C85"/>
    <w:rPr>
      <w:b/>
      <w:bCs/>
    </w:rPr>
  </w:style>
  <w:style w:type="character" w:customStyle="1" w:styleId="CommentSubjectChar">
    <w:name w:val="Comment Subject Char"/>
    <w:basedOn w:val="CommentTextChar"/>
    <w:link w:val="CommentSubject"/>
    <w:uiPriority w:val="99"/>
    <w:semiHidden/>
    <w:rsid w:val="00D83C85"/>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42CD3"/>
    <w:rPr>
      <w:color w:val="0000FF" w:themeColor="hyperlink"/>
      <w:u w:val="single"/>
    </w:rPr>
  </w:style>
  <w:style w:type="table" w:styleId="TableGrid">
    <w:name w:val="Table Grid"/>
    <w:basedOn w:val="TableNormal"/>
    <w:uiPriority w:val="1"/>
    <w:rsid w:val="00C42712"/>
    <w:pPr>
      <w:spacing w:after="0" w:line="240" w:lineRule="auto"/>
    </w:pPr>
    <w:rPr>
      <w:rFonts w:eastAsiaTheme="minorEastAsia"/>
      <w:lang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gsa1">
    <w:name w:val="gs_a1"/>
    <w:basedOn w:val="DefaultParagraphFont"/>
    <w:rsid w:val="00B53629"/>
    <w:rPr>
      <w:color w:val="008000"/>
    </w:rPr>
  </w:style>
  <w:style w:type="paragraph" w:styleId="ListParagraph">
    <w:name w:val="List Paragraph"/>
    <w:basedOn w:val="Normal"/>
    <w:uiPriority w:val="34"/>
    <w:qFormat/>
    <w:rsid w:val="00B57699"/>
    <w:pPr>
      <w:spacing w:after="200" w:line="276" w:lineRule="auto"/>
      <w:ind w:left="720"/>
      <w:contextualSpacing/>
    </w:pPr>
    <w:rPr>
      <w:rFonts w:asciiTheme="minorHAnsi" w:eastAsiaTheme="minorEastAsia" w:hAnsiTheme="minorHAnsi" w:cstheme="minorBidi"/>
      <w:sz w:val="22"/>
      <w:szCs w:val="22"/>
    </w:rPr>
  </w:style>
  <w:style w:type="character" w:customStyle="1" w:styleId="version">
    <w:name w:val="version"/>
    <w:basedOn w:val="DefaultParagraphFont"/>
    <w:rsid w:val="00B03B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C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FA542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17674"/>
    <w:pPr>
      <w:tabs>
        <w:tab w:val="center" w:pos="4680"/>
        <w:tab w:val="right" w:pos="9360"/>
      </w:tabs>
    </w:pPr>
  </w:style>
  <w:style w:type="character" w:customStyle="1" w:styleId="HeaderChar">
    <w:name w:val="Header Char"/>
    <w:basedOn w:val="DefaultParagraphFont"/>
    <w:link w:val="Header"/>
    <w:uiPriority w:val="99"/>
    <w:rsid w:val="0081767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17674"/>
    <w:pPr>
      <w:tabs>
        <w:tab w:val="center" w:pos="4680"/>
        <w:tab w:val="right" w:pos="9360"/>
      </w:tabs>
    </w:pPr>
  </w:style>
  <w:style w:type="character" w:customStyle="1" w:styleId="FooterChar">
    <w:name w:val="Footer Char"/>
    <w:basedOn w:val="DefaultParagraphFont"/>
    <w:link w:val="Footer"/>
    <w:uiPriority w:val="99"/>
    <w:rsid w:val="00817674"/>
    <w:rPr>
      <w:rFonts w:ascii="Times New Roman" w:eastAsia="Times New Roman" w:hAnsi="Times New Roman" w:cs="Times New Roman"/>
      <w:sz w:val="24"/>
      <w:szCs w:val="24"/>
    </w:rPr>
  </w:style>
  <w:style w:type="paragraph" w:styleId="Revision">
    <w:name w:val="Revision"/>
    <w:hidden/>
    <w:uiPriority w:val="99"/>
    <w:semiHidden/>
    <w:rsid w:val="00D83C85"/>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3C85"/>
    <w:rPr>
      <w:rFonts w:ascii="Tahoma" w:hAnsi="Tahoma" w:cs="Tahoma"/>
      <w:sz w:val="16"/>
      <w:szCs w:val="16"/>
    </w:rPr>
  </w:style>
  <w:style w:type="character" w:customStyle="1" w:styleId="BalloonTextChar">
    <w:name w:val="Balloon Text Char"/>
    <w:basedOn w:val="DefaultParagraphFont"/>
    <w:link w:val="BalloonText"/>
    <w:uiPriority w:val="99"/>
    <w:semiHidden/>
    <w:rsid w:val="00D83C8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D83C85"/>
    <w:rPr>
      <w:sz w:val="16"/>
      <w:szCs w:val="16"/>
    </w:rPr>
  </w:style>
  <w:style w:type="paragraph" w:styleId="CommentText">
    <w:name w:val="annotation text"/>
    <w:basedOn w:val="Normal"/>
    <w:link w:val="CommentTextChar"/>
    <w:uiPriority w:val="99"/>
    <w:semiHidden/>
    <w:unhideWhenUsed/>
    <w:rsid w:val="00D83C85"/>
    <w:rPr>
      <w:sz w:val="20"/>
      <w:szCs w:val="20"/>
    </w:rPr>
  </w:style>
  <w:style w:type="character" w:customStyle="1" w:styleId="CommentTextChar">
    <w:name w:val="Comment Text Char"/>
    <w:basedOn w:val="DefaultParagraphFont"/>
    <w:link w:val="CommentText"/>
    <w:uiPriority w:val="99"/>
    <w:semiHidden/>
    <w:rsid w:val="00D83C8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3C85"/>
    <w:rPr>
      <w:b/>
      <w:bCs/>
    </w:rPr>
  </w:style>
  <w:style w:type="character" w:customStyle="1" w:styleId="CommentSubjectChar">
    <w:name w:val="Comment Subject Char"/>
    <w:basedOn w:val="CommentTextChar"/>
    <w:link w:val="CommentSubject"/>
    <w:uiPriority w:val="99"/>
    <w:semiHidden/>
    <w:rsid w:val="00D83C85"/>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42CD3"/>
    <w:rPr>
      <w:color w:val="0000FF" w:themeColor="hyperlink"/>
      <w:u w:val="single"/>
    </w:rPr>
  </w:style>
  <w:style w:type="table" w:styleId="TableGrid">
    <w:name w:val="Table Grid"/>
    <w:basedOn w:val="TableNormal"/>
    <w:uiPriority w:val="1"/>
    <w:rsid w:val="00C42712"/>
    <w:pPr>
      <w:spacing w:after="0" w:line="240" w:lineRule="auto"/>
    </w:pPr>
    <w:rPr>
      <w:rFonts w:eastAsiaTheme="minorEastAsia"/>
      <w:lang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gsa1">
    <w:name w:val="gs_a1"/>
    <w:basedOn w:val="DefaultParagraphFont"/>
    <w:rsid w:val="00B53629"/>
    <w:rPr>
      <w:color w:val="008000"/>
    </w:rPr>
  </w:style>
  <w:style w:type="paragraph" w:styleId="ListParagraph">
    <w:name w:val="List Paragraph"/>
    <w:basedOn w:val="Normal"/>
    <w:uiPriority w:val="34"/>
    <w:qFormat/>
    <w:rsid w:val="00B57699"/>
    <w:pPr>
      <w:spacing w:after="200" w:line="276" w:lineRule="auto"/>
      <w:ind w:left="720"/>
      <w:contextualSpacing/>
    </w:pPr>
    <w:rPr>
      <w:rFonts w:asciiTheme="minorHAnsi" w:eastAsiaTheme="minorEastAsia" w:hAnsiTheme="minorHAnsi" w:cstheme="minorBidi"/>
      <w:sz w:val="22"/>
      <w:szCs w:val="22"/>
    </w:rPr>
  </w:style>
  <w:style w:type="character" w:customStyle="1" w:styleId="version">
    <w:name w:val="version"/>
    <w:basedOn w:val="DefaultParagraphFont"/>
    <w:rsid w:val="00B03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027660">
      <w:bodyDiv w:val="1"/>
      <w:marLeft w:val="0"/>
      <w:marRight w:val="0"/>
      <w:marTop w:val="0"/>
      <w:marBottom w:val="0"/>
      <w:divBdr>
        <w:top w:val="none" w:sz="0" w:space="0" w:color="auto"/>
        <w:left w:val="none" w:sz="0" w:space="0" w:color="auto"/>
        <w:bottom w:val="none" w:sz="0" w:space="0" w:color="auto"/>
        <w:right w:val="none" w:sz="0" w:space="0" w:color="auto"/>
      </w:divBdr>
      <w:divsChild>
        <w:div w:id="1912226362">
          <w:marLeft w:val="0"/>
          <w:marRight w:val="0"/>
          <w:marTop w:val="0"/>
          <w:marBottom w:val="0"/>
          <w:divBdr>
            <w:top w:val="none" w:sz="0" w:space="0" w:color="auto"/>
            <w:left w:val="none" w:sz="0" w:space="0" w:color="auto"/>
            <w:bottom w:val="none" w:sz="0" w:space="0" w:color="auto"/>
            <w:right w:val="none" w:sz="0" w:space="0" w:color="auto"/>
          </w:divBdr>
        </w:div>
      </w:divsChild>
    </w:div>
    <w:div w:id="1209613625">
      <w:bodyDiv w:val="1"/>
      <w:marLeft w:val="0"/>
      <w:marRight w:val="0"/>
      <w:marTop w:val="0"/>
      <w:marBottom w:val="0"/>
      <w:divBdr>
        <w:top w:val="none" w:sz="0" w:space="0" w:color="auto"/>
        <w:left w:val="none" w:sz="0" w:space="0" w:color="auto"/>
        <w:bottom w:val="none" w:sz="0" w:space="0" w:color="auto"/>
        <w:right w:val="none" w:sz="0" w:space="0" w:color="auto"/>
      </w:divBdr>
    </w:div>
    <w:div w:id="1391885417">
      <w:bodyDiv w:val="1"/>
      <w:marLeft w:val="0"/>
      <w:marRight w:val="0"/>
      <w:marTop w:val="0"/>
      <w:marBottom w:val="0"/>
      <w:divBdr>
        <w:top w:val="none" w:sz="0" w:space="0" w:color="auto"/>
        <w:left w:val="none" w:sz="0" w:space="0" w:color="auto"/>
        <w:bottom w:val="none" w:sz="0" w:space="0" w:color="auto"/>
        <w:right w:val="none" w:sz="0" w:space="0" w:color="auto"/>
      </w:divBdr>
      <w:divsChild>
        <w:div w:id="2124885044">
          <w:marLeft w:val="0"/>
          <w:marRight w:val="0"/>
          <w:marTop w:val="0"/>
          <w:marBottom w:val="0"/>
          <w:divBdr>
            <w:top w:val="none" w:sz="0" w:space="0" w:color="auto"/>
            <w:left w:val="none" w:sz="0" w:space="0" w:color="auto"/>
            <w:bottom w:val="none" w:sz="0" w:space="0" w:color="auto"/>
            <w:right w:val="none" w:sz="0" w:space="0" w:color="auto"/>
          </w:divBdr>
        </w:div>
      </w:divsChild>
    </w:div>
    <w:div w:id="2137986638">
      <w:bodyDiv w:val="1"/>
      <w:marLeft w:val="0"/>
      <w:marRight w:val="0"/>
      <w:marTop w:val="0"/>
      <w:marBottom w:val="0"/>
      <w:divBdr>
        <w:top w:val="none" w:sz="0" w:space="0" w:color="auto"/>
        <w:left w:val="none" w:sz="0" w:space="0" w:color="auto"/>
        <w:bottom w:val="none" w:sz="0" w:space="0" w:color="auto"/>
        <w:right w:val="none" w:sz="0" w:space="0" w:color="auto"/>
      </w:divBdr>
      <w:divsChild>
        <w:div w:id="1285428966">
          <w:marLeft w:val="0"/>
          <w:marRight w:val="0"/>
          <w:marTop w:val="100"/>
          <w:marBottom w:val="100"/>
          <w:divBdr>
            <w:top w:val="single" w:sz="2" w:space="0" w:color="666666"/>
            <w:left w:val="single" w:sz="6" w:space="0" w:color="666666"/>
            <w:bottom w:val="single" w:sz="6" w:space="0" w:color="666666"/>
            <w:right w:val="single" w:sz="6" w:space="0" w:color="666666"/>
          </w:divBdr>
          <w:divsChild>
            <w:div w:id="1599176104">
              <w:marLeft w:val="0"/>
              <w:marRight w:val="0"/>
              <w:marTop w:val="0"/>
              <w:marBottom w:val="0"/>
              <w:divBdr>
                <w:top w:val="none" w:sz="0" w:space="0" w:color="auto"/>
                <w:left w:val="none" w:sz="0" w:space="0" w:color="auto"/>
                <w:bottom w:val="none" w:sz="0" w:space="0" w:color="auto"/>
                <w:right w:val="none" w:sz="0" w:space="0" w:color="auto"/>
              </w:divBdr>
              <w:divsChild>
                <w:div w:id="1553228546">
                  <w:marLeft w:val="0"/>
                  <w:marRight w:val="0"/>
                  <w:marTop w:val="0"/>
                  <w:marBottom w:val="0"/>
                  <w:divBdr>
                    <w:top w:val="none" w:sz="0" w:space="0" w:color="auto"/>
                    <w:left w:val="none" w:sz="0" w:space="0" w:color="auto"/>
                    <w:bottom w:val="none" w:sz="0" w:space="0" w:color="auto"/>
                    <w:right w:val="none" w:sz="0" w:space="0" w:color="auto"/>
                  </w:divBdr>
                  <w:divsChild>
                    <w:div w:id="2105612442">
                      <w:marLeft w:val="0"/>
                      <w:marRight w:val="0"/>
                      <w:marTop w:val="0"/>
                      <w:marBottom w:val="0"/>
                      <w:divBdr>
                        <w:top w:val="none" w:sz="0" w:space="0" w:color="auto"/>
                        <w:left w:val="none" w:sz="0" w:space="0" w:color="auto"/>
                        <w:bottom w:val="none" w:sz="0" w:space="0" w:color="auto"/>
                        <w:right w:val="none" w:sz="0" w:space="0" w:color="auto"/>
                      </w:divBdr>
                      <w:divsChild>
                        <w:div w:id="669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qualtrics.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ces.ed.gov/pubsearch/pubsinfo.asp?pubid=9623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foreman@iastate.ed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D22E2-2307-4EE7-9B7E-97755F6A0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1394</Words>
  <Characters>7948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Symposium for Emerging Research</Company>
  <LinksUpToDate>false</LinksUpToDate>
  <CharactersWithSpaces>9324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dc:creator>
  <cp:lastModifiedBy>Retallick, Michael S</cp:lastModifiedBy>
  <cp:revision>3</cp:revision>
  <cp:lastPrinted>2014-07-22T15:35:00Z</cp:lastPrinted>
  <dcterms:created xsi:type="dcterms:W3CDTF">2014-07-24T20:27:00Z</dcterms:created>
  <dcterms:modified xsi:type="dcterms:W3CDTF">2014-07-24T20:36:00Z</dcterms:modified>
</cp:coreProperties>
</file>