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A56" w:rsidRDefault="006F5A56" w:rsidP="006F5A56">
      <w:pPr>
        <w:spacing w:after="0" w:line="240" w:lineRule="auto"/>
        <w:jc w:val="center"/>
        <w:rPr>
          <w:rFonts w:ascii="Times New Roman" w:hAnsi="Times New Roman" w:cs="Times New Roman"/>
          <w:b/>
        </w:rPr>
      </w:pPr>
    </w:p>
    <w:p w:rsidR="006F5A56" w:rsidRDefault="006F5A56" w:rsidP="006F5A56">
      <w:pPr>
        <w:spacing w:after="0" w:line="240" w:lineRule="auto"/>
        <w:jc w:val="center"/>
        <w:rPr>
          <w:rFonts w:ascii="Times New Roman" w:hAnsi="Times New Roman" w:cs="Times New Roman"/>
          <w:b/>
          <w:sz w:val="24"/>
          <w:szCs w:val="24"/>
        </w:rPr>
      </w:pPr>
      <w:bookmarkStart w:id="0" w:name="_GoBack"/>
      <w:r>
        <w:rPr>
          <w:rFonts w:ascii="Times New Roman" w:hAnsi="Times New Roman" w:cs="Times New Roman"/>
          <w:b/>
          <w:sz w:val="24"/>
          <w:szCs w:val="24"/>
        </w:rPr>
        <w:t xml:space="preserve">Environmental Learner Outcomes Assessment: How do [Department] Students </w:t>
      </w: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Compare to National Norms?</w:t>
      </w:r>
    </w:p>
    <w:bookmarkEnd w:id="0"/>
    <w:p w:rsidR="006F5A56" w:rsidRPr="007D3CF1" w:rsidRDefault="006F5A56" w:rsidP="006F5A56">
      <w:pPr>
        <w:spacing w:after="0" w:line="240" w:lineRule="auto"/>
        <w:jc w:val="center"/>
        <w:rPr>
          <w:rFonts w:ascii="Times New Roman" w:hAnsi="Times New Roman" w:cs="Times New Roman"/>
          <w:b/>
          <w:bCs/>
          <w:sz w:val="24"/>
          <w:szCs w:val="24"/>
        </w:rPr>
      </w:pPr>
    </w:p>
    <w:p w:rsidR="006F5A56" w:rsidRDefault="006F5A56" w:rsidP="006F5A56">
      <w:pPr>
        <w:spacing w:after="0" w:line="240" w:lineRule="auto"/>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Pr="00DF0A82" w:rsidRDefault="006F5A56" w:rsidP="006F5A56">
      <w:pPr>
        <w:spacing w:after="0" w:line="240" w:lineRule="auto"/>
        <w:jc w:val="center"/>
        <w:rPr>
          <w:rFonts w:ascii="Times New Roman" w:hAnsi="Times New Roman" w:cs="Times New Roman"/>
          <w:b/>
          <w:bCs/>
          <w:sz w:val="24"/>
          <w:szCs w:val="24"/>
        </w:rPr>
      </w:pPr>
      <w:r w:rsidRPr="00DF0A82">
        <w:rPr>
          <w:rFonts w:ascii="Times New Roman" w:hAnsi="Times New Roman" w:cs="Times New Roman"/>
          <w:b/>
          <w:bCs/>
          <w:sz w:val="24"/>
          <w:szCs w:val="24"/>
        </w:rPr>
        <w:t>Thomas H. Paulsen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Assistant Professor, Agricultural Education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217 Curtiss Hall</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6F5A56" w:rsidRDefault="006F5A56" w:rsidP="006F5A56">
      <w:pPr>
        <w:spacing w:after="0" w:line="240" w:lineRule="auto"/>
        <w:jc w:val="center"/>
        <w:rPr>
          <w:rFonts w:ascii="Times New Roman" w:hAnsi="Times New Roman" w:cs="Times New Roman"/>
          <w:bCs/>
          <w:sz w:val="24"/>
          <w:szCs w:val="24"/>
        </w:rPr>
      </w:pPr>
      <w:hyperlink r:id="rId7" w:history="1">
        <w:r w:rsidRPr="006459CA">
          <w:rPr>
            <w:rStyle w:val="Hyperlink"/>
            <w:rFonts w:ascii="Times New Roman" w:hAnsi="Times New Roman" w:cs="Times New Roman"/>
            <w:bCs/>
            <w:sz w:val="24"/>
            <w:szCs w:val="24"/>
          </w:rPr>
          <w:t>tpaulsen@iastate.edu</w:t>
        </w:r>
      </w:hyperlink>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Pr="00DF0A82" w:rsidRDefault="006F5A56" w:rsidP="006F5A56">
      <w:pPr>
        <w:spacing w:after="0" w:line="240" w:lineRule="auto"/>
        <w:jc w:val="center"/>
        <w:rPr>
          <w:rFonts w:ascii="Times New Roman" w:hAnsi="Times New Roman" w:cs="Times New Roman"/>
          <w:b/>
          <w:bCs/>
          <w:sz w:val="24"/>
          <w:szCs w:val="24"/>
        </w:rPr>
      </w:pPr>
      <w:r w:rsidRPr="00DF0A82">
        <w:rPr>
          <w:rFonts w:ascii="Times New Roman" w:hAnsi="Times New Roman" w:cs="Times New Roman"/>
          <w:b/>
          <w:bCs/>
          <w:sz w:val="24"/>
          <w:szCs w:val="24"/>
        </w:rPr>
        <w:t>Michael S. Retallick</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Associate Professor, Agricultural Education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206 Curtiss Hall</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6F5A56" w:rsidRDefault="006F5A56" w:rsidP="006F5A56">
      <w:pPr>
        <w:spacing w:after="0" w:line="240" w:lineRule="auto"/>
        <w:jc w:val="center"/>
        <w:rPr>
          <w:rFonts w:ascii="Times New Roman" w:hAnsi="Times New Roman" w:cs="Times New Roman"/>
          <w:bCs/>
          <w:sz w:val="24"/>
          <w:szCs w:val="24"/>
        </w:rPr>
      </w:pPr>
      <w:hyperlink r:id="rId8" w:history="1">
        <w:r>
          <w:rPr>
            <w:rStyle w:val="Hyperlink"/>
            <w:rFonts w:ascii="Times New Roman" w:hAnsi="Times New Roman" w:cs="Times New Roman"/>
            <w:bCs/>
            <w:sz w:val="24"/>
            <w:szCs w:val="24"/>
          </w:rPr>
          <w:t>msr@iastate.edu</w:t>
        </w:r>
      </w:hyperlink>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Pr="00DF0A82" w:rsidRDefault="006F5A56" w:rsidP="006F5A56">
      <w:pPr>
        <w:spacing w:after="0" w:line="240" w:lineRule="auto"/>
        <w:jc w:val="center"/>
        <w:rPr>
          <w:rFonts w:ascii="Times New Roman" w:hAnsi="Times New Roman" w:cs="Times New Roman"/>
          <w:b/>
          <w:bCs/>
          <w:sz w:val="24"/>
          <w:szCs w:val="24"/>
        </w:rPr>
      </w:pPr>
      <w:r w:rsidRPr="00DF0A82">
        <w:rPr>
          <w:rFonts w:ascii="Times New Roman" w:hAnsi="Times New Roman" w:cs="Times New Roman"/>
          <w:b/>
          <w:bCs/>
          <w:sz w:val="24"/>
          <w:szCs w:val="24"/>
        </w:rPr>
        <w:t>Ryan G. Anderson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Assistant Professor, Agricultural Education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206 Curtiss Hall</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6F5A56" w:rsidRDefault="006F5A56" w:rsidP="006F5A56">
      <w:pPr>
        <w:spacing w:after="0" w:line="240" w:lineRule="auto"/>
        <w:jc w:val="center"/>
        <w:rPr>
          <w:rFonts w:ascii="Times New Roman" w:hAnsi="Times New Roman" w:cs="Times New Roman"/>
          <w:bCs/>
          <w:sz w:val="24"/>
          <w:szCs w:val="24"/>
        </w:rPr>
      </w:pPr>
      <w:hyperlink r:id="rId9" w:history="1">
        <w:r w:rsidRPr="006459CA">
          <w:rPr>
            <w:rStyle w:val="Hyperlink"/>
            <w:rFonts w:ascii="Times New Roman" w:hAnsi="Times New Roman" w:cs="Times New Roman"/>
            <w:bCs/>
            <w:sz w:val="24"/>
            <w:szCs w:val="24"/>
          </w:rPr>
          <w:t>randrsn@iastate.edu</w:t>
        </w:r>
      </w:hyperlink>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Pr="00DF0A82" w:rsidRDefault="006F5A56" w:rsidP="006F5A56">
      <w:pPr>
        <w:spacing w:after="0" w:line="240" w:lineRule="auto"/>
        <w:jc w:val="center"/>
        <w:rPr>
          <w:rFonts w:ascii="Times New Roman" w:hAnsi="Times New Roman" w:cs="Times New Roman"/>
          <w:b/>
          <w:bCs/>
          <w:sz w:val="24"/>
          <w:szCs w:val="24"/>
        </w:rPr>
      </w:pPr>
      <w:r w:rsidRPr="00DF0A82">
        <w:rPr>
          <w:rFonts w:ascii="Times New Roman" w:hAnsi="Times New Roman" w:cs="Times New Roman"/>
          <w:b/>
          <w:bCs/>
          <w:sz w:val="24"/>
          <w:szCs w:val="24"/>
        </w:rPr>
        <w:t>Awoke Dollisso</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Senior Lecturer, Agricultural Education</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Iowa State University</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206 Curtiss Hall</w:t>
      </w:r>
    </w:p>
    <w:p w:rsidR="006F5A56" w:rsidRDefault="006F5A56" w:rsidP="006F5A5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Ames, IA, 50011</w:t>
      </w:r>
    </w:p>
    <w:p w:rsidR="006F5A56" w:rsidRDefault="006F5A56" w:rsidP="006F5A56">
      <w:pPr>
        <w:spacing w:after="0" w:line="240" w:lineRule="auto"/>
        <w:jc w:val="center"/>
        <w:rPr>
          <w:rFonts w:ascii="Times New Roman" w:hAnsi="Times New Roman" w:cs="Times New Roman"/>
          <w:bCs/>
          <w:sz w:val="24"/>
          <w:szCs w:val="24"/>
        </w:rPr>
      </w:pPr>
      <w:hyperlink r:id="rId10" w:history="1">
        <w:r w:rsidRPr="006459CA">
          <w:rPr>
            <w:rStyle w:val="Hyperlink"/>
            <w:rFonts w:ascii="Times New Roman" w:hAnsi="Times New Roman" w:cs="Times New Roman"/>
            <w:bCs/>
            <w:sz w:val="24"/>
            <w:szCs w:val="24"/>
          </w:rPr>
          <w:t>dollisso@iastate.edu</w:t>
        </w:r>
      </w:hyperlink>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Cs/>
          <w:sz w:val="24"/>
          <w:szCs w:val="24"/>
        </w:rPr>
      </w:pP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Environmental Learner Outcomes Assessment: How do [Department] Students </w:t>
      </w: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Compare to National Norms?</w:t>
      </w: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6F5A56" w:rsidRPr="00D82D87" w:rsidRDefault="006F5A56" w:rsidP="006F5A56">
      <w:pPr>
        <w:spacing w:after="0" w:line="240" w:lineRule="auto"/>
        <w:jc w:val="center"/>
        <w:rPr>
          <w:rFonts w:ascii="Times New Roman" w:hAnsi="Times New Roman" w:cs="Times New Roman"/>
          <w:b/>
          <w:sz w:val="24"/>
          <w:szCs w:val="24"/>
        </w:rPr>
      </w:pPr>
      <w:r w:rsidRPr="009071E2">
        <w:rPr>
          <w:rFonts w:ascii="Times New Roman" w:hAnsi="Times New Roman" w:cs="Times New Roman"/>
          <w:b/>
          <w:sz w:val="24"/>
          <w:szCs w:val="24"/>
        </w:rPr>
        <w:t>Introduction</w:t>
      </w:r>
      <w:r>
        <w:rPr>
          <w:rFonts w:ascii="Times New Roman" w:hAnsi="Times New Roman" w:cs="Times New Roman"/>
          <w:b/>
          <w:sz w:val="24"/>
          <w:szCs w:val="24"/>
        </w:rPr>
        <w:t>/Conceptual Frame</w:t>
      </w:r>
    </w:p>
    <w:p w:rsidR="006F5A56"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“C</w:t>
      </w:r>
      <w:r w:rsidRPr="00E63F73">
        <w:rPr>
          <w:rFonts w:ascii="Times New Roman" w:hAnsi="Times New Roman" w:cs="Times New Roman"/>
          <w:sz w:val="24"/>
          <w:szCs w:val="24"/>
        </w:rPr>
        <w:t>onsumers and policy makers must hav</w:t>
      </w:r>
      <w:r>
        <w:rPr>
          <w:rFonts w:ascii="Times New Roman" w:hAnsi="Times New Roman" w:cs="Times New Roman"/>
          <w:sz w:val="24"/>
          <w:szCs w:val="24"/>
        </w:rPr>
        <w:t xml:space="preserve">e access to information that is </w:t>
      </w:r>
      <w:r w:rsidRPr="00E63F73">
        <w:rPr>
          <w:rFonts w:ascii="Times New Roman" w:hAnsi="Times New Roman" w:cs="Times New Roman"/>
          <w:sz w:val="24"/>
          <w:szCs w:val="24"/>
        </w:rPr>
        <w:t>critical for informed decision making about agriculture, food, and natural resources</w:t>
      </w:r>
      <w:r>
        <w:rPr>
          <w:rFonts w:ascii="Times New Roman" w:hAnsi="Times New Roman" w:cs="Times New Roman"/>
          <w:sz w:val="24"/>
          <w:szCs w:val="24"/>
        </w:rPr>
        <w:t>” (Doerfert, p. 12)</w:t>
      </w:r>
      <w:r w:rsidRPr="00E63F73">
        <w:rPr>
          <w:rFonts w:ascii="Times New Roman" w:hAnsi="Times New Roman" w:cs="Times New Roman"/>
          <w:sz w:val="24"/>
          <w:szCs w:val="24"/>
        </w:rPr>
        <w:t>.</w:t>
      </w:r>
      <w:proofErr w:type="gramEnd"/>
      <w:r>
        <w:rPr>
          <w:rFonts w:ascii="Times New Roman" w:hAnsi="Times New Roman" w:cs="Times New Roman"/>
          <w:sz w:val="24"/>
          <w:szCs w:val="24"/>
        </w:rPr>
        <w:t xml:space="preserve"> To meet this goal, [College at </w:t>
      </w:r>
      <w:r w:rsidRPr="00DF148B">
        <w:rPr>
          <w:rFonts w:ascii="Times New Roman" w:hAnsi="Times New Roman" w:cs="Times New Roman"/>
          <w:sz w:val="24"/>
          <w:szCs w:val="24"/>
        </w:rPr>
        <w:t>University</w:t>
      </w:r>
      <w:r>
        <w:rPr>
          <w:rFonts w:ascii="Times New Roman" w:hAnsi="Times New Roman" w:cs="Times New Roman"/>
          <w:sz w:val="24"/>
          <w:szCs w:val="24"/>
        </w:rPr>
        <w:t>]</w:t>
      </w:r>
      <w:r w:rsidRPr="00DF148B">
        <w:rPr>
          <w:rFonts w:ascii="Times New Roman" w:hAnsi="Times New Roman" w:cs="Times New Roman"/>
          <w:sz w:val="24"/>
          <w:szCs w:val="24"/>
        </w:rPr>
        <w:t xml:space="preserve"> has developed </w:t>
      </w:r>
      <w:r>
        <w:rPr>
          <w:rFonts w:ascii="Times New Roman" w:hAnsi="Times New Roman" w:cs="Times New Roman"/>
          <w:sz w:val="24"/>
          <w:szCs w:val="24"/>
        </w:rPr>
        <w:t xml:space="preserve">a set of learner outcomes which includes environmental awareness expected of all baccalaureate degree recipients. This study provides a departmental benchmark regarding environmental awareness to assist faculty “to continually improve student achievement” ([College],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Learner Outcomes Assessment para. 1). </w:t>
      </w:r>
    </w:p>
    <w:p w:rsidR="006F5A56"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 xml:space="preserve">Environmental awareness has been measured previously by the National Environmental Education and Training Foundation’s (NEETF) survey from the National Report Card on Environmental Attitudes, Knowledge, and Behavior (2001). NEETF is a congressionally authorized, private non-profit organization whose purpose is to “help America meet critical national challenges by connecting environmental learning to issues of national concern” (NEETF, 2001, </w:t>
      </w:r>
      <w:proofErr w:type="spellStart"/>
      <w:r>
        <w:rPr>
          <w:rFonts w:ascii="Times New Roman" w:hAnsi="Times New Roman" w:cs="Times New Roman"/>
          <w:sz w:val="24"/>
          <w:szCs w:val="24"/>
        </w:rPr>
        <w:t>n.p</w:t>
      </w:r>
      <w:proofErr w:type="spellEnd"/>
      <w:r>
        <w:rPr>
          <w:rFonts w:ascii="Times New Roman" w:hAnsi="Times New Roman" w:cs="Times New Roman"/>
          <w:sz w:val="24"/>
          <w:szCs w:val="24"/>
        </w:rPr>
        <w:t>.). [Department] faculty selected the NEETF survey to determine graduates’ attainment of environmental knowledge while at the same time providing a national benchmark with which to compare. As part of a larger, comprehensive assessment, this study assessed [Department] graduating seniors’ knowledge environmental awareness.</w:t>
      </w:r>
    </w:p>
    <w:p w:rsidR="006F5A56" w:rsidRPr="009071E2" w:rsidRDefault="006F5A56" w:rsidP="006F5A56">
      <w:pPr>
        <w:spacing w:after="0" w:line="240" w:lineRule="auto"/>
        <w:jc w:val="center"/>
        <w:rPr>
          <w:rFonts w:ascii="Times New Roman" w:hAnsi="Times New Roman" w:cs="Times New Roman"/>
          <w:b/>
          <w:sz w:val="24"/>
          <w:szCs w:val="24"/>
        </w:rPr>
      </w:pPr>
      <w:r w:rsidRPr="009071E2">
        <w:rPr>
          <w:rFonts w:ascii="Times New Roman" w:hAnsi="Times New Roman" w:cs="Times New Roman"/>
          <w:b/>
          <w:sz w:val="24"/>
          <w:szCs w:val="24"/>
        </w:rPr>
        <w:t>Methods</w:t>
      </w:r>
    </w:p>
    <w:p w:rsidR="006F5A56"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 xml:space="preserve">All senior level undergraduates (N = 80) who had applied for graduation from the [Department] by April 23, 2014 were considered the population for this study. [Department] graduating seniors (N=80) were assessed by means of the online survey instrument </w:t>
      </w:r>
      <w:proofErr w:type="spellStart"/>
      <w:r>
        <w:rPr>
          <w:rFonts w:ascii="Times New Roman" w:hAnsi="Times New Roman" w:cs="Times New Roman"/>
          <w:sz w:val="24"/>
          <w:szCs w:val="24"/>
        </w:rPr>
        <w:t>Qualtrics</w:t>
      </w:r>
      <w:proofErr w:type="spellEnd"/>
      <w:r w:rsidRPr="008D484A">
        <w:rPr>
          <w:rFonts w:ascii="Times New Roman" w:hAnsi="Times New Roman" w:cs="Times New Roman"/>
          <w:sz w:val="24"/>
          <w:szCs w:val="24"/>
          <w:vertAlign w:val="superscript"/>
        </w:rPr>
        <w:t>®</w:t>
      </w:r>
      <w:r>
        <w:rPr>
          <w:rFonts w:ascii="Times New Roman" w:hAnsi="Times New Roman" w:cs="Times New Roman"/>
          <w:sz w:val="24"/>
          <w:szCs w:val="24"/>
        </w:rPr>
        <w:t>. Sixty-three responses were received for a 78.8% response rate.  Students received an invitation to participate via an email message with an embedded link to the survey. Appropriate follow-up reminders were sent following</w:t>
      </w:r>
      <w:r w:rsidRPr="001365D3">
        <w:rPr>
          <w:rFonts w:ascii="Times New Roman" w:hAnsi="Times New Roman" w:cs="Times New Roman"/>
          <w:sz w:val="24"/>
          <w:szCs w:val="24"/>
        </w:rPr>
        <w:t xml:space="preserve"> the tailored design method (</w:t>
      </w:r>
      <w:proofErr w:type="spellStart"/>
      <w:r w:rsidRPr="001365D3">
        <w:rPr>
          <w:rFonts w:ascii="Times New Roman" w:hAnsi="Times New Roman" w:cs="Times New Roman"/>
          <w:sz w:val="24"/>
          <w:szCs w:val="24"/>
        </w:rPr>
        <w:t>Dillman</w:t>
      </w:r>
      <w:proofErr w:type="spellEnd"/>
      <w:r w:rsidRPr="001365D3">
        <w:rPr>
          <w:rFonts w:ascii="Times New Roman" w:hAnsi="Times New Roman" w:cs="Times New Roman"/>
          <w:sz w:val="24"/>
          <w:szCs w:val="24"/>
        </w:rPr>
        <w:t>, Smyth, &amp; Christian, 2009</w:t>
      </w:r>
      <w:r>
        <w:rPr>
          <w:rFonts w:ascii="Times New Roman" w:hAnsi="Times New Roman" w:cs="Times New Roman"/>
          <w:sz w:val="24"/>
          <w:szCs w:val="24"/>
        </w:rPr>
        <w:t xml:space="preserve">). In addition to environmental attitude, activity participation, and demographic questions, the NEETF instrument contained 12 questions related to environmental knowledge. </w:t>
      </w:r>
    </w:p>
    <w:p w:rsidR="006F5A56"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 xml:space="preserve">To address non-response error as a threat to external validity; (Lindner, Murphy, and Briers, 2001) twenty non-respondents were contacted via telephone according to the recommendations of Dollisso and Martin (1999).  Five non-respondents agreed to complete the survey over the telephone. Since less than 20 non-respondents provided data, the responses were merged and the first half of the respondents were compared with the second half using t-tests to determine potential differences (Linder et al., 2001). Since no statistically significant differences were found, responses were merged and are presented together. Frequencies and percentages of responses were calculated and compared to national survey responses. </w:t>
      </w:r>
    </w:p>
    <w:p w:rsidR="006F5A56" w:rsidRDefault="006F5A56" w:rsidP="006F5A5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w:t>
      </w:r>
    </w:p>
    <w:p w:rsidR="006F5A56" w:rsidRDefault="006F5A56" w:rsidP="006F5A56">
      <w:pPr>
        <w:spacing w:after="0"/>
        <w:rPr>
          <w:rFonts w:ascii="Times New Roman" w:hAnsi="Times New Roman" w:cs="Times New Roman"/>
          <w:sz w:val="24"/>
          <w:szCs w:val="24"/>
        </w:rPr>
      </w:pPr>
      <w:r>
        <w:rPr>
          <w:rFonts w:ascii="Times New Roman" w:hAnsi="Times New Roman" w:cs="Times New Roman"/>
          <w:sz w:val="24"/>
          <w:szCs w:val="24"/>
        </w:rPr>
        <w:tab/>
        <w:t>Student</w:t>
      </w:r>
      <w:r w:rsidRPr="00161343">
        <w:rPr>
          <w:rFonts w:ascii="Times New Roman" w:hAnsi="Times New Roman" w:cs="Times New Roman"/>
          <w:sz w:val="24"/>
          <w:szCs w:val="24"/>
        </w:rPr>
        <w:t xml:space="preserve"> responses </w:t>
      </w:r>
      <w:r>
        <w:rPr>
          <w:rFonts w:ascii="Times New Roman" w:hAnsi="Times New Roman" w:cs="Times New Roman"/>
          <w:sz w:val="24"/>
          <w:szCs w:val="24"/>
        </w:rPr>
        <w:t xml:space="preserve">to twelve close-ended questions </w:t>
      </w:r>
      <w:r w:rsidRPr="00161343">
        <w:rPr>
          <w:rFonts w:ascii="Times New Roman" w:hAnsi="Times New Roman" w:cs="Times New Roman"/>
          <w:sz w:val="24"/>
          <w:szCs w:val="24"/>
        </w:rPr>
        <w:t xml:space="preserve">were compared to </w:t>
      </w:r>
      <w:r>
        <w:rPr>
          <w:rFonts w:ascii="Times New Roman" w:hAnsi="Times New Roman" w:cs="Times New Roman"/>
          <w:sz w:val="24"/>
          <w:szCs w:val="24"/>
        </w:rPr>
        <w:t>the National NEETF study respondents from 1997 and 2000. [Department] graduating seniors provided a higher percentage of correct answers to 11 of the 12 questions when compared to respondents to the national study. Fifty-one percent (</w:t>
      </w:r>
      <w:r w:rsidRPr="006B33A6">
        <w:rPr>
          <w:rFonts w:ascii="Times New Roman" w:hAnsi="Times New Roman" w:cs="Times New Roman"/>
          <w:i/>
          <w:sz w:val="24"/>
          <w:szCs w:val="24"/>
        </w:rPr>
        <w:t>n</w:t>
      </w:r>
      <w:r>
        <w:rPr>
          <w:rFonts w:ascii="Times New Roman" w:hAnsi="Times New Roman" w:cs="Times New Roman"/>
          <w:sz w:val="24"/>
          <w:szCs w:val="24"/>
        </w:rPr>
        <w:t xml:space="preserve">=30) </w:t>
      </w:r>
      <w:r w:rsidRPr="006B33A6">
        <w:rPr>
          <w:rFonts w:ascii="Times New Roman" w:hAnsi="Times New Roman" w:cs="Times New Roman"/>
          <w:sz w:val="24"/>
          <w:szCs w:val="24"/>
        </w:rPr>
        <w:t>of</w:t>
      </w:r>
      <w:r>
        <w:rPr>
          <w:rFonts w:ascii="Times New Roman" w:hAnsi="Times New Roman" w:cs="Times New Roman"/>
          <w:sz w:val="24"/>
          <w:szCs w:val="24"/>
        </w:rPr>
        <w:t xml:space="preserve"> the students correctly identified the largest source </w:t>
      </w:r>
      <w:r>
        <w:rPr>
          <w:rFonts w:ascii="Times New Roman" w:hAnsi="Times New Roman" w:cs="Times New Roman"/>
          <w:sz w:val="24"/>
          <w:szCs w:val="24"/>
        </w:rPr>
        <w:lastRenderedPageBreak/>
        <w:t xml:space="preserve">of carbon monoxide in the United States from a list of four choices. [Department] graduating seniors’ correct responses are displayed with the NEETF 2000 and 1997 results in Table 1. </w:t>
      </w:r>
    </w:p>
    <w:p w:rsidR="006F5A56" w:rsidRDefault="006F5A56" w:rsidP="006F5A56">
      <w:pPr>
        <w:spacing w:after="0"/>
        <w:rPr>
          <w:rFonts w:ascii="Times New Roman" w:hAnsi="Times New Roman" w:cs="Times New Roman"/>
          <w:sz w:val="24"/>
          <w:szCs w:val="24"/>
        </w:rPr>
      </w:pPr>
    </w:p>
    <w:tbl>
      <w:tblPr>
        <w:tblStyle w:val="TableGrid"/>
        <w:tblW w:w="9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28"/>
        <w:gridCol w:w="5760"/>
        <w:gridCol w:w="1098"/>
        <w:gridCol w:w="900"/>
        <w:gridCol w:w="990"/>
      </w:tblGrid>
      <w:tr w:rsidR="006F5A56" w:rsidRPr="007A61E8" w:rsidTr="00DF0A82">
        <w:tc>
          <w:tcPr>
            <w:tcW w:w="9576" w:type="dxa"/>
            <w:gridSpan w:val="5"/>
          </w:tcPr>
          <w:p w:rsidR="006F5A56" w:rsidRPr="00B537EF" w:rsidRDefault="006F5A56" w:rsidP="00DF0A82">
            <w:pPr>
              <w:rPr>
                <w:rFonts w:ascii="Times New Roman" w:hAnsi="Times New Roman" w:cs="Times New Roman"/>
                <w:sz w:val="24"/>
                <w:szCs w:val="24"/>
              </w:rPr>
            </w:pPr>
            <w:r>
              <w:rPr>
                <w:rFonts w:ascii="Times New Roman" w:hAnsi="Times New Roman" w:cs="Times New Roman"/>
                <w:sz w:val="24"/>
                <w:szCs w:val="24"/>
              </w:rPr>
              <w:t>Table 1</w:t>
            </w:r>
          </w:p>
        </w:tc>
      </w:tr>
      <w:tr w:rsidR="006F5A56" w:rsidRPr="007A61E8" w:rsidTr="00DF0A82">
        <w:tc>
          <w:tcPr>
            <w:tcW w:w="9576" w:type="dxa"/>
            <w:gridSpan w:val="5"/>
            <w:tcBorders>
              <w:bottom w:val="single" w:sz="4" w:space="0" w:color="auto"/>
            </w:tcBorders>
          </w:tcPr>
          <w:p w:rsidR="006F5A56" w:rsidRDefault="006F5A56" w:rsidP="00DF0A82">
            <w:pPr>
              <w:rPr>
                <w:rFonts w:ascii="Times New Roman" w:hAnsi="Times New Roman" w:cs="Times New Roman"/>
                <w:sz w:val="24"/>
                <w:szCs w:val="24"/>
              </w:rPr>
            </w:pPr>
          </w:p>
        </w:tc>
      </w:tr>
      <w:tr w:rsidR="006F5A56" w:rsidRPr="007A61E8" w:rsidTr="00DF0A82">
        <w:tc>
          <w:tcPr>
            <w:tcW w:w="9576" w:type="dxa"/>
            <w:gridSpan w:val="5"/>
            <w:tcBorders>
              <w:top w:val="single" w:sz="4" w:space="0" w:color="auto"/>
            </w:tcBorders>
          </w:tcPr>
          <w:p w:rsidR="006F5A56" w:rsidRPr="00FC7416" w:rsidRDefault="006F5A56" w:rsidP="00DF0A82">
            <w:pPr>
              <w:rPr>
                <w:rFonts w:ascii="Times New Roman" w:hAnsi="Times New Roman" w:cs="Times New Roman"/>
                <w:i/>
                <w:sz w:val="24"/>
                <w:szCs w:val="24"/>
              </w:rPr>
            </w:pPr>
            <w:r>
              <w:rPr>
                <w:rFonts w:ascii="Times New Roman" w:hAnsi="Times New Roman" w:cs="Times New Roman"/>
                <w:i/>
                <w:sz w:val="24"/>
                <w:szCs w:val="24"/>
              </w:rPr>
              <w:t>[Department]</w:t>
            </w:r>
            <w:r w:rsidRPr="00FC7416">
              <w:rPr>
                <w:rFonts w:ascii="Times New Roman" w:hAnsi="Times New Roman" w:cs="Times New Roman"/>
                <w:i/>
                <w:sz w:val="24"/>
                <w:szCs w:val="24"/>
              </w:rPr>
              <w:t xml:space="preserve"> Graduates</w:t>
            </w:r>
            <w:r>
              <w:rPr>
                <w:rFonts w:ascii="Times New Roman" w:hAnsi="Times New Roman" w:cs="Times New Roman"/>
                <w:i/>
                <w:sz w:val="24"/>
                <w:szCs w:val="24"/>
              </w:rPr>
              <w:t>’</w:t>
            </w:r>
            <w:r w:rsidRPr="00FC7416">
              <w:rPr>
                <w:rFonts w:ascii="Times New Roman" w:hAnsi="Times New Roman" w:cs="Times New Roman"/>
                <w:i/>
                <w:sz w:val="24"/>
                <w:szCs w:val="24"/>
              </w:rPr>
              <w:t xml:space="preserve"> Responses to NEETF Environmental Knowledge Questions Compared to National Report Card Responses (1997 &amp; 2000)</w:t>
            </w:r>
          </w:p>
        </w:tc>
      </w:tr>
      <w:tr w:rsidR="006F5A56" w:rsidRPr="007A61E8" w:rsidTr="00DF0A82">
        <w:tc>
          <w:tcPr>
            <w:tcW w:w="828" w:type="dxa"/>
            <w:tcBorders>
              <w:top w:val="single" w:sz="4" w:space="0" w:color="auto"/>
              <w:bottom w:val="single" w:sz="4" w:space="0" w:color="auto"/>
            </w:tcBorders>
            <w:vAlign w:val="bottom"/>
          </w:tcPr>
          <w:p w:rsidR="006F5A56" w:rsidRPr="00FC7416" w:rsidRDefault="006F5A56" w:rsidP="00DF0A82">
            <w:pPr>
              <w:jc w:val="center"/>
              <w:rPr>
                <w:rFonts w:ascii="Times New Roman" w:hAnsi="Times New Roman" w:cs="Times New Roman"/>
                <w:sz w:val="16"/>
                <w:szCs w:val="16"/>
              </w:rPr>
            </w:pPr>
            <w:r w:rsidRPr="00FC7416">
              <w:rPr>
                <w:rFonts w:ascii="Times New Roman" w:hAnsi="Times New Roman" w:cs="Times New Roman"/>
                <w:sz w:val="16"/>
                <w:szCs w:val="16"/>
              </w:rPr>
              <w:t>Question #</w:t>
            </w:r>
          </w:p>
        </w:tc>
        <w:tc>
          <w:tcPr>
            <w:tcW w:w="5760" w:type="dxa"/>
            <w:tcBorders>
              <w:top w:val="single" w:sz="4" w:space="0" w:color="auto"/>
              <w:bottom w:val="single" w:sz="4" w:space="0" w:color="auto"/>
            </w:tcBorders>
            <w:vAlign w:val="bottom"/>
          </w:tcPr>
          <w:p w:rsidR="006F5A56" w:rsidRPr="007A61E8" w:rsidRDefault="006F5A56" w:rsidP="00DF0A82">
            <w:pPr>
              <w:jc w:val="center"/>
              <w:rPr>
                <w:rFonts w:ascii="Times New Roman" w:hAnsi="Times New Roman" w:cs="Times New Roman"/>
                <w:sz w:val="24"/>
                <w:szCs w:val="24"/>
              </w:rPr>
            </w:pPr>
            <w:r w:rsidRPr="007A61E8">
              <w:rPr>
                <w:rFonts w:ascii="Times New Roman" w:hAnsi="Times New Roman" w:cs="Times New Roman"/>
                <w:sz w:val="24"/>
                <w:szCs w:val="24"/>
              </w:rPr>
              <w:t>Content of Environmental Knowledge Questions</w:t>
            </w:r>
          </w:p>
        </w:tc>
        <w:tc>
          <w:tcPr>
            <w:tcW w:w="1098" w:type="dxa"/>
            <w:tcBorders>
              <w:top w:val="single" w:sz="4" w:space="0" w:color="auto"/>
              <w:bottom w:val="single" w:sz="4" w:space="0" w:color="auto"/>
            </w:tcBorders>
          </w:tcPr>
          <w:p w:rsidR="006F5A56" w:rsidRDefault="006F5A56" w:rsidP="00DF0A82">
            <w:pPr>
              <w:jc w:val="center"/>
              <w:rPr>
                <w:rFonts w:ascii="Times New Roman" w:hAnsi="Times New Roman" w:cs="Times New Roman"/>
                <w:sz w:val="24"/>
                <w:szCs w:val="24"/>
              </w:rPr>
            </w:pPr>
            <w:r>
              <w:rPr>
                <w:rFonts w:ascii="Times New Roman" w:hAnsi="Times New Roman" w:cs="Times New Roman"/>
                <w:sz w:val="24"/>
                <w:szCs w:val="24"/>
              </w:rPr>
              <w:t>2014</w:t>
            </w:r>
          </w:p>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Dept</w:t>
            </w:r>
            <w:proofErr w:type="spellEnd"/>
            <w:r>
              <w:rPr>
                <w:rFonts w:ascii="Times New Roman" w:hAnsi="Times New Roman" w:cs="Times New Roman"/>
                <w:sz w:val="24"/>
                <w:szCs w:val="24"/>
              </w:rPr>
              <w:t>]</w:t>
            </w:r>
          </w:p>
        </w:tc>
        <w:tc>
          <w:tcPr>
            <w:tcW w:w="900" w:type="dxa"/>
            <w:tcBorders>
              <w:top w:val="single" w:sz="4" w:space="0" w:color="auto"/>
              <w:bottom w:val="single" w:sz="4" w:space="0" w:color="auto"/>
            </w:tcBorders>
          </w:tcPr>
          <w:p w:rsidR="006F5A56" w:rsidRDefault="006F5A56" w:rsidP="00DF0A82">
            <w:pPr>
              <w:jc w:val="center"/>
              <w:rPr>
                <w:rFonts w:ascii="Times New Roman" w:hAnsi="Times New Roman" w:cs="Times New Roman"/>
                <w:sz w:val="24"/>
                <w:szCs w:val="24"/>
              </w:rPr>
            </w:pPr>
            <w:r w:rsidRPr="007A61E8">
              <w:rPr>
                <w:rFonts w:ascii="Times New Roman" w:hAnsi="Times New Roman" w:cs="Times New Roman"/>
                <w:sz w:val="24"/>
                <w:szCs w:val="24"/>
              </w:rPr>
              <w:t>2000</w:t>
            </w:r>
          </w:p>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Nat’l</w:t>
            </w:r>
          </w:p>
        </w:tc>
        <w:tc>
          <w:tcPr>
            <w:tcW w:w="990" w:type="dxa"/>
            <w:tcBorders>
              <w:top w:val="single" w:sz="4" w:space="0" w:color="auto"/>
              <w:bottom w:val="single" w:sz="4" w:space="0" w:color="auto"/>
            </w:tcBorders>
          </w:tcPr>
          <w:p w:rsidR="006F5A56" w:rsidRDefault="006F5A56" w:rsidP="00DF0A82">
            <w:pPr>
              <w:jc w:val="center"/>
              <w:rPr>
                <w:rFonts w:ascii="Times New Roman" w:hAnsi="Times New Roman" w:cs="Times New Roman"/>
                <w:sz w:val="24"/>
                <w:szCs w:val="24"/>
              </w:rPr>
            </w:pPr>
            <w:r w:rsidRPr="007A61E8">
              <w:rPr>
                <w:rFonts w:ascii="Times New Roman" w:hAnsi="Times New Roman" w:cs="Times New Roman"/>
                <w:sz w:val="24"/>
                <w:szCs w:val="24"/>
              </w:rPr>
              <w:t>1997</w:t>
            </w:r>
          </w:p>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Nat’l</w:t>
            </w:r>
          </w:p>
        </w:tc>
      </w:tr>
      <w:tr w:rsidR="006F5A56" w:rsidRPr="007A61E8" w:rsidTr="00DF0A82">
        <w:tc>
          <w:tcPr>
            <w:tcW w:w="828" w:type="dxa"/>
            <w:tcBorders>
              <w:top w:val="single" w:sz="4" w:space="0" w:color="auto"/>
            </w:tcBorders>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1</w:t>
            </w:r>
          </w:p>
        </w:tc>
        <w:tc>
          <w:tcPr>
            <w:tcW w:w="5760" w:type="dxa"/>
            <w:tcBorders>
              <w:top w:val="single" w:sz="4" w:space="0" w:color="auto"/>
            </w:tcBorders>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Definition of biodiversity</w:t>
            </w:r>
          </w:p>
        </w:tc>
        <w:tc>
          <w:tcPr>
            <w:tcW w:w="1098" w:type="dxa"/>
            <w:tcBorders>
              <w:top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96.5</w:t>
            </w:r>
            <w:r>
              <w:rPr>
                <w:rFonts w:ascii="Times New Roman" w:hAnsi="Times New Roman" w:cs="Times New Roman"/>
                <w:sz w:val="24"/>
                <w:szCs w:val="24"/>
              </w:rPr>
              <w:t>%</w:t>
            </w:r>
          </w:p>
        </w:tc>
        <w:tc>
          <w:tcPr>
            <w:tcW w:w="900" w:type="dxa"/>
            <w:tcBorders>
              <w:top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41%</w:t>
            </w:r>
          </w:p>
        </w:tc>
        <w:tc>
          <w:tcPr>
            <w:tcW w:w="990" w:type="dxa"/>
            <w:tcBorders>
              <w:top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40%</w:t>
            </w:r>
          </w:p>
        </w:tc>
      </w:tr>
      <w:tr w:rsidR="006F5A56" w:rsidRPr="007A61E8" w:rsidTr="00DF0A82">
        <w:tc>
          <w:tcPr>
            <w:tcW w:w="828" w:type="dxa"/>
          </w:tcPr>
          <w:p w:rsidR="006F5A56" w:rsidRPr="00FC7416" w:rsidRDefault="006F5A56" w:rsidP="00DF0A82">
            <w:pPr>
              <w:jc w:val="center"/>
              <w:rPr>
                <w:rFonts w:ascii="Times New Roman" w:hAnsi="Times New Roman" w:cs="Times New Roman"/>
                <w:b/>
                <w:sz w:val="24"/>
                <w:szCs w:val="24"/>
              </w:rPr>
            </w:pPr>
            <w:r>
              <w:rPr>
                <w:rFonts w:ascii="Times New Roman" w:hAnsi="Times New Roman" w:cs="Times New Roman"/>
                <w:b/>
                <w:sz w:val="24"/>
                <w:szCs w:val="24"/>
              </w:rPr>
              <w:t>2</w:t>
            </w:r>
          </w:p>
        </w:tc>
        <w:tc>
          <w:tcPr>
            <w:tcW w:w="5760" w:type="dxa"/>
          </w:tcPr>
          <w:p w:rsidR="006F5A56" w:rsidRPr="00FC7416" w:rsidRDefault="006F5A56" w:rsidP="00DF0A82">
            <w:pPr>
              <w:rPr>
                <w:rFonts w:ascii="Times New Roman" w:hAnsi="Times New Roman" w:cs="Times New Roman"/>
                <w:b/>
                <w:sz w:val="24"/>
                <w:szCs w:val="24"/>
              </w:rPr>
            </w:pPr>
            <w:r w:rsidRPr="00FC7416">
              <w:rPr>
                <w:rFonts w:ascii="Times New Roman" w:hAnsi="Times New Roman" w:cs="Times New Roman"/>
                <w:b/>
                <w:sz w:val="24"/>
                <w:szCs w:val="24"/>
              </w:rPr>
              <w:t xml:space="preserve">The largest source of </w:t>
            </w:r>
            <w:r>
              <w:rPr>
                <w:rFonts w:ascii="Times New Roman" w:hAnsi="Times New Roman" w:cs="Times New Roman"/>
                <w:b/>
                <w:sz w:val="24"/>
                <w:szCs w:val="24"/>
              </w:rPr>
              <w:t xml:space="preserve">carbon monoxide </w:t>
            </w:r>
            <w:r w:rsidRPr="00FC7416">
              <w:rPr>
                <w:rFonts w:ascii="Times New Roman" w:hAnsi="Times New Roman" w:cs="Times New Roman"/>
                <w:b/>
                <w:sz w:val="24"/>
                <w:szCs w:val="24"/>
              </w:rPr>
              <w:t>in U.S.</w:t>
            </w:r>
          </w:p>
        </w:tc>
        <w:tc>
          <w:tcPr>
            <w:tcW w:w="1098" w:type="dxa"/>
          </w:tcPr>
          <w:p w:rsidR="006F5A56" w:rsidRPr="0081469E" w:rsidRDefault="006F5A56" w:rsidP="00DF0A82">
            <w:pPr>
              <w:jc w:val="center"/>
              <w:rPr>
                <w:rFonts w:ascii="Times New Roman" w:hAnsi="Times New Roman" w:cs="Times New Roman"/>
                <w:b/>
                <w:sz w:val="24"/>
                <w:szCs w:val="24"/>
              </w:rPr>
            </w:pPr>
            <w:r w:rsidRPr="0081469E">
              <w:rPr>
                <w:rFonts w:ascii="Times New Roman" w:hAnsi="Times New Roman" w:cs="Times New Roman"/>
                <w:b/>
                <w:sz w:val="24"/>
                <w:szCs w:val="24"/>
              </w:rPr>
              <w:t>50.9%</w:t>
            </w:r>
          </w:p>
        </w:tc>
        <w:tc>
          <w:tcPr>
            <w:tcW w:w="900" w:type="dxa"/>
          </w:tcPr>
          <w:p w:rsidR="006F5A56" w:rsidRPr="00FC7416" w:rsidRDefault="006F5A56" w:rsidP="00DF0A82">
            <w:pPr>
              <w:jc w:val="center"/>
              <w:rPr>
                <w:rFonts w:ascii="Times New Roman" w:hAnsi="Times New Roman" w:cs="Times New Roman"/>
                <w:b/>
                <w:sz w:val="24"/>
                <w:szCs w:val="24"/>
              </w:rPr>
            </w:pPr>
            <w:r w:rsidRPr="00FC7416">
              <w:rPr>
                <w:rFonts w:ascii="Times New Roman" w:hAnsi="Times New Roman" w:cs="Times New Roman"/>
                <w:b/>
                <w:sz w:val="24"/>
                <w:szCs w:val="24"/>
              </w:rPr>
              <w:t>65%</w:t>
            </w:r>
          </w:p>
        </w:tc>
        <w:tc>
          <w:tcPr>
            <w:tcW w:w="990" w:type="dxa"/>
          </w:tcPr>
          <w:p w:rsidR="006F5A56" w:rsidRPr="00FC7416" w:rsidRDefault="006F5A56" w:rsidP="00DF0A82">
            <w:pPr>
              <w:jc w:val="center"/>
              <w:rPr>
                <w:rFonts w:ascii="Times New Roman" w:hAnsi="Times New Roman" w:cs="Times New Roman"/>
                <w:b/>
                <w:sz w:val="24"/>
                <w:szCs w:val="24"/>
              </w:rPr>
            </w:pPr>
            <w:r w:rsidRPr="00FC7416">
              <w:rPr>
                <w:rFonts w:ascii="Times New Roman" w:hAnsi="Times New Roman" w:cs="Times New Roman"/>
                <w:b/>
                <w:sz w:val="24"/>
                <w:szCs w:val="24"/>
              </w:rPr>
              <w:t>69%</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3</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 xml:space="preserve">How most electricity in the U.S. </w:t>
            </w:r>
            <w:r>
              <w:rPr>
                <w:rFonts w:ascii="Times New Roman" w:hAnsi="Times New Roman" w:cs="Times New Roman"/>
                <w:sz w:val="24"/>
                <w:szCs w:val="24"/>
              </w:rPr>
              <w:t>is</w:t>
            </w:r>
            <w:r w:rsidRPr="007A61E8">
              <w:rPr>
                <w:rFonts w:ascii="Times New Roman" w:hAnsi="Times New Roman" w:cs="Times New Roman"/>
                <w:sz w:val="24"/>
                <w:szCs w:val="24"/>
              </w:rPr>
              <w:t xml:space="preserve"> generated</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71.4</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33%</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33%</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4</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The most common source of water pollution</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75.4</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28%</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23%</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5</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Recognition of a renewable resource</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80.7</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65%</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66%</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6</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Protection provided by ozone in upper atmosphere</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68.4</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54%</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57%</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7</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Where most household garbage ends up</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87.7</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85%</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83%</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8</w:t>
            </w:r>
          </w:p>
        </w:tc>
        <w:tc>
          <w:tcPr>
            <w:tcW w:w="5760" w:type="dxa"/>
          </w:tcPr>
          <w:p w:rsidR="006F5A56" w:rsidRPr="007A61E8" w:rsidRDefault="006F5A56" w:rsidP="00DF0A82">
            <w:pPr>
              <w:rPr>
                <w:rFonts w:ascii="Times New Roman" w:hAnsi="Times New Roman" w:cs="Times New Roman"/>
                <w:sz w:val="24"/>
                <w:szCs w:val="24"/>
              </w:rPr>
            </w:pPr>
            <w:r>
              <w:rPr>
                <w:rFonts w:ascii="Times New Roman" w:hAnsi="Times New Roman" w:cs="Times New Roman"/>
                <w:sz w:val="24"/>
                <w:szCs w:val="24"/>
              </w:rPr>
              <w:t>F</w:t>
            </w:r>
            <w:r w:rsidRPr="007A61E8">
              <w:rPr>
                <w:rFonts w:ascii="Times New Roman" w:hAnsi="Times New Roman" w:cs="Times New Roman"/>
                <w:sz w:val="24"/>
                <w:szCs w:val="24"/>
              </w:rPr>
              <w:t>ederal agency that works to protect environment</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94.6</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72%</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74%</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9</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Knowledge about materials considered hazardous waste</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87.7</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67%</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67%</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10</w:t>
            </w:r>
          </w:p>
        </w:tc>
        <w:tc>
          <w:tcPr>
            <w:tcW w:w="5760" w:type="dxa"/>
          </w:tcPr>
          <w:p w:rsidR="006F5A56" w:rsidRPr="007A61E8" w:rsidRDefault="006F5A56" w:rsidP="00DF0A82">
            <w:pPr>
              <w:rPr>
                <w:rFonts w:ascii="Times New Roman" w:hAnsi="Times New Roman" w:cs="Times New Roman"/>
                <w:sz w:val="24"/>
                <w:szCs w:val="24"/>
              </w:rPr>
            </w:pPr>
            <w:r>
              <w:rPr>
                <w:rFonts w:ascii="Times New Roman" w:hAnsi="Times New Roman" w:cs="Times New Roman"/>
                <w:sz w:val="24"/>
                <w:szCs w:val="24"/>
              </w:rPr>
              <w:t>Primary</w:t>
            </w:r>
            <w:r w:rsidRPr="007A61E8">
              <w:rPr>
                <w:rFonts w:ascii="Times New Roman" w:hAnsi="Times New Roman" w:cs="Times New Roman"/>
                <w:sz w:val="24"/>
                <w:szCs w:val="24"/>
              </w:rPr>
              <w:t xml:space="preserve"> reason for extinction of animal and plant species</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93.0</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74%</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73%</w:t>
            </w:r>
          </w:p>
        </w:tc>
      </w:tr>
      <w:tr w:rsidR="006F5A56" w:rsidRPr="007A61E8" w:rsidTr="00DF0A82">
        <w:tc>
          <w:tcPr>
            <w:tcW w:w="828" w:type="dxa"/>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11</w:t>
            </w:r>
          </w:p>
        </w:tc>
        <w:tc>
          <w:tcPr>
            <w:tcW w:w="5760" w:type="dxa"/>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Disposal of nuclear waste in the U.S.</w:t>
            </w:r>
          </w:p>
        </w:tc>
        <w:tc>
          <w:tcPr>
            <w:tcW w:w="1098"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68.4</w:t>
            </w:r>
            <w:r>
              <w:rPr>
                <w:rFonts w:ascii="Times New Roman" w:hAnsi="Times New Roman" w:cs="Times New Roman"/>
                <w:sz w:val="24"/>
                <w:szCs w:val="24"/>
              </w:rPr>
              <w:t>%</w:t>
            </w:r>
          </w:p>
        </w:tc>
        <w:tc>
          <w:tcPr>
            <w:tcW w:w="90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57%</w:t>
            </w:r>
          </w:p>
        </w:tc>
        <w:tc>
          <w:tcPr>
            <w:tcW w:w="990" w:type="dxa"/>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58%</w:t>
            </w:r>
          </w:p>
        </w:tc>
      </w:tr>
      <w:tr w:rsidR="006F5A56" w:rsidRPr="007A61E8" w:rsidTr="00DF0A82">
        <w:tc>
          <w:tcPr>
            <w:tcW w:w="828" w:type="dxa"/>
            <w:tcBorders>
              <w:bottom w:val="single" w:sz="4" w:space="0" w:color="auto"/>
            </w:tcBorders>
          </w:tcPr>
          <w:p w:rsidR="006F5A56" w:rsidRPr="007A61E8" w:rsidRDefault="006F5A56" w:rsidP="00DF0A82">
            <w:pPr>
              <w:jc w:val="center"/>
              <w:rPr>
                <w:rFonts w:ascii="Times New Roman" w:hAnsi="Times New Roman" w:cs="Times New Roman"/>
                <w:sz w:val="24"/>
                <w:szCs w:val="24"/>
              </w:rPr>
            </w:pPr>
            <w:r>
              <w:rPr>
                <w:rFonts w:ascii="Times New Roman" w:hAnsi="Times New Roman" w:cs="Times New Roman"/>
                <w:sz w:val="24"/>
                <w:szCs w:val="24"/>
              </w:rPr>
              <w:t>12</w:t>
            </w:r>
          </w:p>
        </w:tc>
        <w:tc>
          <w:tcPr>
            <w:tcW w:w="5760" w:type="dxa"/>
            <w:tcBorders>
              <w:bottom w:val="single" w:sz="4" w:space="0" w:color="auto"/>
            </w:tcBorders>
          </w:tcPr>
          <w:p w:rsidR="006F5A56" w:rsidRPr="007A61E8" w:rsidRDefault="006F5A56" w:rsidP="00DF0A82">
            <w:pPr>
              <w:rPr>
                <w:rFonts w:ascii="Times New Roman" w:hAnsi="Times New Roman" w:cs="Times New Roman"/>
                <w:sz w:val="24"/>
                <w:szCs w:val="24"/>
              </w:rPr>
            </w:pPr>
            <w:r w:rsidRPr="007A61E8">
              <w:rPr>
                <w:rFonts w:ascii="Times New Roman" w:hAnsi="Times New Roman" w:cs="Times New Roman"/>
                <w:sz w:val="24"/>
                <w:szCs w:val="24"/>
              </w:rPr>
              <w:t>The primary benefit of wetlands</w:t>
            </w:r>
          </w:p>
        </w:tc>
        <w:tc>
          <w:tcPr>
            <w:tcW w:w="1098" w:type="dxa"/>
            <w:tcBorders>
              <w:bottom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78.6</w:t>
            </w:r>
            <w:r>
              <w:rPr>
                <w:rFonts w:ascii="Times New Roman" w:hAnsi="Times New Roman" w:cs="Times New Roman"/>
                <w:sz w:val="24"/>
                <w:szCs w:val="24"/>
              </w:rPr>
              <w:t>%</w:t>
            </w:r>
          </w:p>
        </w:tc>
        <w:tc>
          <w:tcPr>
            <w:tcW w:w="900" w:type="dxa"/>
            <w:tcBorders>
              <w:bottom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53%</w:t>
            </w:r>
          </w:p>
        </w:tc>
        <w:tc>
          <w:tcPr>
            <w:tcW w:w="990" w:type="dxa"/>
            <w:tcBorders>
              <w:bottom w:val="single" w:sz="4" w:space="0" w:color="auto"/>
            </w:tcBorders>
          </w:tcPr>
          <w:p w:rsidR="006F5A56" w:rsidRPr="00FC7416" w:rsidRDefault="006F5A56" w:rsidP="00DF0A82">
            <w:pPr>
              <w:jc w:val="center"/>
              <w:rPr>
                <w:rFonts w:ascii="Times New Roman" w:hAnsi="Times New Roman" w:cs="Times New Roman"/>
                <w:sz w:val="24"/>
                <w:szCs w:val="24"/>
              </w:rPr>
            </w:pPr>
            <w:r w:rsidRPr="00FC7416">
              <w:rPr>
                <w:rFonts w:ascii="Times New Roman" w:hAnsi="Times New Roman" w:cs="Times New Roman"/>
                <w:sz w:val="24"/>
                <w:szCs w:val="24"/>
              </w:rPr>
              <w:t>53%</w:t>
            </w:r>
          </w:p>
        </w:tc>
      </w:tr>
    </w:tbl>
    <w:p w:rsidR="006F5A56" w:rsidRPr="00FC7416" w:rsidRDefault="006F5A56" w:rsidP="006F5A56">
      <w:pPr>
        <w:spacing w:after="0"/>
        <w:rPr>
          <w:rFonts w:ascii="Times New Roman" w:hAnsi="Times New Roman" w:cs="Times New Roman"/>
          <w:sz w:val="24"/>
          <w:szCs w:val="24"/>
        </w:rPr>
      </w:pPr>
      <w:r>
        <w:rPr>
          <w:rFonts w:ascii="Times New Roman" w:hAnsi="Times New Roman" w:cs="Times New Roman"/>
          <w:i/>
          <w:sz w:val="24"/>
          <w:szCs w:val="24"/>
        </w:rPr>
        <w:t>Note</w:t>
      </w:r>
      <w:r>
        <w:rPr>
          <w:rFonts w:ascii="Times New Roman" w:hAnsi="Times New Roman" w:cs="Times New Roman"/>
          <w:sz w:val="24"/>
          <w:szCs w:val="24"/>
        </w:rPr>
        <w:t xml:space="preserve">: Bold faced font indicates percentage correct below national NEETF responses. </w:t>
      </w:r>
    </w:p>
    <w:p w:rsidR="006F5A56" w:rsidRPr="00AF3F28" w:rsidRDefault="006F5A56" w:rsidP="006F5A56">
      <w:pPr>
        <w:spacing w:after="0"/>
        <w:rPr>
          <w:rFonts w:ascii="Times New Roman" w:hAnsi="Times New Roman" w:cs="Times New Roman"/>
          <w:b/>
          <w:sz w:val="24"/>
          <w:szCs w:val="24"/>
        </w:rPr>
      </w:pPr>
    </w:p>
    <w:p w:rsidR="006F5A56" w:rsidRDefault="006F5A56" w:rsidP="006F5A56">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ab/>
        <w:t xml:space="preserve">Mean differences between demographics were analyzed by t-test (gender) and ANOVA (major option and minor) on the knowledge questions. There were no statistically significant differences found between the genders in their responses to the knowledge questions. Additional analysis was conducted to determine differences by departmental major/option and academic minor. No statistically significant differences were found. </w:t>
      </w:r>
    </w:p>
    <w:p w:rsidR="006F5A56" w:rsidRDefault="006F5A56" w:rsidP="006F5A56">
      <w:pPr>
        <w:pStyle w:val="ListParagraph"/>
        <w:spacing w:after="0"/>
        <w:ind w:left="0"/>
        <w:jc w:val="center"/>
        <w:rPr>
          <w:rFonts w:ascii="Times New Roman" w:hAnsi="Times New Roman" w:cs="Times New Roman"/>
          <w:sz w:val="24"/>
          <w:szCs w:val="24"/>
        </w:rPr>
      </w:pPr>
      <w:r>
        <w:rPr>
          <w:rFonts w:ascii="Times New Roman" w:hAnsi="Times New Roman" w:cs="Times New Roman"/>
          <w:sz w:val="24"/>
          <w:szCs w:val="24"/>
        </w:rPr>
        <w:t xml:space="preserve"> </w:t>
      </w:r>
      <w:r w:rsidRPr="004D79A1">
        <w:rPr>
          <w:rFonts w:ascii="Times New Roman" w:hAnsi="Times New Roman" w:cs="Times New Roman"/>
          <w:b/>
          <w:sz w:val="24"/>
          <w:szCs w:val="24"/>
        </w:rPr>
        <w:t>Conclusions, Implications, and Recommendations</w:t>
      </w:r>
    </w:p>
    <w:p w:rsidR="006F5A56" w:rsidRDefault="006F5A56" w:rsidP="001F3FD4">
      <w:pPr>
        <w:pStyle w:val="ListParagraph"/>
        <w:ind w:left="0"/>
        <w:rPr>
          <w:rFonts w:ascii="Times New Roman" w:hAnsi="Times New Roman" w:cs="Times New Roman"/>
          <w:sz w:val="24"/>
          <w:szCs w:val="24"/>
        </w:rPr>
      </w:pPr>
      <w:r>
        <w:rPr>
          <w:rFonts w:ascii="Times New Roman" w:hAnsi="Times New Roman" w:cs="Times New Roman"/>
          <w:sz w:val="24"/>
          <w:szCs w:val="24"/>
        </w:rPr>
        <w:tab/>
        <w:t>[Department] graduating seniors are knowledgeable regarding basic environmental facts. Students scored higher than respondents to a national survey of environmental knowledge except on one question regarding the primary source of carbon monoxide in the United States.  It is recommended that faculty in the [Department] identify coursework and outcomes which support the College’s environmental awareness outcome. Once identified, specific content should be mapped to avoid excessive overlap and build appropriate reinforcement. Since many content-related courses taken by [Department] majors are taken outside of the department, it is critical that the College Outcomes Committee share these results to assist in developing a [College]-wide scope and sequence for the Environmental Learning Outcome. Once developed, this map will provide important information to improve teaching and advising related to the environmental outcome. Nationally, other agricultural education programs should study the extent to which their students demonstrate environmental awareness.</w:t>
      </w:r>
    </w:p>
    <w:p w:rsidR="006F5A56" w:rsidRDefault="006F5A56" w:rsidP="006F5A56">
      <w:pPr>
        <w:pStyle w:val="ListParagraph"/>
        <w:rPr>
          <w:rFonts w:ascii="Times New Roman" w:hAnsi="Times New Roman" w:cs="Times New Roman"/>
          <w:sz w:val="24"/>
          <w:szCs w:val="24"/>
        </w:rPr>
      </w:pPr>
    </w:p>
    <w:p w:rsidR="006F5A56" w:rsidRDefault="006F5A56" w:rsidP="006F5A56">
      <w:pPr>
        <w:pStyle w:val="ListParagraph"/>
        <w:rPr>
          <w:rFonts w:ascii="Times New Roman" w:hAnsi="Times New Roman" w:cs="Times New Roman"/>
          <w:sz w:val="24"/>
          <w:szCs w:val="24"/>
        </w:rPr>
      </w:pPr>
    </w:p>
    <w:p w:rsidR="006F5A56" w:rsidRDefault="006F5A56" w:rsidP="006F5A56">
      <w:pPr>
        <w:pStyle w:val="ListParagraph"/>
        <w:rPr>
          <w:rFonts w:ascii="Times New Roman" w:hAnsi="Times New Roman" w:cs="Times New Roman"/>
          <w:sz w:val="24"/>
          <w:szCs w:val="24"/>
        </w:rPr>
      </w:pPr>
    </w:p>
    <w:p w:rsidR="006F5A56" w:rsidRPr="00292782" w:rsidRDefault="006F5A56" w:rsidP="006F5A56">
      <w:pPr>
        <w:pStyle w:val="ListParagraph"/>
        <w:spacing w:after="0"/>
        <w:ind w:left="0"/>
        <w:jc w:val="center"/>
        <w:rPr>
          <w:rFonts w:ascii="Times New Roman" w:hAnsi="Times New Roman" w:cs="Times New Roman"/>
          <w:b/>
          <w:sz w:val="24"/>
          <w:szCs w:val="24"/>
        </w:rPr>
      </w:pPr>
      <w:r>
        <w:rPr>
          <w:rFonts w:ascii="Times New Roman" w:hAnsi="Times New Roman" w:cs="Times New Roman"/>
          <w:b/>
          <w:sz w:val="24"/>
          <w:szCs w:val="24"/>
        </w:rPr>
        <w:t>References</w:t>
      </w:r>
    </w:p>
    <w:p w:rsidR="006F5A56" w:rsidRDefault="006F5A56" w:rsidP="006F5A56">
      <w:pPr>
        <w:pStyle w:val="ListParagraph"/>
        <w:spacing w:after="0"/>
        <w:ind w:left="0"/>
        <w:rPr>
          <w:rFonts w:ascii="Times New Roman" w:hAnsi="Times New Roman" w:cs="Times New Roman"/>
          <w:sz w:val="24"/>
          <w:szCs w:val="24"/>
        </w:rPr>
      </w:pPr>
    </w:p>
    <w:p w:rsidR="006F5A56" w:rsidRPr="006F5A56" w:rsidRDefault="006F5A56" w:rsidP="006F5A56">
      <w:pPr>
        <w:spacing w:after="0"/>
        <w:ind w:left="720" w:hanging="720"/>
        <w:rPr>
          <w:rStyle w:val="Hyperlink"/>
          <w:rFonts w:ascii="Times New Roman" w:hAnsi="Times New Roman" w:cs="Times New Roman"/>
          <w:sz w:val="24"/>
          <w:szCs w:val="24"/>
        </w:rPr>
      </w:pPr>
      <w:r w:rsidRPr="006F5A56">
        <w:rPr>
          <w:rFonts w:ascii="Times New Roman" w:hAnsi="Times New Roman" w:cs="Times New Roman"/>
          <w:sz w:val="24"/>
          <w:szCs w:val="24"/>
        </w:rPr>
        <w:t xml:space="preserve">[College] </w:t>
      </w:r>
      <w:proofErr w:type="gramStart"/>
      <w:r w:rsidRPr="006F5A56">
        <w:rPr>
          <w:rFonts w:ascii="Times New Roman" w:hAnsi="Times New Roman" w:cs="Times New Roman"/>
          <w:sz w:val="24"/>
          <w:szCs w:val="24"/>
        </w:rPr>
        <w:t>(</w:t>
      </w:r>
      <w:proofErr w:type="spellStart"/>
      <w:r w:rsidRPr="006F5A56">
        <w:rPr>
          <w:rFonts w:ascii="Times New Roman" w:hAnsi="Times New Roman" w:cs="Times New Roman"/>
          <w:sz w:val="24"/>
          <w:szCs w:val="24"/>
        </w:rPr>
        <w:t>n.d.</w:t>
      </w:r>
      <w:proofErr w:type="spellEnd"/>
      <w:r w:rsidRPr="006F5A56">
        <w:rPr>
          <w:rFonts w:ascii="Times New Roman" w:hAnsi="Times New Roman" w:cs="Times New Roman"/>
          <w:sz w:val="24"/>
          <w:szCs w:val="24"/>
        </w:rPr>
        <w:t>).</w:t>
      </w:r>
      <w:proofErr w:type="gramEnd"/>
      <w:r w:rsidRPr="006F5A56">
        <w:rPr>
          <w:rFonts w:ascii="Times New Roman" w:hAnsi="Times New Roman" w:cs="Times New Roman"/>
          <w:sz w:val="24"/>
          <w:szCs w:val="24"/>
        </w:rPr>
        <w:t xml:space="preserve"> </w:t>
      </w:r>
      <w:proofErr w:type="gramStart"/>
      <w:r w:rsidRPr="006F5A56">
        <w:rPr>
          <w:rFonts w:ascii="Times New Roman" w:hAnsi="Times New Roman" w:cs="Times New Roman"/>
          <w:sz w:val="24"/>
          <w:szCs w:val="24"/>
        </w:rPr>
        <w:t>Student learning outcomes.</w:t>
      </w:r>
      <w:proofErr w:type="gramEnd"/>
      <w:r w:rsidRPr="006F5A56">
        <w:rPr>
          <w:rFonts w:ascii="Times New Roman" w:hAnsi="Times New Roman" w:cs="Times New Roman"/>
          <w:sz w:val="24"/>
          <w:szCs w:val="24"/>
        </w:rPr>
        <w:t xml:space="preserve"> Retrieved from http://www.[college].[university].edu/assessment/outcomes</w:t>
      </w:r>
    </w:p>
    <w:p w:rsidR="006F5A56" w:rsidRPr="006F5A56" w:rsidRDefault="006F5A56" w:rsidP="006F5A56">
      <w:pPr>
        <w:spacing w:after="0"/>
        <w:rPr>
          <w:rStyle w:val="Hyperlink"/>
          <w:rFonts w:ascii="Times New Roman" w:hAnsi="Times New Roman" w:cs="Times New Roman"/>
          <w:sz w:val="24"/>
          <w:szCs w:val="24"/>
        </w:rPr>
      </w:pPr>
    </w:p>
    <w:p w:rsidR="006F5A56" w:rsidRPr="006F5A56" w:rsidRDefault="006F5A56" w:rsidP="006F5A56">
      <w:pPr>
        <w:ind w:left="720" w:hanging="720"/>
        <w:rPr>
          <w:rFonts w:ascii="Times New Roman" w:hAnsi="Times New Roman" w:cs="Times New Roman"/>
          <w:sz w:val="24"/>
          <w:szCs w:val="24"/>
        </w:rPr>
      </w:pPr>
      <w:proofErr w:type="spellStart"/>
      <w:r w:rsidRPr="006F5A56">
        <w:rPr>
          <w:rFonts w:ascii="Times New Roman" w:hAnsi="Times New Roman" w:cs="Times New Roman"/>
          <w:sz w:val="24"/>
          <w:szCs w:val="24"/>
        </w:rPr>
        <w:t>Dillman</w:t>
      </w:r>
      <w:proofErr w:type="spellEnd"/>
      <w:r w:rsidRPr="006F5A56">
        <w:rPr>
          <w:rFonts w:ascii="Times New Roman" w:hAnsi="Times New Roman" w:cs="Times New Roman"/>
          <w:sz w:val="24"/>
          <w:szCs w:val="24"/>
        </w:rPr>
        <w:t xml:space="preserve">, D. A., Smyth, J. D., &amp; Christian, L. M. (2009).  </w:t>
      </w:r>
      <w:r w:rsidRPr="006F5A56">
        <w:rPr>
          <w:rFonts w:ascii="Times New Roman" w:hAnsi="Times New Roman" w:cs="Times New Roman"/>
          <w:i/>
          <w:sz w:val="24"/>
          <w:szCs w:val="24"/>
        </w:rPr>
        <w:t>Internet, mail and mixed-mode surveys: The tailored design method</w:t>
      </w:r>
      <w:r w:rsidRPr="006F5A56">
        <w:rPr>
          <w:rFonts w:ascii="Times New Roman" w:hAnsi="Times New Roman" w:cs="Times New Roman"/>
          <w:sz w:val="24"/>
          <w:szCs w:val="24"/>
        </w:rPr>
        <w:t>. Hoboken, NJ: Wiley.</w:t>
      </w:r>
    </w:p>
    <w:p w:rsidR="006F5A56" w:rsidRPr="006F5A56" w:rsidRDefault="006F5A56" w:rsidP="006F5A56">
      <w:pPr>
        <w:ind w:left="720" w:hanging="720"/>
        <w:rPr>
          <w:rFonts w:ascii="Times New Roman" w:hAnsi="Times New Roman" w:cs="Times New Roman"/>
          <w:sz w:val="24"/>
          <w:szCs w:val="24"/>
        </w:rPr>
      </w:pPr>
      <w:proofErr w:type="gramStart"/>
      <w:r w:rsidRPr="006F5A56">
        <w:rPr>
          <w:rFonts w:ascii="Times New Roman" w:hAnsi="Times New Roman" w:cs="Times New Roman"/>
          <w:sz w:val="24"/>
          <w:szCs w:val="24"/>
        </w:rPr>
        <w:t>Dollisso, A. D. &amp; Martin, R. A. (1999).</w:t>
      </w:r>
      <w:proofErr w:type="gramEnd"/>
      <w:r w:rsidRPr="006F5A56">
        <w:rPr>
          <w:rFonts w:ascii="Times New Roman" w:hAnsi="Times New Roman" w:cs="Times New Roman"/>
          <w:sz w:val="24"/>
          <w:szCs w:val="24"/>
        </w:rPr>
        <w:t xml:space="preserve"> </w:t>
      </w:r>
      <w:proofErr w:type="gramStart"/>
      <w:r w:rsidRPr="006F5A56">
        <w:rPr>
          <w:rFonts w:ascii="Times New Roman" w:hAnsi="Times New Roman" w:cs="Times New Roman"/>
          <w:sz w:val="24"/>
          <w:szCs w:val="24"/>
        </w:rPr>
        <w:t>Perceptions regarding adult learners’ motivation to participate in educational programs.</w:t>
      </w:r>
      <w:proofErr w:type="gramEnd"/>
      <w:r w:rsidRPr="006F5A56">
        <w:rPr>
          <w:rFonts w:ascii="Times New Roman" w:hAnsi="Times New Roman" w:cs="Times New Roman"/>
          <w:sz w:val="24"/>
          <w:szCs w:val="24"/>
        </w:rPr>
        <w:t xml:space="preserve"> </w:t>
      </w:r>
      <w:r w:rsidRPr="006F5A56">
        <w:rPr>
          <w:rFonts w:ascii="Times New Roman" w:hAnsi="Times New Roman" w:cs="Times New Roman"/>
          <w:i/>
          <w:sz w:val="24"/>
          <w:szCs w:val="24"/>
        </w:rPr>
        <w:t>Journal of Agricultural Education, 40</w:t>
      </w:r>
      <w:r w:rsidRPr="006F5A56">
        <w:rPr>
          <w:rFonts w:ascii="Times New Roman" w:hAnsi="Times New Roman" w:cs="Times New Roman"/>
          <w:sz w:val="24"/>
          <w:szCs w:val="24"/>
        </w:rPr>
        <w:t xml:space="preserve">(4), 38-46. doi:10.5032/jae.1999.04038 </w:t>
      </w:r>
    </w:p>
    <w:p w:rsidR="006F5A56" w:rsidRPr="006F5A56" w:rsidRDefault="006F5A56" w:rsidP="006F5A56">
      <w:pPr>
        <w:ind w:left="720" w:hanging="720"/>
        <w:rPr>
          <w:rFonts w:ascii="Times New Roman" w:hAnsi="Times New Roman" w:cs="Times New Roman"/>
          <w:bCs/>
          <w:sz w:val="24"/>
          <w:szCs w:val="24"/>
          <w:lang w:bidi="en-US"/>
        </w:rPr>
      </w:pPr>
      <w:proofErr w:type="gramStart"/>
      <w:r w:rsidRPr="006F5A56">
        <w:rPr>
          <w:rFonts w:ascii="Times New Roman" w:hAnsi="Times New Roman" w:cs="Times New Roman"/>
          <w:sz w:val="24"/>
          <w:szCs w:val="24"/>
          <w:lang w:bidi="en-US"/>
        </w:rPr>
        <w:t>Lindner, J. R., Murphy, T. H., &amp; Briers, G. E. (2001).</w:t>
      </w:r>
      <w:proofErr w:type="gramEnd"/>
      <w:r w:rsidRPr="006F5A56">
        <w:rPr>
          <w:rFonts w:ascii="Times New Roman" w:hAnsi="Times New Roman" w:cs="Times New Roman"/>
          <w:sz w:val="24"/>
          <w:szCs w:val="24"/>
          <w:lang w:bidi="en-US"/>
        </w:rPr>
        <w:t xml:space="preserve"> </w:t>
      </w:r>
      <w:proofErr w:type="gramStart"/>
      <w:r w:rsidRPr="006F5A56">
        <w:rPr>
          <w:rFonts w:ascii="Times New Roman" w:hAnsi="Times New Roman" w:cs="Times New Roman"/>
          <w:sz w:val="24"/>
          <w:szCs w:val="24"/>
          <w:lang w:bidi="en-US"/>
        </w:rPr>
        <w:t>Handling nonresponse in social science research.</w:t>
      </w:r>
      <w:proofErr w:type="gramEnd"/>
      <w:r w:rsidRPr="006F5A56">
        <w:rPr>
          <w:rFonts w:ascii="Times New Roman" w:hAnsi="Times New Roman" w:cs="Times New Roman"/>
          <w:i/>
          <w:sz w:val="24"/>
          <w:szCs w:val="24"/>
          <w:lang w:bidi="en-US"/>
        </w:rPr>
        <w:t xml:space="preserve"> </w:t>
      </w:r>
      <w:r w:rsidRPr="006F5A56">
        <w:rPr>
          <w:rFonts w:ascii="Times New Roman" w:hAnsi="Times New Roman" w:cs="Times New Roman"/>
          <w:i/>
          <w:iCs/>
          <w:sz w:val="24"/>
          <w:szCs w:val="24"/>
          <w:lang w:bidi="en-US"/>
        </w:rPr>
        <w:t>Journal of Agricultural Education, 42</w:t>
      </w:r>
      <w:r w:rsidRPr="006F5A56">
        <w:rPr>
          <w:rFonts w:ascii="Times New Roman" w:hAnsi="Times New Roman" w:cs="Times New Roman"/>
          <w:sz w:val="24"/>
          <w:szCs w:val="24"/>
          <w:lang w:bidi="en-US"/>
        </w:rPr>
        <w:t>(4),</w:t>
      </w:r>
      <w:r w:rsidRPr="006F5A56">
        <w:rPr>
          <w:rFonts w:ascii="Times New Roman" w:hAnsi="Times New Roman" w:cs="Times New Roman"/>
          <w:i/>
          <w:sz w:val="24"/>
          <w:szCs w:val="24"/>
          <w:lang w:bidi="en-US"/>
        </w:rPr>
        <w:t xml:space="preserve"> 43-53.</w:t>
      </w:r>
      <w:r w:rsidRPr="006F5A56">
        <w:rPr>
          <w:rFonts w:ascii="Times New Roman" w:hAnsi="Times New Roman" w:cs="Times New Roman"/>
          <w:sz w:val="24"/>
          <w:szCs w:val="24"/>
          <w:lang w:bidi="en-US"/>
        </w:rPr>
        <w:t xml:space="preserve"> doi:</w:t>
      </w:r>
      <w:r w:rsidRPr="006F5A56">
        <w:rPr>
          <w:rFonts w:ascii="Times New Roman" w:hAnsi="Times New Roman" w:cs="Times New Roman"/>
          <w:bCs/>
          <w:sz w:val="24"/>
          <w:szCs w:val="24"/>
          <w:lang w:bidi="en-US"/>
        </w:rPr>
        <w:t>10.5032/jae.2001.04043</w:t>
      </w:r>
    </w:p>
    <w:p w:rsidR="006F5A56" w:rsidRPr="006F5A56" w:rsidRDefault="006F5A56" w:rsidP="006F5A56">
      <w:pPr>
        <w:ind w:left="720" w:hanging="720"/>
        <w:rPr>
          <w:rFonts w:ascii="Times New Roman" w:hAnsi="Times New Roman" w:cs="Times New Roman"/>
          <w:sz w:val="24"/>
          <w:szCs w:val="24"/>
        </w:rPr>
      </w:pPr>
      <w:proofErr w:type="gramStart"/>
      <w:r w:rsidRPr="006F5A56">
        <w:rPr>
          <w:rFonts w:ascii="Times New Roman" w:hAnsi="Times New Roman" w:cs="Times New Roman"/>
          <w:sz w:val="24"/>
          <w:szCs w:val="24"/>
        </w:rPr>
        <w:t>National Environmental Education and Training Foundation (NEETF) and Roper Starch Worldwide.</w:t>
      </w:r>
      <w:proofErr w:type="gramEnd"/>
      <w:r w:rsidRPr="006F5A56">
        <w:rPr>
          <w:rFonts w:ascii="Times New Roman" w:hAnsi="Times New Roman" w:cs="Times New Roman"/>
          <w:sz w:val="24"/>
          <w:szCs w:val="24"/>
        </w:rPr>
        <w:t xml:space="preserve"> (2001). Lessons from the environment: Why 95% of adult Americans endorse environmental education/The ninth annual national report card on environmental attitudes, knowledge, and behaviors. Washington, DC: Author.</w:t>
      </w:r>
    </w:p>
    <w:p w:rsidR="006F5A56" w:rsidRDefault="006F5A56" w:rsidP="006F5A56">
      <w:pPr>
        <w:spacing w:after="0" w:line="240" w:lineRule="auto"/>
        <w:jc w:val="center"/>
      </w:pPr>
    </w:p>
    <w:p w:rsidR="00921BFB" w:rsidRDefault="00921BFB"/>
    <w:sectPr w:rsidR="00921BFB" w:rsidSect="00E3405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28C" w:rsidRDefault="0083328C" w:rsidP="00395370">
      <w:pPr>
        <w:spacing w:after="0" w:line="240" w:lineRule="auto"/>
      </w:pPr>
      <w:r>
        <w:separator/>
      </w:r>
    </w:p>
  </w:endnote>
  <w:endnote w:type="continuationSeparator" w:id="0">
    <w:p w:rsidR="0083328C" w:rsidRDefault="0083328C" w:rsidP="0039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28C" w:rsidRDefault="0083328C" w:rsidP="00395370">
      <w:pPr>
        <w:spacing w:after="0" w:line="240" w:lineRule="auto"/>
      </w:pPr>
      <w:r>
        <w:separator/>
      </w:r>
    </w:p>
  </w:footnote>
  <w:footnote w:type="continuationSeparator" w:id="0">
    <w:p w:rsidR="0083328C" w:rsidRDefault="0083328C" w:rsidP="003953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96A" w:rsidRPr="007D3CF1" w:rsidRDefault="0083328C" w:rsidP="001A596A">
    <w:pPr>
      <w:jc w:val="right"/>
      <w:rPr>
        <w:rFonts w:ascii="Times New Roman" w:hAnsi="Times New Roman" w:cs="Times New Roman"/>
        <w:sz w:val="24"/>
        <w:szCs w:val="24"/>
      </w:rPr>
    </w:pPr>
    <w:r>
      <w:tab/>
    </w:r>
    <w:r>
      <w:tab/>
    </w:r>
    <w:r w:rsidRPr="007D3CF1">
      <w:rPr>
        <w:rFonts w:ascii="Times New Roman" w:hAnsi="Times New Roman" w:cs="Times New Roman"/>
        <w:sz w:val="24"/>
        <w:szCs w:val="24"/>
      </w:rPr>
      <w:t>Research</w:t>
    </w:r>
  </w:p>
  <w:p w:rsidR="00381E29" w:rsidRPr="006D1B1B" w:rsidRDefault="0083328C" w:rsidP="006D1B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70" w:rsidRDefault="003953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A56"/>
    <w:rsid w:val="001F3FD4"/>
    <w:rsid w:val="00352631"/>
    <w:rsid w:val="00395370"/>
    <w:rsid w:val="006D591E"/>
    <w:rsid w:val="006F5A56"/>
    <w:rsid w:val="0083328C"/>
    <w:rsid w:val="00921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A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5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5A56"/>
    <w:rPr>
      <w:color w:val="0000FF"/>
      <w:u w:val="single"/>
    </w:rPr>
  </w:style>
  <w:style w:type="paragraph" w:styleId="ListParagraph">
    <w:name w:val="List Paragraph"/>
    <w:basedOn w:val="Normal"/>
    <w:uiPriority w:val="34"/>
    <w:qFormat/>
    <w:rsid w:val="006F5A56"/>
    <w:pPr>
      <w:ind w:left="720"/>
      <w:contextualSpacing/>
    </w:pPr>
  </w:style>
  <w:style w:type="paragraph" w:styleId="Header">
    <w:name w:val="header"/>
    <w:basedOn w:val="Normal"/>
    <w:link w:val="HeaderChar"/>
    <w:uiPriority w:val="99"/>
    <w:unhideWhenUsed/>
    <w:rsid w:val="006F5A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A56"/>
  </w:style>
  <w:style w:type="paragraph" w:styleId="Footer">
    <w:name w:val="footer"/>
    <w:basedOn w:val="Normal"/>
    <w:link w:val="FooterChar"/>
    <w:uiPriority w:val="99"/>
    <w:unhideWhenUsed/>
    <w:rsid w:val="00395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3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A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5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5A56"/>
    <w:rPr>
      <w:color w:val="0000FF"/>
      <w:u w:val="single"/>
    </w:rPr>
  </w:style>
  <w:style w:type="paragraph" w:styleId="ListParagraph">
    <w:name w:val="List Paragraph"/>
    <w:basedOn w:val="Normal"/>
    <w:uiPriority w:val="34"/>
    <w:qFormat/>
    <w:rsid w:val="006F5A56"/>
    <w:pPr>
      <w:ind w:left="720"/>
      <w:contextualSpacing/>
    </w:pPr>
  </w:style>
  <w:style w:type="paragraph" w:styleId="Header">
    <w:name w:val="header"/>
    <w:basedOn w:val="Normal"/>
    <w:link w:val="HeaderChar"/>
    <w:uiPriority w:val="99"/>
    <w:unhideWhenUsed/>
    <w:rsid w:val="006F5A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A56"/>
  </w:style>
  <w:style w:type="paragraph" w:styleId="Footer">
    <w:name w:val="footer"/>
    <w:basedOn w:val="Normal"/>
    <w:link w:val="FooterChar"/>
    <w:uiPriority w:val="99"/>
    <w:unhideWhenUsed/>
    <w:rsid w:val="00395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ndrsn@iastate.ed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paulsen@iastate.edu" TargetMode="External"/><Relationship Id="rId12" Type="http://schemas.openxmlformats.org/officeDocument/2006/relationships/header" Target="header2.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ollisso@iastate.edu" TargetMode="External"/><Relationship Id="rId4" Type="http://schemas.openxmlformats.org/officeDocument/2006/relationships/webSettings" Target="webSettings.xml"/><Relationship Id="rId9" Type="http://schemas.openxmlformats.org/officeDocument/2006/relationships/hyperlink" Target="mailto:randrsn@iastate.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1171</Words>
  <Characters>6676</Characters>
  <Application>Microsoft Office Word</Application>
  <DocSecurity>0</DocSecurity>
  <Lines>55</Lines>
  <Paragraphs>15</Paragraphs>
  <ScaleCrop>false</ScaleCrop>
  <Company/>
  <LinksUpToDate>false</LinksUpToDate>
  <CharactersWithSpaces>7832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2014-07-29T00:41:00Z</dcterms:created>
  <dcterms:modified xsi:type="dcterms:W3CDTF">2014-07-29T00:41:00Z</dcterms:modified>
</cp:coreProperties>
</file>