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A553E5" w14:textId="77777777" w:rsidR="006C0BDE" w:rsidRDefault="006C0BDE">
      <w:pPr>
        <w:rPr>
          <w:b/>
        </w:rPr>
      </w:pPr>
      <w:bookmarkStart w:id="0" w:name="_GoBack"/>
      <w:bookmarkEnd w:id="0"/>
    </w:p>
    <w:p w14:paraId="44905148" w14:textId="77777777" w:rsidR="006C0BDE" w:rsidRDefault="006C0BDE">
      <w:pPr>
        <w:rPr>
          <w:b/>
        </w:rPr>
      </w:pPr>
    </w:p>
    <w:p w14:paraId="6F8B0FDE" w14:textId="77777777" w:rsidR="006C0BDE" w:rsidRDefault="006C0BDE">
      <w:pPr>
        <w:rPr>
          <w:b/>
        </w:rPr>
      </w:pPr>
    </w:p>
    <w:p w14:paraId="44ECBA40" w14:textId="77777777" w:rsidR="006C0BDE" w:rsidRDefault="006C0BDE">
      <w:pPr>
        <w:rPr>
          <w:b/>
        </w:rPr>
      </w:pPr>
    </w:p>
    <w:p w14:paraId="48B1F3CE" w14:textId="77777777" w:rsidR="006C0BDE" w:rsidRDefault="006C0BDE">
      <w:pPr>
        <w:rPr>
          <w:b/>
        </w:rPr>
      </w:pPr>
    </w:p>
    <w:p w14:paraId="6DE2F568" w14:textId="77777777" w:rsidR="006C0BDE" w:rsidRDefault="006C0BDE">
      <w:pPr>
        <w:rPr>
          <w:b/>
        </w:rPr>
      </w:pPr>
    </w:p>
    <w:p w14:paraId="36ED933D" w14:textId="77777777" w:rsidR="006C0BDE" w:rsidRDefault="006C0BDE">
      <w:pPr>
        <w:rPr>
          <w:b/>
        </w:rPr>
      </w:pPr>
    </w:p>
    <w:p w14:paraId="533659C2" w14:textId="77777777" w:rsidR="006C0BDE" w:rsidRDefault="006C0BDE">
      <w:pPr>
        <w:rPr>
          <w:b/>
        </w:rPr>
      </w:pPr>
    </w:p>
    <w:p w14:paraId="671E5612" w14:textId="77777777" w:rsidR="006C0BDE" w:rsidRDefault="006C0BDE">
      <w:pPr>
        <w:rPr>
          <w:b/>
        </w:rPr>
      </w:pPr>
    </w:p>
    <w:p w14:paraId="11D8CE47" w14:textId="77777777" w:rsidR="006C0BDE" w:rsidRDefault="006C0BDE">
      <w:pPr>
        <w:rPr>
          <w:b/>
        </w:rPr>
      </w:pPr>
    </w:p>
    <w:p w14:paraId="456E362F" w14:textId="77777777" w:rsidR="006C0BDE" w:rsidRDefault="006C0BDE">
      <w:pPr>
        <w:rPr>
          <w:b/>
        </w:rPr>
      </w:pPr>
    </w:p>
    <w:p w14:paraId="3021925A" w14:textId="62DBA974" w:rsidR="0085348B" w:rsidRDefault="00303BB3">
      <w:r>
        <w:rPr>
          <w:b/>
        </w:rPr>
        <w:t>Specialized Experiential Learning Opportunities</w:t>
      </w:r>
      <w:r w:rsidR="00CF4125">
        <w:rPr>
          <w:b/>
        </w:rPr>
        <w:t xml:space="preserve"> for Students</w:t>
      </w:r>
      <w:r>
        <w:rPr>
          <w:b/>
        </w:rPr>
        <w:t xml:space="preserve">: </w:t>
      </w:r>
      <w:r w:rsidR="00802FD5">
        <w:rPr>
          <w:b/>
        </w:rPr>
        <w:t xml:space="preserve">Lessons from </w:t>
      </w:r>
      <w:r>
        <w:rPr>
          <w:b/>
        </w:rPr>
        <w:t>a Cookbook</w:t>
      </w:r>
    </w:p>
    <w:p w14:paraId="12F8420B" w14:textId="77777777" w:rsidR="00303BB3" w:rsidRDefault="00303BB3"/>
    <w:p w14:paraId="590A4E13" w14:textId="77777777" w:rsidR="006C0BDE" w:rsidRDefault="006C0BDE" w:rsidP="006C0BDE">
      <w:r>
        <w:t>Stuart Estes</w:t>
      </w:r>
    </w:p>
    <w:p w14:paraId="7B6223F0" w14:textId="77777777" w:rsidR="006C0BDE" w:rsidRDefault="006C0BDE" w:rsidP="006C0BDE">
      <w:r>
        <w:t>Graduate Student</w:t>
      </w:r>
    </w:p>
    <w:p w14:paraId="7F09A3BF" w14:textId="77777777" w:rsidR="006C0BDE" w:rsidRDefault="006C0BDE" w:rsidP="006C0BDE">
      <w:r>
        <w:t>University of Arkansas</w:t>
      </w:r>
    </w:p>
    <w:p w14:paraId="2FDBD671" w14:textId="77777777" w:rsidR="006C0BDE" w:rsidRDefault="006C0BDE" w:rsidP="006C0BDE">
      <w:r>
        <w:t>204 Agriculture Annex</w:t>
      </w:r>
    </w:p>
    <w:p w14:paraId="1FBE70DD" w14:textId="77777777" w:rsidR="006C0BDE" w:rsidRDefault="006C0BDE" w:rsidP="006C0BDE">
      <w:r>
        <w:t>Fayetteville, AR 72701</w:t>
      </w:r>
    </w:p>
    <w:p w14:paraId="67FC9085" w14:textId="77777777" w:rsidR="006C0BDE" w:rsidRDefault="006C0BDE" w:rsidP="006C0BDE">
      <w:r>
        <w:t>(479) 575-3837</w:t>
      </w:r>
    </w:p>
    <w:p w14:paraId="5F412E08" w14:textId="77777777" w:rsidR="006C0BDE" w:rsidRDefault="006C0BDE" w:rsidP="006C0BDE">
      <w:r>
        <w:t>Fax: (479) 575-2610</w:t>
      </w:r>
    </w:p>
    <w:p w14:paraId="628FE270" w14:textId="77777777" w:rsidR="006C0BDE" w:rsidRDefault="006C0BDE" w:rsidP="006C0BDE">
      <w:r>
        <w:t>sxe012@uark.edu</w:t>
      </w:r>
    </w:p>
    <w:p w14:paraId="44EED45B" w14:textId="77777777" w:rsidR="00303BB3" w:rsidRDefault="00303BB3" w:rsidP="00303BB3">
      <w:pPr>
        <w:jc w:val="left"/>
      </w:pPr>
    </w:p>
    <w:p w14:paraId="19556F98" w14:textId="77777777" w:rsidR="006C0BDE" w:rsidRDefault="006C0BDE" w:rsidP="006C0BDE">
      <w:r>
        <w:t>Leslie D. Edgar</w:t>
      </w:r>
    </w:p>
    <w:p w14:paraId="7DA6C719" w14:textId="77777777" w:rsidR="006C0BDE" w:rsidRDefault="006C0BDE" w:rsidP="006C0BDE">
      <w:r>
        <w:t>Associate Professor</w:t>
      </w:r>
      <w:r w:rsidRPr="006C0BDE">
        <w:t xml:space="preserve"> </w:t>
      </w:r>
    </w:p>
    <w:p w14:paraId="023102B8" w14:textId="77777777" w:rsidR="006C0BDE" w:rsidRDefault="006C0BDE" w:rsidP="006C0BDE">
      <w:r>
        <w:t>University of Arkansas</w:t>
      </w:r>
    </w:p>
    <w:p w14:paraId="2D421168" w14:textId="77777777" w:rsidR="006C0BDE" w:rsidRPr="003F2EDC" w:rsidRDefault="006C0BDE" w:rsidP="006C0BDE">
      <w:pPr>
        <w:pStyle w:val="Header"/>
      </w:pPr>
      <w:r w:rsidRPr="003F2EDC">
        <w:t>205 Agriculture B</w:t>
      </w:r>
      <w:r>
        <w:t xml:space="preserve">uilding, </w:t>
      </w:r>
    </w:p>
    <w:p w14:paraId="5AA27DFA" w14:textId="77777777" w:rsidR="006C0BDE" w:rsidRPr="003F2EDC" w:rsidRDefault="006C0BDE" w:rsidP="006C0BDE">
      <w:pPr>
        <w:pStyle w:val="Header"/>
      </w:pPr>
      <w:r w:rsidRPr="003F2EDC">
        <w:t>Fayetteville, AR 72701</w:t>
      </w:r>
    </w:p>
    <w:p w14:paraId="26C7BD55" w14:textId="77777777" w:rsidR="006C0BDE" w:rsidRPr="003F2EDC" w:rsidRDefault="006C0BDE" w:rsidP="006C0BDE">
      <w:pPr>
        <w:pStyle w:val="Header"/>
      </w:pPr>
      <w:r w:rsidRPr="003F2EDC">
        <w:t>(479) 575-6770</w:t>
      </w:r>
    </w:p>
    <w:p w14:paraId="57B733BA" w14:textId="77777777" w:rsidR="006C0BDE" w:rsidRPr="003F2EDC" w:rsidRDefault="006C0BDE" w:rsidP="006C0BDE">
      <w:pPr>
        <w:pStyle w:val="Header"/>
      </w:pPr>
      <w:r w:rsidRPr="003F2EDC">
        <w:t>Fax:</w:t>
      </w:r>
      <w:r>
        <w:t xml:space="preserve"> (479) 575-2610</w:t>
      </w:r>
    </w:p>
    <w:p w14:paraId="2A485C36" w14:textId="77777777" w:rsidR="00802FD5" w:rsidRDefault="00802FD5" w:rsidP="00802FD5">
      <w:pPr>
        <w:pStyle w:val="Header"/>
      </w:pPr>
      <w:r w:rsidRPr="00802FD5">
        <w:t>ledgar@uark.edu</w:t>
      </w:r>
    </w:p>
    <w:p w14:paraId="35063DD6" w14:textId="77777777" w:rsidR="00802FD5" w:rsidRDefault="00802FD5" w:rsidP="00802FD5">
      <w:pPr>
        <w:pStyle w:val="Header"/>
      </w:pPr>
    </w:p>
    <w:p w14:paraId="4B7F19C0" w14:textId="77777777" w:rsidR="00802FD5" w:rsidRDefault="00802FD5" w:rsidP="00802FD5">
      <w:pPr>
        <w:pStyle w:val="Header"/>
        <w:sectPr w:rsidR="00802FD5">
          <w:headerReference w:type="default" r:id="rId6"/>
          <w:pgSz w:w="12240" w:h="15840"/>
          <w:pgMar w:top="1440" w:right="1440" w:bottom="1440" w:left="1440" w:header="720" w:footer="720" w:gutter="0"/>
          <w:cols w:space="720"/>
          <w:docGrid w:linePitch="360"/>
        </w:sectPr>
      </w:pPr>
    </w:p>
    <w:p w14:paraId="60E0701F" w14:textId="77777777" w:rsidR="00CF4125" w:rsidRDefault="00CF4125" w:rsidP="00303BB3">
      <w:pPr>
        <w:jc w:val="left"/>
        <w:rPr>
          <w:b/>
        </w:rPr>
      </w:pPr>
      <w:r>
        <w:rPr>
          <w:b/>
        </w:rPr>
        <w:lastRenderedPageBreak/>
        <w:t>Specialized Experiential Learning Opportunities for Students: Lessons from a Cookbook</w:t>
      </w:r>
      <w:r w:rsidDel="00CF4125">
        <w:rPr>
          <w:b/>
        </w:rPr>
        <w:t xml:space="preserve"> </w:t>
      </w:r>
    </w:p>
    <w:p w14:paraId="6BF34151" w14:textId="77777777" w:rsidR="006C0BDE" w:rsidRDefault="006C0BDE" w:rsidP="00303BB3">
      <w:pPr>
        <w:jc w:val="left"/>
      </w:pPr>
    </w:p>
    <w:p w14:paraId="6E1DA880" w14:textId="77777777" w:rsidR="00802FD5" w:rsidRDefault="00802FD5" w:rsidP="00802FD5">
      <w:r>
        <w:rPr>
          <w:b/>
        </w:rPr>
        <w:t>Introduction</w:t>
      </w:r>
      <w:r w:rsidR="006F3390">
        <w:rPr>
          <w:b/>
        </w:rPr>
        <w:t xml:space="preserve"> </w:t>
      </w:r>
      <w:r>
        <w:rPr>
          <w:b/>
        </w:rPr>
        <w:t>/</w:t>
      </w:r>
      <w:r w:rsidR="006F3390">
        <w:rPr>
          <w:b/>
        </w:rPr>
        <w:t xml:space="preserve"> </w:t>
      </w:r>
      <w:r>
        <w:rPr>
          <w:b/>
        </w:rPr>
        <w:t>Need for Innovation or Idea</w:t>
      </w:r>
    </w:p>
    <w:p w14:paraId="02D61BE2" w14:textId="3A6C40AA" w:rsidR="00802FD5" w:rsidRDefault="00BB7AA4" w:rsidP="00802FD5">
      <w:pPr>
        <w:jc w:val="left"/>
      </w:pPr>
      <w:r>
        <w:t>Opportunities for le</w:t>
      </w:r>
      <w:r w:rsidR="00F813EF">
        <w:t>arning in agricultural communications</w:t>
      </w:r>
      <w:r>
        <w:t xml:space="preserve"> at the post-secondary level often present themselves as experiential learning, which is the basis of the problem-solving approach to teaching (Kolb, 1984).  When a student learns through experience they are engaging in experiential learning (</w:t>
      </w:r>
      <w:proofErr w:type="spellStart"/>
      <w:r>
        <w:t>A</w:t>
      </w:r>
      <w:r w:rsidR="00CF4125">
        <w:t>n</w:t>
      </w:r>
      <w:r w:rsidR="004563AE">
        <w:t>drease</w:t>
      </w:r>
      <w:r>
        <w:t>n</w:t>
      </w:r>
      <w:proofErr w:type="spellEnd"/>
      <w:r>
        <w:t>, 2004; Kolb, 1984).  When students are exposed to situations where they must apply the skills they gain in the classroom in a real-world setting, they engage in experiential learning</w:t>
      </w:r>
      <w:r w:rsidR="000950D1">
        <w:t xml:space="preserve">, and these instances provide an opportunity for them to try, to make mistakes, and to narrow the margin between failure and success (Grant Foundation, 1988).  </w:t>
      </w:r>
      <w:r w:rsidR="00F813EF">
        <w:t xml:space="preserve">Agricultural communications educators must recognize the industry desire for potential employees </w:t>
      </w:r>
      <w:r w:rsidR="00DE223B">
        <w:t xml:space="preserve">to have not only skills but experience and adapt their programs to meet that need (Doerfert &amp; Miller, 2006; </w:t>
      </w:r>
      <w:proofErr w:type="spellStart"/>
      <w:r w:rsidR="00DE223B">
        <w:t>Sprecker</w:t>
      </w:r>
      <w:proofErr w:type="spellEnd"/>
      <w:r w:rsidR="00DE223B">
        <w:t xml:space="preserve"> &amp; Rudd, 1997).  Curriculum currently plays an important role </w:t>
      </w:r>
      <w:r w:rsidR="006F3390">
        <w:t xml:space="preserve">in preparing individuals for agricultural communications careers (Tucker, Whaley, &amp; Cano, 2003), yet there is a need for post-secondary educators to provide opportunities for students to use their skills in practical situations. </w:t>
      </w:r>
    </w:p>
    <w:p w14:paraId="6AF8576F" w14:textId="77777777" w:rsidR="006F3390" w:rsidRDefault="006F3390" w:rsidP="00802FD5">
      <w:pPr>
        <w:jc w:val="left"/>
      </w:pPr>
    </w:p>
    <w:p w14:paraId="543F2F37" w14:textId="77777777" w:rsidR="006F3390" w:rsidRDefault="006F3390" w:rsidP="006F3390">
      <w:pPr>
        <w:rPr>
          <w:b/>
        </w:rPr>
      </w:pPr>
      <w:r>
        <w:rPr>
          <w:b/>
        </w:rPr>
        <w:t>How it Works / Methodology / Steps</w:t>
      </w:r>
    </w:p>
    <w:p w14:paraId="1703457F" w14:textId="77777777" w:rsidR="00AC1318" w:rsidRDefault="00AC1318" w:rsidP="00AC1318">
      <w:pPr>
        <w:jc w:val="left"/>
      </w:pPr>
      <w:r>
        <w:t xml:space="preserve">During the fall 2014 semester at the University of [State] an agricultural communications </w:t>
      </w:r>
      <w:r w:rsidR="000E4A2B">
        <w:t xml:space="preserve">faculty member </w:t>
      </w:r>
      <w:r>
        <w:t xml:space="preserve">was asked to help promote an event the [State] Division of Agriculture and [College of Agriculture] </w:t>
      </w:r>
      <w:r w:rsidR="008F34F2">
        <w:t xml:space="preserve">were hosting midway through the </w:t>
      </w:r>
      <w:r>
        <w:t xml:space="preserve">semester.  </w:t>
      </w:r>
      <w:r w:rsidR="000E4A2B">
        <w:t xml:space="preserve">The event was an educational tour of local farms in the area targeted toward mothers.  With this in mind, the faculty member and other organizers thought it would be appropriate to create a cookbook to distribute along with other hospitality items attendees received.  </w:t>
      </w:r>
    </w:p>
    <w:p w14:paraId="738DDDEB" w14:textId="77777777" w:rsidR="000E4A2B" w:rsidRDefault="000E4A2B" w:rsidP="00AC1318">
      <w:pPr>
        <w:jc w:val="left"/>
      </w:pPr>
    </w:p>
    <w:p w14:paraId="248776D6" w14:textId="77777777" w:rsidR="000E4A2B" w:rsidRPr="00AC1318" w:rsidRDefault="000E4A2B" w:rsidP="00AC1318">
      <w:pPr>
        <w:jc w:val="left"/>
      </w:pPr>
      <w:r>
        <w:t xml:space="preserve">Instead of designing and coordinating the production of the cookbook personally, the faculty member opted to provide this opportunity to a graduate student whose skillset matched the project, </w:t>
      </w:r>
      <w:r w:rsidR="006A795A">
        <w:t xml:space="preserve">but whose skillset could also be expanded and strengthened through the project.  </w:t>
      </w:r>
      <w:r w:rsidR="00E573B6">
        <w:t xml:space="preserve">After helping the student to conceptualize the cookbook and providing and establishing contacts who would aid in the creation of the cookbook, the faculty member gave control of the assignment completely to the graduate student.  </w:t>
      </w:r>
      <w:r w:rsidR="008F34F2">
        <w:t>Once the graduate student understood the assigned task, the entire process of creating the cookbook was under the student’s supervision, including workflow management, designing, and corresponding with event organizers and printers to ensure completion of the project.  Throughout the production process, the student provided regular progress updates to the faculty member</w:t>
      </w:r>
      <w:r w:rsidR="00A53CCC">
        <w:t>, but the student was provided minimal direction.  Direction was only provided when necessary to avoid potentially detrimental situations, such as not having eno</w:t>
      </w:r>
      <w:r w:rsidR="00AA11FD">
        <w:t xml:space="preserve">ugh time to print the cookbook.  The design for the cookbook was approved by the faculty member and organizers of the event before being sent to print.  Additionally, the student requested a proof of the cookbook, which was approved before the complete print job was processed. </w:t>
      </w:r>
    </w:p>
    <w:p w14:paraId="7BE6A9F5" w14:textId="77777777" w:rsidR="00AC1318" w:rsidRDefault="00AC1318" w:rsidP="006F3390">
      <w:pPr>
        <w:rPr>
          <w:b/>
        </w:rPr>
      </w:pPr>
    </w:p>
    <w:p w14:paraId="5B132160" w14:textId="77777777" w:rsidR="00AC1318" w:rsidRDefault="00AC1318" w:rsidP="006F3390">
      <w:pPr>
        <w:rPr>
          <w:b/>
        </w:rPr>
      </w:pPr>
      <w:r>
        <w:rPr>
          <w:b/>
        </w:rPr>
        <w:t>Results to Date / Implications</w:t>
      </w:r>
    </w:p>
    <w:p w14:paraId="07F44602" w14:textId="77777777" w:rsidR="0024382F" w:rsidRDefault="00AA11FD" w:rsidP="008F34F2">
      <w:pPr>
        <w:jc w:val="left"/>
      </w:pPr>
      <w:r>
        <w:t xml:space="preserve">The final </w:t>
      </w:r>
      <w:r w:rsidR="0024382F">
        <w:t xml:space="preserve">cookbook </w:t>
      </w:r>
      <w:r w:rsidR="00D03AD1">
        <w:t xml:space="preserve">product was a full-color, </w:t>
      </w:r>
      <w:r w:rsidR="000B4133">
        <w:t>8.5 inches (height) by 5.5 inches (wide) coil-bound booklet with 28 inside pages and polyester front and back covers</w:t>
      </w:r>
      <w:r>
        <w:t>; 100 copies of the cookbook were printed</w:t>
      </w:r>
      <w:r w:rsidR="000B4133">
        <w:t xml:space="preserve">.  The </w:t>
      </w:r>
      <w:r>
        <w:t xml:space="preserve">book was designed using Adobe InDesign CS6, and the University of [State] </w:t>
      </w:r>
      <w:r>
        <w:lastRenderedPageBreak/>
        <w:t xml:space="preserve">Print, Mail, and Copy Solutions was hired to print </w:t>
      </w:r>
      <w:r w:rsidR="0024382F">
        <w:t>the cookbook.  The student delivered the cookbooks to the event organizers the week before the event was scheduled.</w:t>
      </w:r>
    </w:p>
    <w:p w14:paraId="412E5DF1" w14:textId="77777777" w:rsidR="0024382F" w:rsidRDefault="0024382F" w:rsidP="008F34F2">
      <w:pPr>
        <w:jc w:val="left"/>
      </w:pPr>
    </w:p>
    <w:p w14:paraId="2AD6CEA1" w14:textId="77777777" w:rsidR="0024382F" w:rsidRPr="008F34F2" w:rsidRDefault="0024382F" w:rsidP="008F34F2">
      <w:pPr>
        <w:jc w:val="left"/>
      </w:pPr>
      <w:r>
        <w:t xml:space="preserve">Event organizers, the faculty member, and the student </w:t>
      </w:r>
      <w:r w:rsidR="001D45E1">
        <w:t xml:space="preserve">were all pleased with the outcomes </w:t>
      </w:r>
      <w:r>
        <w:t xml:space="preserve">of the project.  Event organizers were pleased with the final cookbook product, and upon dissemination to event attendees, organizers noted the value of the cookbook as a promotional tool.  The faculty member and student both noted expansion in the student’s skillset through the experiential learning opportunity, including improved understanding of designing with print shop specifications in mind and improved ability to effectively manage scheduling and workflow.  Additionally, the student received an opportunity to implement skills gained through curriculum in a real-world setting, and once the cookbook was completed, the student had a valuable asset to add to a portfolio.  </w:t>
      </w:r>
      <w:r w:rsidR="007865ED">
        <w:t xml:space="preserve">The student expressed how this opportunity not only improved marketability, but competency, which the student also noted was of more long-term importance than marketability.  </w:t>
      </w:r>
    </w:p>
    <w:p w14:paraId="0DC1B56E" w14:textId="77777777" w:rsidR="00AC1318" w:rsidRDefault="00AC1318" w:rsidP="006F3390">
      <w:pPr>
        <w:rPr>
          <w:b/>
        </w:rPr>
      </w:pPr>
    </w:p>
    <w:p w14:paraId="5B5A069D" w14:textId="77777777" w:rsidR="00AC1318" w:rsidRDefault="00AC1318" w:rsidP="006F3390">
      <w:pPr>
        <w:rPr>
          <w:b/>
        </w:rPr>
      </w:pPr>
      <w:r>
        <w:rPr>
          <w:b/>
        </w:rPr>
        <w:t>Future Plans / Advice to Others</w:t>
      </w:r>
    </w:p>
    <w:p w14:paraId="27BCA415" w14:textId="77777777" w:rsidR="001D45E1" w:rsidRDefault="001D45E1" w:rsidP="00AC1318">
      <w:pPr>
        <w:jc w:val="left"/>
      </w:pPr>
      <w:r>
        <w:t xml:space="preserve">In addition to the curriculum they construct and implement, agricultural communications educators should work to provide students with opportunities to engage in experiential learning outside of the classroom.  </w:t>
      </w:r>
      <w:r w:rsidR="00DE4B7B">
        <w:t xml:space="preserve">Integrating this into agricultural communication programs will help to ensure the programs are helping students to meet the needs of industry, thus making them more marketable (Doerfert &amp; Miller, 2006).  </w:t>
      </w:r>
      <w:r>
        <w:t>As noted by the Grant Foundation (1988</w:t>
      </w:r>
      <w:r w:rsidR="00D03AD1">
        <w:t xml:space="preserve">), experiential learning is </w:t>
      </w:r>
      <w:r>
        <w:t xml:space="preserve">about closing the distance between failure and success, and by offering students real-world opportunities where success and failure are both equally possible, faculty prepare students for what they will eventually deal with in the industry.  Essentially, providing students with “cookbook” opportunities raises the stakes in the learning process, which causes students to take ownership of their learning.  </w:t>
      </w:r>
    </w:p>
    <w:p w14:paraId="0AEF7474" w14:textId="77777777" w:rsidR="001D45E1" w:rsidRDefault="001D45E1" w:rsidP="00AC1318">
      <w:pPr>
        <w:jc w:val="left"/>
      </w:pPr>
    </w:p>
    <w:p w14:paraId="1F5329CF" w14:textId="77777777" w:rsidR="00AC1318" w:rsidRPr="006F3390" w:rsidRDefault="00AC1318" w:rsidP="00AC1318">
      <w:pPr>
        <w:jc w:val="left"/>
      </w:pPr>
      <w:r>
        <w:t xml:space="preserve">Agricultural communication educators might have connections with industry professionals and higher education colleagues who are in need of freelance communication work.  Educators should note these opportunities and if possible match the opportunities to certain students who may be willing to tackle the project for pay or credit hours.  </w:t>
      </w:r>
      <w:r w:rsidR="001D45E1">
        <w:t>In doing so, educators will help students be more marketable because of the experience they gain through experiential learning opportunities (</w:t>
      </w:r>
      <w:proofErr w:type="spellStart"/>
      <w:r w:rsidR="001D45E1">
        <w:t>Sprecker</w:t>
      </w:r>
      <w:proofErr w:type="spellEnd"/>
      <w:r w:rsidR="001D45E1">
        <w:t xml:space="preserve"> &amp; Rudd, 1997).  </w:t>
      </w:r>
      <w:r w:rsidR="007865ED">
        <w:t xml:space="preserve">Not only will students be more marketable, but as attested to by the student in this study, they will be more competent individuals, which is a need often more important than being more marketable. </w:t>
      </w:r>
    </w:p>
    <w:p w14:paraId="5477AF5B" w14:textId="77777777" w:rsidR="00AC1318" w:rsidRDefault="00AC1318" w:rsidP="006F3390">
      <w:pPr>
        <w:rPr>
          <w:b/>
        </w:rPr>
      </w:pPr>
    </w:p>
    <w:p w14:paraId="0E8F2900" w14:textId="77777777" w:rsidR="007865ED" w:rsidRDefault="00AC1318" w:rsidP="007865ED">
      <w:pPr>
        <w:rPr>
          <w:b/>
        </w:rPr>
      </w:pPr>
      <w:r>
        <w:rPr>
          <w:b/>
        </w:rPr>
        <w:t>Costs / Resources Needed</w:t>
      </w:r>
    </w:p>
    <w:p w14:paraId="2524B0E8" w14:textId="77777777" w:rsidR="007865ED" w:rsidRPr="007865ED" w:rsidRDefault="007865ED" w:rsidP="007865ED">
      <w:pPr>
        <w:jc w:val="left"/>
      </w:pPr>
      <w:r>
        <w:t xml:space="preserve">In this instance, cost for the project was minimal because the graduate student was paid through a graduate assistantship.  However, in other situations students may not engage in these kind of experiential learning opportunities without some form of compensation.  This may require that faculty work to secure funding for students, whether it be from the source of the opportunities or through other funding the faculty may have access to.  Students could also be compensated with special problems credit hours that count toward their degree requirements.  Resources needed will vary depending on the experiential opportunities provided. </w:t>
      </w:r>
    </w:p>
    <w:p w14:paraId="0BA367D6" w14:textId="77777777" w:rsidR="007865ED" w:rsidRPr="007865ED" w:rsidRDefault="007865ED" w:rsidP="007865ED">
      <w:pPr>
        <w:jc w:val="left"/>
        <w:sectPr w:rsidR="007865ED" w:rsidRPr="007865ED">
          <w:pgSz w:w="12240" w:h="15840"/>
          <w:pgMar w:top="1440" w:right="1440" w:bottom="1440" w:left="1440" w:header="720" w:footer="720" w:gutter="0"/>
          <w:cols w:space="720"/>
          <w:docGrid w:linePitch="360"/>
        </w:sectPr>
      </w:pPr>
    </w:p>
    <w:p w14:paraId="16D32F06" w14:textId="77777777" w:rsidR="00FB6AD3" w:rsidRPr="00106CF7" w:rsidRDefault="00FB6AD3" w:rsidP="00FB6AD3">
      <w:r w:rsidRPr="00106CF7">
        <w:rPr>
          <w:b/>
        </w:rPr>
        <w:lastRenderedPageBreak/>
        <w:t>References</w:t>
      </w:r>
    </w:p>
    <w:p w14:paraId="3EBFA816" w14:textId="77777777" w:rsidR="00FB6AD3" w:rsidRPr="00106CF7" w:rsidRDefault="00FB6AD3" w:rsidP="00FB6AD3"/>
    <w:p w14:paraId="59A02297" w14:textId="77777777" w:rsidR="00FB6AD3" w:rsidRDefault="00FB6AD3" w:rsidP="00FB6AD3">
      <w:pPr>
        <w:ind w:left="720" w:hanging="720"/>
        <w:jc w:val="left"/>
      </w:pPr>
      <w:proofErr w:type="spellStart"/>
      <w:r w:rsidRPr="00106CF7">
        <w:t>Andreasen</w:t>
      </w:r>
      <w:proofErr w:type="spellEnd"/>
      <w:r w:rsidRPr="00106CF7">
        <w:t xml:space="preserve">, R. J. (2004). Integrating experiential learning into college of agriculture capstone courses: Implications and applications for practitioners. </w:t>
      </w:r>
      <w:r w:rsidRPr="00106CF7">
        <w:rPr>
          <w:i/>
        </w:rPr>
        <w:t>NACTA Journal</w:t>
      </w:r>
      <w:r w:rsidRPr="00106CF7">
        <w:t xml:space="preserve">, </w:t>
      </w:r>
      <w:r w:rsidRPr="00106CF7">
        <w:rPr>
          <w:i/>
        </w:rPr>
        <w:t>49</w:t>
      </w:r>
      <w:r w:rsidRPr="00106CF7">
        <w:t xml:space="preserve">(1), 52-57. </w:t>
      </w:r>
    </w:p>
    <w:p w14:paraId="6F5BE972" w14:textId="77777777" w:rsidR="00FB6AD3" w:rsidRDefault="00FB6AD3" w:rsidP="00FB6AD3">
      <w:pPr>
        <w:ind w:left="720" w:hanging="720"/>
        <w:jc w:val="left"/>
      </w:pPr>
    </w:p>
    <w:p w14:paraId="3417BE84" w14:textId="77777777" w:rsidR="006A795A" w:rsidRPr="00106CF7" w:rsidRDefault="006A795A" w:rsidP="006A795A">
      <w:pPr>
        <w:ind w:left="720" w:hanging="720"/>
        <w:jc w:val="left"/>
      </w:pPr>
      <w:r w:rsidRPr="00106CF7">
        <w:t xml:space="preserve">Doerfert, D. L., &amp; Miller R. P. (2004). What are agriculture industry professionals trying to tell us? Implications for university-level agricultural communications curricula. </w:t>
      </w:r>
      <w:r w:rsidRPr="00106CF7">
        <w:rPr>
          <w:i/>
        </w:rPr>
        <w:t>Journal of Applied Communications, 90</w:t>
      </w:r>
      <w:r w:rsidRPr="00106CF7">
        <w:t>(3), 17-31.</w:t>
      </w:r>
    </w:p>
    <w:p w14:paraId="0DF48A6C" w14:textId="77777777" w:rsidR="006A795A" w:rsidRDefault="006A795A" w:rsidP="00FB6AD3">
      <w:pPr>
        <w:ind w:left="720" w:hanging="720"/>
        <w:jc w:val="left"/>
      </w:pPr>
    </w:p>
    <w:p w14:paraId="796F1B1C" w14:textId="77777777" w:rsidR="00FB6AD3" w:rsidRPr="00106CF7" w:rsidRDefault="00FB6AD3" w:rsidP="00FB6AD3">
      <w:pPr>
        <w:ind w:left="720" w:hanging="720"/>
        <w:jc w:val="left"/>
      </w:pPr>
      <w:r w:rsidRPr="00106CF7">
        <w:t xml:space="preserve">Grant Foundation. (1988). </w:t>
      </w:r>
      <w:proofErr w:type="gramStart"/>
      <w:r w:rsidRPr="00106CF7">
        <w:rPr>
          <w:i/>
        </w:rPr>
        <w:t>The</w:t>
      </w:r>
      <w:proofErr w:type="gramEnd"/>
      <w:r w:rsidRPr="00106CF7">
        <w:rPr>
          <w:i/>
        </w:rPr>
        <w:t xml:space="preserve"> forgotten half</w:t>
      </w:r>
      <w:r w:rsidRPr="00106CF7">
        <w:t>. New York: Author.</w:t>
      </w:r>
      <w:r w:rsidRPr="00FB6AD3">
        <w:t xml:space="preserve"> </w:t>
      </w:r>
    </w:p>
    <w:p w14:paraId="3670051F" w14:textId="77777777" w:rsidR="00FB6AD3" w:rsidRDefault="00FB6AD3" w:rsidP="00FB6AD3">
      <w:pPr>
        <w:ind w:left="720" w:hanging="720"/>
        <w:jc w:val="left"/>
      </w:pPr>
    </w:p>
    <w:p w14:paraId="02814B29" w14:textId="77777777" w:rsidR="00FB6AD3" w:rsidRDefault="00FB6AD3" w:rsidP="00FB6AD3">
      <w:pPr>
        <w:ind w:left="720" w:hanging="720"/>
        <w:jc w:val="left"/>
      </w:pPr>
      <w:r w:rsidRPr="00106CF7">
        <w:t xml:space="preserve">Kolb, D. A. (1984). </w:t>
      </w:r>
      <w:r w:rsidRPr="00106CF7">
        <w:rPr>
          <w:i/>
        </w:rPr>
        <w:t>Experiential learning: Experience as the source of learning and development</w:t>
      </w:r>
      <w:r w:rsidRPr="00106CF7">
        <w:t>. Englewood Cliffs, NJ: Prentice-Hall, Inc.</w:t>
      </w:r>
    </w:p>
    <w:p w14:paraId="352D0FA7" w14:textId="77777777" w:rsidR="006A795A" w:rsidRDefault="006A795A" w:rsidP="00FB6AD3">
      <w:pPr>
        <w:ind w:left="720" w:hanging="720"/>
        <w:jc w:val="left"/>
      </w:pPr>
    </w:p>
    <w:p w14:paraId="1CBE5682" w14:textId="77777777" w:rsidR="006A795A" w:rsidRDefault="006A795A" w:rsidP="006A795A">
      <w:pPr>
        <w:ind w:left="720" w:hanging="720"/>
        <w:jc w:val="left"/>
      </w:pPr>
      <w:proofErr w:type="spellStart"/>
      <w:r w:rsidRPr="00106CF7">
        <w:t>Sprecker</w:t>
      </w:r>
      <w:proofErr w:type="spellEnd"/>
      <w:r w:rsidRPr="00106CF7">
        <w:t xml:space="preserve">, K. J., &amp; Rudd, R. D. (1997). Opinions of instructors, practitioners, and alumni concerning curricular requirements of agricultural communication students at the University of Florida. </w:t>
      </w:r>
      <w:r w:rsidRPr="00106CF7">
        <w:rPr>
          <w:i/>
          <w:iCs/>
        </w:rPr>
        <w:t>Journal of Agricultural Education, 38</w:t>
      </w:r>
      <w:r w:rsidRPr="00106CF7">
        <w:t>(1), 6-13.</w:t>
      </w:r>
    </w:p>
    <w:p w14:paraId="4D0985BA" w14:textId="77777777" w:rsidR="006A795A" w:rsidRDefault="006A795A" w:rsidP="006A795A">
      <w:pPr>
        <w:ind w:left="720" w:hanging="720"/>
        <w:jc w:val="left"/>
      </w:pPr>
    </w:p>
    <w:p w14:paraId="015C1BDF" w14:textId="77777777" w:rsidR="006A795A" w:rsidRPr="00106CF7" w:rsidRDefault="006A795A" w:rsidP="006A795A">
      <w:pPr>
        <w:ind w:left="720" w:hanging="720"/>
        <w:jc w:val="left"/>
      </w:pPr>
      <w:r w:rsidRPr="00106CF7">
        <w:t xml:space="preserve">Tucker, M., Whaley, S. R., &amp; Cano, J. (2003). Agricultural education and agricultural communications: Striking a proper balance in the academy. </w:t>
      </w:r>
      <w:r w:rsidRPr="00106CF7">
        <w:rPr>
          <w:i/>
          <w:iCs/>
        </w:rPr>
        <w:t>Journal of Agricultural Education, 44</w:t>
      </w:r>
      <w:r w:rsidRPr="00106CF7">
        <w:t>(1), 22-30.</w:t>
      </w:r>
    </w:p>
    <w:p w14:paraId="45A5F1AF" w14:textId="77777777" w:rsidR="006A795A" w:rsidRPr="00106CF7" w:rsidRDefault="006A795A" w:rsidP="006A795A">
      <w:pPr>
        <w:ind w:left="720" w:hanging="720"/>
        <w:jc w:val="left"/>
      </w:pPr>
    </w:p>
    <w:p w14:paraId="0A359ED8" w14:textId="77777777" w:rsidR="006A795A" w:rsidRPr="00106CF7" w:rsidRDefault="006A795A" w:rsidP="00FB6AD3">
      <w:pPr>
        <w:ind w:left="720" w:hanging="720"/>
        <w:jc w:val="left"/>
      </w:pPr>
    </w:p>
    <w:p w14:paraId="461B825C" w14:textId="77777777" w:rsidR="00FB6AD3" w:rsidRPr="00106CF7" w:rsidRDefault="00FB6AD3" w:rsidP="00FB6AD3">
      <w:pPr>
        <w:ind w:left="720" w:hanging="720"/>
        <w:jc w:val="left"/>
      </w:pPr>
    </w:p>
    <w:p w14:paraId="2864DE9D" w14:textId="77777777" w:rsidR="00FB6AD3" w:rsidRPr="00106CF7" w:rsidRDefault="00FB6AD3" w:rsidP="00FB6AD3">
      <w:pPr>
        <w:ind w:left="720" w:hanging="720"/>
        <w:jc w:val="left"/>
      </w:pPr>
    </w:p>
    <w:p w14:paraId="40BCE2AF" w14:textId="77777777" w:rsidR="000950D1" w:rsidRPr="00802FD5" w:rsidRDefault="000950D1" w:rsidP="00802FD5">
      <w:pPr>
        <w:jc w:val="left"/>
      </w:pPr>
    </w:p>
    <w:sectPr w:rsidR="000950D1" w:rsidRPr="00802FD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1D40FF" w14:textId="77777777" w:rsidR="0027265C" w:rsidRDefault="0027265C" w:rsidP="00303BB3">
      <w:r>
        <w:separator/>
      </w:r>
    </w:p>
  </w:endnote>
  <w:endnote w:type="continuationSeparator" w:id="0">
    <w:p w14:paraId="405310F0" w14:textId="77777777" w:rsidR="0027265C" w:rsidRDefault="0027265C" w:rsidP="00303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CE757F" w14:textId="77777777" w:rsidR="0027265C" w:rsidRDefault="0027265C" w:rsidP="00303BB3">
      <w:r>
        <w:separator/>
      </w:r>
    </w:p>
  </w:footnote>
  <w:footnote w:type="continuationSeparator" w:id="0">
    <w:p w14:paraId="35E6F423" w14:textId="77777777" w:rsidR="0027265C" w:rsidRDefault="0027265C" w:rsidP="00303B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E1D88" w14:textId="43C0E248" w:rsidR="00303BB3" w:rsidRDefault="00303BB3" w:rsidP="00303BB3">
    <w:pPr>
      <w:pStyle w:val="Header"/>
      <w:jc w:val="right"/>
    </w:pPr>
    <w:r>
      <w:t>Innovative</w:t>
    </w:r>
    <w:r w:rsidR="006C0BDE">
      <w:t xml:space="preserve"> </w:t>
    </w:r>
    <w:r w:rsidR="00CF4125">
      <w:t>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BB3"/>
    <w:rsid w:val="00087385"/>
    <w:rsid w:val="000950D1"/>
    <w:rsid w:val="000B4133"/>
    <w:rsid w:val="000E4A2B"/>
    <w:rsid w:val="00104F11"/>
    <w:rsid w:val="00166FE3"/>
    <w:rsid w:val="001D45E1"/>
    <w:rsid w:val="0024382F"/>
    <w:rsid w:val="0027265C"/>
    <w:rsid w:val="002B319F"/>
    <w:rsid w:val="002C3E22"/>
    <w:rsid w:val="00303BB3"/>
    <w:rsid w:val="0039737F"/>
    <w:rsid w:val="004563AE"/>
    <w:rsid w:val="00484898"/>
    <w:rsid w:val="006A795A"/>
    <w:rsid w:val="006C0BDE"/>
    <w:rsid w:val="006F3390"/>
    <w:rsid w:val="007518C4"/>
    <w:rsid w:val="00760125"/>
    <w:rsid w:val="007865ED"/>
    <w:rsid w:val="00802FD5"/>
    <w:rsid w:val="0085348B"/>
    <w:rsid w:val="00862FF2"/>
    <w:rsid w:val="008F34F2"/>
    <w:rsid w:val="00A53CCC"/>
    <w:rsid w:val="00AA11FD"/>
    <w:rsid w:val="00AC1318"/>
    <w:rsid w:val="00B70664"/>
    <w:rsid w:val="00BB7AA4"/>
    <w:rsid w:val="00CF4125"/>
    <w:rsid w:val="00D03AD1"/>
    <w:rsid w:val="00DE223B"/>
    <w:rsid w:val="00DE4B7B"/>
    <w:rsid w:val="00E573B6"/>
    <w:rsid w:val="00EB0E2F"/>
    <w:rsid w:val="00F813EF"/>
    <w:rsid w:val="00FB6AD3"/>
    <w:rsid w:val="00FC0FE6"/>
    <w:rsid w:val="00FF2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0189A"/>
  <w15:chartTrackingRefBased/>
  <w15:docId w15:val="{93B4FB0F-7744-4D64-BD37-20D79F4A9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BB3"/>
    <w:pPr>
      <w:tabs>
        <w:tab w:val="center" w:pos="4680"/>
        <w:tab w:val="right" w:pos="9360"/>
      </w:tabs>
    </w:pPr>
  </w:style>
  <w:style w:type="character" w:customStyle="1" w:styleId="HeaderChar">
    <w:name w:val="Header Char"/>
    <w:basedOn w:val="DefaultParagraphFont"/>
    <w:link w:val="Header"/>
    <w:uiPriority w:val="99"/>
    <w:rsid w:val="00303BB3"/>
  </w:style>
  <w:style w:type="paragraph" w:styleId="Footer">
    <w:name w:val="footer"/>
    <w:basedOn w:val="Normal"/>
    <w:link w:val="FooterChar"/>
    <w:uiPriority w:val="99"/>
    <w:unhideWhenUsed/>
    <w:rsid w:val="00303BB3"/>
    <w:pPr>
      <w:tabs>
        <w:tab w:val="center" w:pos="4680"/>
        <w:tab w:val="right" w:pos="9360"/>
      </w:tabs>
    </w:pPr>
  </w:style>
  <w:style w:type="character" w:customStyle="1" w:styleId="FooterChar">
    <w:name w:val="Footer Char"/>
    <w:basedOn w:val="DefaultParagraphFont"/>
    <w:link w:val="Footer"/>
    <w:uiPriority w:val="99"/>
    <w:rsid w:val="00303BB3"/>
  </w:style>
  <w:style w:type="character" w:styleId="Hyperlink">
    <w:name w:val="Hyperlink"/>
    <w:basedOn w:val="DefaultParagraphFont"/>
    <w:uiPriority w:val="99"/>
    <w:unhideWhenUsed/>
    <w:rsid w:val="00802FD5"/>
    <w:rPr>
      <w:color w:val="0563C1" w:themeColor="hyperlink"/>
      <w:u w:val="single"/>
    </w:rPr>
  </w:style>
  <w:style w:type="character" w:styleId="CommentReference">
    <w:name w:val="annotation reference"/>
    <w:basedOn w:val="DefaultParagraphFont"/>
    <w:uiPriority w:val="99"/>
    <w:semiHidden/>
    <w:unhideWhenUsed/>
    <w:rsid w:val="00D03AD1"/>
    <w:rPr>
      <w:sz w:val="16"/>
      <w:szCs w:val="16"/>
    </w:rPr>
  </w:style>
  <w:style w:type="paragraph" w:styleId="CommentText">
    <w:name w:val="annotation text"/>
    <w:basedOn w:val="Normal"/>
    <w:link w:val="CommentTextChar"/>
    <w:uiPriority w:val="99"/>
    <w:semiHidden/>
    <w:unhideWhenUsed/>
    <w:rsid w:val="00D03AD1"/>
    <w:rPr>
      <w:sz w:val="20"/>
      <w:szCs w:val="20"/>
    </w:rPr>
  </w:style>
  <w:style w:type="character" w:customStyle="1" w:styleId="CommentTextChar">
    <w:name w:val="Comment Text Char"/>
    <w:basedOn w:val="DefaultParagraphFont"/>
    <w:link w:val="CommentText"/>
    <w:uiPriority w:val="99"/>
    <w:semiHidden/>
    <w:rsid w:val="00D03AD1"/>
    <w:rPr>
      <w:sz w:val="20"/>
      <w:szCs w:val="20"/>
    </w:rPr>
  </w:style>
  <w:style w:type="paragraph" w:styleId="CommentSubject">
    <w:name w:val="annotation subject"/>
    <w:basedOn w:val="CommentText"/>
    <w:next w:val="CommentText"/>
    <w:link w:val="CommentSubjectChar"/>
    <w:uiPriority w:val="99"/>
    <w:semiHidden/>
    <w:unhideWhenUsed/>
    <w:rsid w:val="00D03AD1"/>
    <w:rPr>
      <w:b/>
      <w:bCs/>
    </w:rPr>
  </w:style>
  <w:style w:type="character" w:customStyle="1" w:styleId="CommentSubjectChar">
    <w:name w:val="Comment Subject Char"/>
    <w:basedOn w:val="CommentTextChar"/>
    <w:link w:val="CommentSubject"/>
    <w:uiPriority w:val="99"/>
    <w:semiHidden/>
    <w:rsid w:val="00D03AD1"/>
    <w:rPr>
      <w:b/>
      <w:bCs/>
      <w:sz w:val="20"/>
      <w:szCs w:val="20"/>
    </w:rPr>
  </w:style>
  <w:style w:type="paragraph" w:styleId="BalloonText">
    <w:name w:val="Balloon Text"/>
    <w:basedOn w:val="Normal"/>
    <w:link w:val="BalloonTextChar"/>
    <w:uiPriority w:val="99"/>
    <w:semiHidden/>
    <w:unhideWhenUsed/>
    <w:rsid w:val="00D03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A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1248</Words>
  <Characters>7118</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Estes</dc:creator>
  <cp:keywords/>
  <dc:description/>
  <cp:lastModifiedBy>Rebekah</cp:lastModifiedBy>
  <cp:revision>2</cp:revision>
  <dcterms:created xsi:type="dcterms:W3CDTF">2014-10-27T22:18:00Z</dcterms:created>
  <dcterms:modified xsi:type="dcterms:W3CDTF">2014-10-27T22:18:00Z</dcterms:modified>
</cp:coreProperties>
</file>