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512" w:rsidRPr="00AC4128" w:rsidRDefault="00B929A7" w:rsidP="00B929A7">
      <w:pPr>
        <w:pStyle w:val="Title"/>
        <w:jc w:val="right"/>
        <w:rPr>
          <w:rFonts w:cs="Times New Roman"/>
          <w:szCs w:val="24"/>
        </w:rPr>
      </w:pPr>
      <w:r w:rsidRPr="00AC4128">
        <w:rPr>
          <w:rFonts w:cs="Times New Roman"/>
          <w:szCs w:val="24"/>
        </w:rPr>
        <w:t>Poster Type (Research)</w:t>
      </w:r>
    </w:p>
    <w:p w:rsidR="00763512" w:rsidRPr="00AC4128" w:rsidRDefault="00763512" w:rsidP="00763512">
      <w:pPr>
        <w:pStyle w:val="Title"/>
        <w:rPr>
          <w:rFonts w:cs="Times New Roman"/>
          <w:szCs w:val="24"/>
        </w:rPr>
      </w:pPr>
    </w:p>
    <w:p w:rsidR="00763512" w:rsidRPr="00AC4128" w:rsidRDefault="00763512" w:rsidP="00763512">
      <w:pPr>
        <w:pStyle w:val="Title"/>
        <w:rPr>
          <w:rFonts w:cs="Times New Roman"/>
          <w:szCs w:val="24"/>
        </w:rPr>
      </w:pPr>
      <w:bookmarkStart w:id="0" w:name="_GoBack"/>
      <w:bookmarkEnd w:id="0"/>
    </w:p>
    <w:p w:rsidR="00763512" w:rsidRPr="00AC4128" w:rsidRDefault="00763512" w:rsidP="00763512">
      <w:pPr>
        <w:pStyle w:val="Title"/>
        <w:rPr>
          <w:rFonts w:cs="Times New Roman"/>
          <w:szCs w:val="24"/>
        </w:rPr>
      </w:pPr>
    </w:p>
    <w:p w:rsidR="00763512" w:rsidRPr="00AC4128" w:rsidRDefault="00763512" w:rsidP="00763512">
      <w:pPr>
        <w:pStyle w:val="Title"/>
        <w:rPr>
          <w:rFonts w:cs="Times New Roman"/>
          <w:szCs w:val="24"/>
        </w:rPr>
      </w:pPr>
    </w:p>
    <w:p w:rsidR="00797858" w:rsidRPr="00AC4128" w:rsidRDefault="00797858" w:rsidP="00797858">
      <w:pPr>
        <w:ind w:firstLine="720"/>
        <w:contextualSpacing/>
        <w:jc w:val="center"/>
        <w:rPr>
          <w:b/>
        </w:rPr>
      </w:pPr>
      <w:r w:rsidRPr="00AC4128">
        <w:rPr>
          <w:b/>
        </w:rPr>
        <w:t>Investigating Beginning Agricultural Teacher Burnout</w:t>
      </w:r>
    </w:p>
    <w:p w:rsidR="005E7A11" w:rsidRPr="00AC4128" w:rsidRDefault="005E7A11" w:rsidP="00763512">
      <w:pPr>
        <w:pStyle w:val="Title"/>
        <w:rPr>
          <w:rFonts w:cs="Times New Roman"/>
          <w:b w:val="0"/>
          <w:szCs w:val="24"/>
        </w:rPr>
      </w:pPr>
    </w:p>
    <w:p w:rsidR="00797858" w:rsidRPr="00AC4128" w:rsidRDefault="00797858" w:rsidP="00763512">
      <w:pPr>
        <w:pStyle w:val="Title"/>
        <w:rPr>
          <w:rFonts w:cs="Times New Roman"/>
          <w:b w:val="0"/>
          <w:szCs w:val="24"/>
        </w:rPr>
      </w:pPr>
      <w:r w:rsidRPr="00AC4128">
        <w:rPr>
          <w:rFonts w:cs="Times New Roman"/>
          <w:b w:val="0"/>
          <w:szCs w:val="24"/>
        </w:rPr>
        <w:t>Debra S. Korte</w:t>
      </w:r>
    </w:p>
    <w:p w:rsidR="00763512" w:rsidRDefault="00797858" w:rsidP="00763512">
      <w:pPr>
        <w:pStyle w:val="Title"/>
        <w:rPr>
          <w:rFonts w:cs="Times New Roman"/>
          <w:b w:val="0"/>
          <w:szCs w:val="24"/>
        </w:rPr>
      </w:pPr>
      <w:r w:rsidRPr="00AC4128">
        <w:rPr>
          <w:rFonts w:cs="Times New Roman"/>
          <w:b w:val="0"/>
          <w:szCs w:val="24"/>
        </w:rPr>
        <w:t>University of Illinois</w:t>
      </w:r>
    </w:p>
    <w:p w:rsidR="00011806" w:rsidRPr="00AC4128" w:rsidRDefault="00011806" w:rsidP="00011806">
      <w:pPr>
        <w:pStyle w:val="Title"/>
        <w:rPr>
          <w:rFonts w:cs="Times New Roman"/>
          <w:b w:val="0"/>
          <w:szCs w:val="24"/>
        </w:rPr>
      </w:pPr>
      <w:r w:rsidRPr="00AC4128">
        <w:rPr>
          <w:rFonts w:cs="Times New Roman"/>
          <w:b w:val="0"/>
          <w:szCs w:val="24"/>
        </w:rPr>
        <w:t>905 S. Goodwin Avenue, Bevier Hall</w:t>
      </w:r>
    </w:p>
    <w:p w:rsidR="00011806" w:rsidRPr="00AC4128" w:rsidRDefault="00011806" w:rsidP="00011806">
      <w:pPr>
        <w:pStyle w:val="Title"/>
        <w:rPr>
          <w:rFonts w:cs="Times New Roman"/>
          <w:b w:val="0"/>
          <w:szCs w:val="24"/>
        </w:rPr>
      </w:pPr>
      <w:r w:rsidRPr="00AC4128">
        <w:rPr>
          <w:rFonts w:cs="Times New Roman"/>
          <w:b w:val="0"/>
          <w:szCs w:val="24"/>
        </w:rPr>
        <w:t>Urbana, IL  61801</w:t>
      </w:r>
    </w:p>
    <w:p w:rsidR="00011806" w:rsidRPr="00AC4128" w:rsidRDefault="00011806" w:rsidP="00011806">
      <w:pPr>
        <w:pStyle w:val="Title"/>
        <w:rPr>
          <w:rFonts w:cs="Times New Roman"/>
          <w:b w:val="0"/>
          <w:szCs w:val="24"/>
        </w:rPr>
      </w:pPr>
      <w:r w:rsidRPr="00AC4128">
        <w:rPr>
          <w:rFonts w:cs="Times New Roman"/>
          <w:b w:val="0"/>
          <w:szCs w:val="24"/>
        </w:rPr>
        <w:t>(217-244-8086)</w:t>
      </w:r>
    </w:p>
    <w:p w:rsidR="00011806" w:rsidRPr="00AC4128" w:rsidRDefault="00011806" w:rsidP="00011806">
      <w:pPr>
        <w:pStyle w:val="Title"/>
        <w:rPr>
          <w:rFonts w:cs="Times New Roman"/>
          <w:b w:val="0"/>
          <w:szCs w:val="24"/>
        </w:rPr>
      </w:pPr>
      <w:r w:rsidRPr="00AC4128">
        <w:rPr>
          <w:rFonts w:cs="Times New Roman"/>
          <w:b w:val="0"/>
          <w:szCs w:val="24"/>
        </w:rPr>
        <w:t>dskorte@illinois.edu</w:t>
      </w:r>
    </w:p>
    <w:p w:rsidR="00797858" w:rsidRPr="00AC4128" w:rsidRDefault="00797858" w:rsidP="00011806">
      <w:pPr>
        <w:pStyle w:val="Title"/>
        <w:jc w:val="left"/>
        <w:rPr>
          <w:rFonts w:cs="Times New Roman"/>
          <w:b w:val="0"/>
          <w:szCs w:val="24"/>
        </w:rPr>
      </w:pPr>
    </w:p>
    <w:p w:rsidR="00797858" w:rsidRPr="00AC4128" w:rsidRDefault="00797858" w:rsidP="00763512">
      <w:pPr>
        <w:pStyle w:val="Title"/>
        <w:rPr>
          <w:rFonts w:cs="Times New Roman"/>
          <w:b w:val="0"/>
          <w:szCs w:val="24"/>
        </w:rPr>
      </w:pPr>
      <w:r w:rsidRPr="00AC4128">
        <w:rPr>
          <w:rFonts w:cs="Times New Roman"/>
          <w:b w:val="0"/>
          <w:szCs w:val="24"/>
        </w:rPr>
        <w:t xml:space="preserve">John D. Tummons </w:t>
      </w:r>
    </w:p>
    <w:p w:rsidR="00797858" w:rsidRDefault="00797858" w:rsidP="00763512">
      <w:pPr>
        <w:pStyle w:val="Title"/>
        <w:rPr>
          <w:rFonts w:cs="Times New Roman"/>
          <w:b w:val="0"/>
          <w:szCs w:val="24"/>
        </w:rPr>
      </w:pPr>
      <w:r w:rsidRPr="00AC4128">
        <w:rPr>
          <w:rFonts w:cs="Times New Roman"/>
          <w:b w:val="0"/>
          <w:szCs w:val="24"/>
        </w:rPr>
        <w:t>University of Missouri</w:t>
      </w:r>
    </w:p>
    <w:p w:rsidR="00011806" w:rsidRDefault="00011806" w:rsidP="00763512">
      <w:pPr>
        <w:pStyle w:val="Title"/>
        <w:rPr>
          <w:rFonts w:cs="Times New Roman"/>
          <w:b w:val="0"/>
          <w:szCs w:val="24"/>
        </w:rPr>
      </w:pPr>
      <w:r>
        <w:rPr>
          <w:rFonts w:cs="Times New Roman"/>
          <w:b w:val="0"/>
          <w:szCs w:val="24"/>
        </w:rPr>
        <w:t>123 Gentry Hall</w:t>
      </w:r>
    </w:p>
    <w:p w:rsidR="00011806" w:rsidRDefault="00011806" w:rsidP="00763512">
      <w:pPr>
        <w:pStyle w:val="Title"/>
        <w:rPr>
          <w:rFonts w:cs="Times New Roman"/>
          <w:b w:val="0"/>
          <w:szCs w:val="24"/>
        </w:rPr>
      </w:pPr>
      <w:r>
        <w:rPr>
          <w:rFonts w:cs="Times New Roman"/>
          <w:b w:val="0"/>
          <w:szCs w:val="24"/>
        </w:rPr>
        <w:t>Columbia, MO 65211</w:t>
      </w:r>
    </w:p>
    <w:p w:rsidR="00011806" w:rsidRDefault="00011806" w:rsidP="00763512">
      <w:pPr>
        <w:pStyle w:val="Title"/>
        <w:rPr>
          <w:rFonts w:cs="Times New Roman"/>
          <w:b w:val="0"/>
          <w:szCs w:val="24"/>
        </w:rPr>
      </w:pPr>
      <w:r>
        <w:rPr>
          <w:rFonts w:cs="Times New Roman"/>
          <w:b w:val="0"/>
          <w:szCs w:val="24"/>
        </w:rPr>
        <w:t>(573-882-9599)</w:t>
      </w:r>
    </w:p>
    <w:p w:rsidR="00011806" w:rsidRPr="00AC4128" w:rsidRDefault="00011806" w:rsidP="00763512">
      <w:pPr>
        <w:pStyle w:val="Title"/>
        <w:rPr>
          <w:rFonts w:cs="Times New Roman"/>
          <w:b w:val="0"/>
          <w:szCs w:val="24"/>
        </w:rPr>
      </w:pPr>
      <w:r>
        <w:rPr>
          <w:rFonts w:cs="Times New Roman"/>
          <w:b w:val="0"/>
          <w:szCs w:val="24"/>
        </w:rPr>
        <w:t>tummonsj@missouri.edu</w:t>
      </w:r>
    </w:p>
    <w:p w:rsidR="00797858" w:rsidRPr="00AC4128" w:rsidRDefault="00797858" w:rsidP="00763512">
      <w:pPr>
        <w:pStyle w:val="Title"/>
        <w:rPr>
          <w:rFonts w:cs="Times New Roman"/>
          <w:b w:val="0"/>
          <w:szCs w:val="24"/>
        </w:rPr>
      </w:pPr>
    </w:p>
    <w:p w:rsidR="00797858" w:rsidRPr="00AC4128" w:rsidRDefault="00797858" w:rsidP="00763512">
      <w:pPr>
        <w:pStyle w:val="Title"/>
        <w:rPr>
          <w:rFonts w:cs="Times New Roman"/>
          <w:b w:val="0"/>
          <w:szCs w:val="24"/>
        </w:rPr>
      </w:pPr>
      <w:r w:rsidRPr="00AC4128">
        <w:rPr>
          <w:rFonts w:cs="Times New Roman"/>
          <w:b w:val="0"/>
          <w:szCs w:val="24"/>
        </w:rPr>
        <w:t>Jon C. Simonsen</w:t>
      </w:r>
    </w:p>
    <w:p w:rsidR="00763512" w:rsidRDefault="00797858" w:rsidP="00763512">
      <w:pPr>
        <w:pStyle w:val="Title"/>
        <w:rPr>
          <w:rFonts w:cs="Times New Roman"/>
          <w:b w:val="0"/>
          <w:szCs w:val="24"/>
        </w:rPr>
      </w:pPr>
      <w:r w:rsidRPr="00AC4128">
        <w:rPr>
          <w:rFonts w:cs="Times New Roman"/>
          <w:b w:val="0"/>
          <w:szCs w:val="24"/>
        </w:rPr>
        <w:t>University of Missouri</w:t>
      </w:r>
    </w:p>
    <w:p w:rsidR="00011806" w:rsidRDefault="00011806" w:rsidP="00011806">
      <w:pPr>
        <w:pStyle w:val="Title"/>
        <w:rPr>
          <w:rFonts w:cs="Times New Roman"/>
          <w:b w:val="0"/>
          <w:szCs w:val="24"/>
        </w:rPr>
      </w:pPr>
      <w:r>
        <w:rPr>
          <w:rFonts w:cs="Times New Roman"/>
          <w:b w:val="0"/>
          <w:szCs w:val="24"/>
        </w:rPr>
        <w:t>125A</w:t>
      </w:r>
      <w:r>
        <w:rPr>
          <w:rFonts w:cs="Times New Roman"/>
          <w:b w:val="0"/>
          <w:szCs w:val="24"/>
        </w:rPr>
        <w:t xml:space="preserve"> Gentry Hall</w:t>
      </w:r>
    </w:p>
    <w:p w:rsidR="00011806" w:rsidRDefault="00011806" w:rsidP="00011806">
      <w:pPr>
        <w:pStyle w:val="Title"/>
        <w:rPr>
          <w:rFonts w:cs="Times New Roman"/>
          <w:b w:val="0"/>
          <w:szCs w:val="24"/>
        </w:rPr>
      </w:pPr>
      <w:r>
        <w:rPr>
          <w:rFonts w:cs="Times New Roman"/>
          <w:b w:val="0"/>
          <w:szCs w:val="24"/>
        </w:rPr>
        <w:t>Columbia, MO 65211</w:t>
      </w:r>
    </w:p>
    <w:p w:rsidR="00011806" w:rsidRDefault="00011806" w:rsidP="00011806">
      <w:pPr>
        <w:pStyle w:val="Title"/>
        <w:rPr>
          <w:rFonts w:cs="Times New Roman"/>
          <w:b w:val="0"/>
          <w:szCs w:val="24"/>
        </w:rPr>
      </w:pPr>
      <w:r>
        <w:rPr>
          <w:rFonts w:cs="Times New Roman"/>
          <w:b w:val="0"/>
          <w:szCs w:val="24"/>
        </w:rPr>
        <w:t>(573-884-7375</w:t>
      </w:r>
      <w:r>
        <w:rPr>
          <w:rFonts w:cs="Times New Roman"/>
          <w:b w:val="0"/>
          <w:szCs w:val="24"/>
        </w:rPr>
        <w:t>)</w:t>
      </w:r>
    </w:p>
    <w:p w:rsidR="00011806" w:rsidRPr="00AC4128" w:rsidRDefault="00011806" w:rsidP="00011806">
      <w:pPr>
        <w:pStyle w:val="Title"/>
        <w:rPr>
          <w:rFonts w:cs="Times New Roman"/>
          <w:b w:val="0"/>
          <w:szCs w:val="24"/>
        </w:rPr>
      </w:pPr>
      <w:r>
        <w:rPr>
          <w:rFonts w:cs="Times New Roman"/>
          <w:b w:val="0"/>
          <w:szCs w:val="24"/>
        </w:rPr>
        <w:t>simonsen</w:t>
      </w:r>
      <w:r>
        <w:rPr>
          <w:rFonts w:cs="Times New Roman"/>
          <w:b w:val="0"/>
          <w:szCs w:val="24"/>
        </w:rPr>
        <w:t>j@missouri.edu</w:t>
      </w:r>
    </w:p>
    <w:p w:rsidR="00011806" w:rsidRPr="00AC4128" w:rsidRDefault="00011806" w:rsidP="00763512">
      <w:pPr>
        <w:pStyle w:val="Title"/>
        <w:rPr>
          <w:rFonts w:cs="Times New Roman"/>
          <w:b w:val="0"/>
          <w:szCs w:val="24"/>
        </w:rPr>
      </w:pPr>
    </w:p>
    <w:p w:rsidR="00763512" w:rsidRPr="00AC4128" w:rsidRDefault="00763512" w:rsidP="00763512">
      <w:pPr>
        <w:pStyle w:val="Title"/>
        <w:rPr>
          <w:rFonts w:cs="Times New Roman"/>
          <w:b w:val="0"/>
          <w:szCs w:val="24"/>
        </w:rPr>
      </w:pPr>
    </w:p>
    <w:p w:rsidR="00763512" w:rsidRPr="00AC4128" w:rsidRDefault="00763512" w:rsidP="00763512">
      <w:pPr>
        <w:pStyle w:val="Title"/>
        <w:rPr>
          <w:rFonts w:cs="Times New Roman"/>
          <w:b w:val="0"/>
          <w:szCs w:val="24"/>
        </w:rPr>
      </w:pPr>
    </w:p>
    <w:p w:rsidR="005E7A11" w:rsidRPr="00AC4128" w:rsidRDefault="005E7A11" w:rsidP="00011806">
      <w:pPr>
        <w:pStyle w:val="Title"/>
        <w:jc w:val="left"/>
        <w:rPr>
          <w:rFonts w:cs="Times New Roman"/>
          <w:b w:val="0"/>
          <w:szCs w:val="24"/>
        </w:rPr>
      </w:pPr>
    </w:p>
    <w:p w:rsidR="005E7A11" w:rsidRPr="00AC4128" w:rsidRDefault="005E7A11" w:rsidP="00763512">
      <w:pPr>
        <w:pStyle w:val="Title"/>
        <w:rPr>
          <w:rFonts w:cs="Times New Roman"/>
          <w:szCs w:val="24"/>
        </w:rPr>
        <w:sectPr w:rsidR="005E7A11" w:rsidRPr="00AC4128" w:rsidSect="005E7A11">
          <w:footerReference w:type="default" r:id="rId9"/>
          <w:footerReference w:type="first" r:id="rId10"/>
          <w:pgSz w:w="12240" w:h="15840" w:code="1"/>
          <w:pgMar w:top="1440" w:right="1440" w:bottom="1440" w:left="1440" w:header="720" w:footer="720" w:gutter="0"/>
          <w:pgNumType w:start="1"/>
          <w:cols w:space="720"/>
          <w:titlePg/>
          <w:docGrid w:linePitch="360"/>
        </w:sectPr>
      </w:pPr>
    </w:p>
    <w:p w:rsidR="00797858" w:rsidRPr="00AC4128" w:rsidRDefault="00797858" w:rsidP="00797858">
      <w:pPr>
        <w:ind w:firstLine="720"/>
        <w:contextualSpacing/>
        <w:jc w:val="center"/>
        <w:rPr>
          <w:b/>
        </w:rPr>
      </w:pPr>
      <w:r w:rsidRPr="00AC4128">
        <w:rPr>
          <w:b/>
        </w:rPr>
        <w:lastRenderedPageBreak/>
        <w:t>Investigating Beginning Agricultural Teacher Burnout</w:t>
      </w:r>
    </w:p>
    <w:p w:rsidR="004B57CB" w:rsidRPr="00AC4128" w:rsidRDefault="004B57CB" w:rsidP="004B57CB">
      <w:pPr>
        <w:jc w:val="center"/>
      </w:pPr>
    </w:p>
    <w:p w:rsidR="00797858" w:rsidRPr="00AC4128" w:rsidRDefault="00797858" w:rsidP="0006000C">
      <w:pPr>
        <w:contextualSpacing/>
        <w:jc w:val="center"/>
        <w:rPr>
          <w:b/>
        </w:rPr>
      </w:pPr>
      <w:r w:rsidRPr="00AC4128">
        <w:rPr>
          <w:b/>
        </w:rPr>
        <w:t>Introduction</w:t>
      </w:r>
    </w:p>
    <w:p w:rsidR="00797858" w:rsidRPr="00AC4128" w:rsidRDefault="00797858" w:rsidP="00797858">
      <w:pPr>
        <w:ind w:firstLine="720"/>
        <w:contextualSpacing/>
      </w:pPr>
      <w:r w:rsidRPr="00AC4128">
        <w:t xml:space="preserve">Teacher attrition in education has been a concern for many years. Unlike many other non-specialized, general education teaching areas, the attrition of agriculture teachers has resulted in a nationwide shortage of qualified and licensed agriculture teachers </w:t>
      </w:r>
      <w:r w:rsidRPr="00AC4128">
        <w:rPr>
          <w:noProof/>
        </w:rPr>
        <w:t>(Kantrovich, 2010)</w:t>
      </w:r>
      <w:r w:rsidRPr="00AC4128">
        <w:t xml:space="preserve">. Teachers of agriculture generally indicate they are satisfied with their career </w:t>
      </w:r>
      <w:r w:rsidRPr="00AC4128">
        <w:rPr>
          <w:noProof/>
        </w:rPr>
        <w:t>(Chenevey, Ewing, &amp; Whittington, 2008; Kitchel, et al., 2012; Walker, Garton, &amp; Kitchel, 2004)</w:t>
      </w:r>
      <w:r w:rsidRPr="00AC4128">
        <w:t xml:space="preserve">. However, research indicates individuals leave teaching or consider leaving the profession for a variety of personal or professional reasons. </w:t>
      </w:r>
      <w:proofErr w:type="spellStart"/>
      <w:r w:rsidRPr="00AC4128">
        <w:t>Knobloch</w:t>
      </w:r>
      <w:proofErr w:type="spellEnd"/>
      <w:r w:rsidRPr="00AC4128">
        <w:t xml:space="preserve"> and Whittington (2002) found teachers indicated stress, working conditions (including lack of autonomy), poor student motivation, student discipline problems, and lack of support or recognition from administration as factors for leaving the profession. Thus, the more we know about these factors that may play a role in teacher burnout the more assistance we might be able to provide in an attempt to lessen the attrition rate.</w:t>
      </w:r>
    </w:p>
    <w:p w:rsidR="00797858" w:rsidRPr="00AC4128" w:rsidRDefault="00797858" w:rsidP="00797858">
      <w:pPr>
        <w:ind w:firstLine="720"/>
        <w:contextualSpacing/>
      </w:pPr>
    </w:p>
    <w:p w:rsidR="00797858" w:rsidRPr="00AC4128" w:rsidRDefault="00797858" w:rsidP="0006000C">
      <w:pPr>
        <w:contextualSpacing/>
        <w:jc w:val="center"/>
        <w:rPr>
          <w:b/>
        </w:rPr>
      </w:pPr>
      <w:r w:rsidRPr="00AC4128">
        <w:rPr>
          <w:b/>
        </w:rPr>
        <w:t>Literature Review</w:t>
      </w:r>
    </w:p>
    <w:p w:rsidR="00797858" w:rsidRPr="00AC4128" w:rsidRDefault="00797858" w:rsidP="00797858">
      <w:pPr>
        <w:ind w:firstLine="720"/>
        <w:contextualSpacing/>
      </w:pPr>
      <w:r w:rsidRPr="00AC4128">
        <w:t xml:space="preserve">The condition of burnout has frequently been used by educators as a reason for leaving the profession. The </w:t>
      </w:r>
      <w:proofErr w:type="spellStart"/>
      <w:r w:rsidRPr="00AC4128">
        <w:t>Maslach</w:t>
      </w:r>
      <w:proofErr w:type="spellEnd"/>
      <w:r w:rsidRPr="00AC4128">
        <w:t xml:space="preserve"> Burnout Inventory (MBI) is widely recognized as the standard measurement for the psychological condition of burnout </w:t>
      </w:r>
      <w:r w:rsidRPr="00AC4128">
        <w:rPr>
          <w:noProof/>
        </w:rPr>
        <w:t>(Maslach, Jackson, &amp; Leiter, Maslach Burnout Inventory Manual, 1996)</w:t>
      </w:r>
      <w:r w:rsidRPr="00AC4128">
        <w:t xml:space="preserve">.  </w:t>
      </w:r>
      <w:proofErr w:type="spellStart"/>
      <w:r w:rsidRPr="00AC4128">
        <w:t>Maslach</w:t>
      </w:r>
      <w:proofErr w:type="spellEnd"/>
      <w:r w:rsidRPr="00AC4128">
        <w:t xml:space="preserve">, Jackson, and </w:t>
      </w:r>
      <w:proofErr w:type="spellStart"/>
      <w:r w:rsidRPr="00AC4128">
        <w:t>Leiter</w:t>
      </w:r>
      <w:proofErr w:type="spellEnd"/>
      <w:r w:rsidRPr="00AC4128">
        <w:t xml:space="preserve"> (1996) use a three-dimensional approach to evaluate an individual’s level of burnout. The three areas of burnout are emotional exhaustion, depersonalization, and personal accomplishment </w:t>
      </w:r>
      <w:r w:rsidRPr="00AC4128">
        <w:rPr>
          <w:noProof/>
        </w:rPr>
        <w:t>(Maslach, 2006)</w:t>
      </w:r>
      <w:r w:rsidRPr="00AC4128">
        <w:t xml:space="preserve">. </w:t>
      </w:r>
    </w:p>
    <w:p w:rsidR="00797858" w:rsidRPr="00AC4128" w:rsidRDefault="00797858" w:rsidP="00797858">
      <w:pPr>
        <w:ind w:firstLine="720"/>
        <w:contextualSpacing/>
      </w:pPr>
      <w:r w:rsidRPr="00AC4128">
        <w:t xml:space="preserve">Emotional exhaustion occurs when, individuals who primarily work with other people, have depleted their emotional resources and exhausted their own psychological level of emotional availability </w:t>
      </w:r>
      <w:r w:rsidRPr="00AC4128">
        <w:rPr>
          <w:noProof/>
        </w:rPr>
        <w:t>(Fives et al., 2007; Maslach &amp; Jackson, 1981; Maslach, et al., 2001)</w:t>
      </w:r>
      <w:r w:rsidRPr="00AC4128">
        <w:t>. Depersonalization involves impersonal, cynical attitudes and feelings, and sometimes negative feelings or reactions towards others. The third dimension of burnout, a lack of personal accomplishment, otherwise known as inefficacy, is characterized by a dissatisfied, negative self-reflection towards one’s ability to fulfill the requirements of the job.</w:t>
      </w:r>
    </w:p>
    <w:p w:rsidR="00797858" w:rsidRPr="00AC4128" w:rsidRDefault="00797858" w:rsidP="00797858">
      <w:pPr>
        <w:ind w:firstLine="720"/>
        <w:contextualSpacing/>
      </w:pPr>
      <w:r w:rsidRPr="00AC4128">
        <w:t xml:space="preserve">Secondary teachers of agriculture who experience burnout fall into one or more of the three categories of burnout (emotional exhaustion, depersonalization, and personal accomplishment) as identified by the </w:t>
      </w:r>
      <w:proofErr w:type="spellStart"/>
      <w:r w:rsidRPr="00AC4128">
        <w:t>Maslach</w:t>
      </w:r>
      <w:proofErr w:type="spellEnd"/>
      <w:r w:rsidRPr="00AC4128">
        <w:t xml:space="preserve"> Burnout Inventory </w:t>
      </w:r>
      <w:r w:rsidRPr="00AC4128">
        <w:rPr>
          <w:noProof/>
        </w:rPr>
        <w:t>(Maslach &amp; Jackson, 1981; Maslach, Jackson, &amp; Leiter, 1996)</w:t>
      </w:r>
      <w:r w:rsidRPr="00AC4128">
        <w:t>. Research studies conducted with agriculture teachers indicate they experience a range of low to high levels of each dimension of burnout at varying stages of their career. (</w:t>
      </w:r>
      <w:proofErr w:type="spellStart"/>
      <w:r w:rsidRPr="00AC4128">
        <w:rPr>
          <w:noProof/>
        </w:rPr>
        <w:t>Chenevey</w:t>
      </w:r>
      <w:proofErr w:type="spellEnd"/>
      <w:r w:rsidRPr="00AC4128">
        <w:rPr>
          <w:noProof/>
        </w:rPr>
        <w:t>, Ewing, &amp; Whittington, 2008; Croom, 2003; Kitchel, et al., 2012; Newcomb, Betts, &amp; Cano, 1987; Walker, Garton, &amp; Kitchel, 2004)</w:t>
      </w:r>
      <w:r w:rsidRPr="00AC4128">
        <w:t>.</w:t>
      </w:r>
    </w:p>
    <w:p w:rsidR="00797858" w:rsidRPr="00AC4128" w:rsidRDefault="00797858" w:rsidP="00797858">
      <w:pPr>
        <w:ind w:firstLine="720"/>
        <w:contextualSpacing/>
      </w:pPr>
    </w:p>
    <w:p w:rsidR="00797858" w:rsidRPr="00AC4128" w:rsidRDefault="00797858" w:rsidP="0006000C">
      <w:pPr>
        <w:contextualSpacing/>
        <w:jc w:val="center"/>
        <w:rPr>
          <w:b/>
        </w:rPr>
      </w:pPr>
      <w:r w:rsidRPr="00AC4128">
        <w:rPr>
          <w:b/>
        </w:rPr>
        <w:t>Methods</w:t>
      </w:r>
    </w:p>
    <w:p w:rsidR="00797858" w:rsidRPr="00AC4128" w:rsidRDefault="00797858" w:rsidP="00797858">
      <w:pPr>
        <w:pStyle w:val="Level1"/>
        <w:tabs>
          <w:tab w:val="left" w:pos="-1080"/>
          <w:tab w:val="left" w:pos="-720"/>
          <w:tab w:val="left" w:pos="0"/>
          <w:tab w:val="left" w:pos="360"/>
          <w:tab w:val="left" w:pos="90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left="0" w:firstLine="0"/>
        <w:rPr>
          <w:rFonts w:ascii="Times New Roman" w:hAnsi="Times New Roman"/>
        </w:rPr>
      </w:pPr>
      <w:r w:rsidRPr="00AC4128">
        <w:rPr>
          <w:rFonts w:ascii="Times New Roman" w:hAnsi="Times New Roman"/>
        </w:rPr>
        <w:tab/>
        <w:t xml:space="preserve">      This descriptive quantitative inquiry employed descriptive research methods to address questions about the stress levels of beginning secondary agriculture teachers.  The target population for this study was beginning secondary agriculture teachers participating in the [State] Agriculture Teacher Induction and Mentoring Program. The accessible population consisted of all [State] beginning agriculture teachers completing their first year of teaching in 2013-2014 (</w:t>
      </w:r>
      <w:r w:rsidRPr="00AC4128">
        <w:rPr>
          <w:rFonts w:ascii="Times New Roman" w:hAnsi="Times New Roman"/>
          <w:i/>
        </w:rPr>
        <w:t>n</w:t>
      </w:r>
      <w:r w:rsidRPr="00AC4128">
        <w:rPr>
          <w:rFonts w:ascii="Times New Roman" w:hAnsi="Times New Roman"/>
        </w:rPr>
        <w:t xml:space="preserve"> =47) or 2014-2015 (</w:t>
      </w:r>
      <w:r w:rsidRPr="00AC4128">
        <w:rPr>
          <w:rFonts w:ascii="Times New Roman" w:hAnsi="Times New Roman"/>
          <w:i/>
        </w:rPr>
        <w:t xml:space="preserve">n </w:t>
      </w:r>
      <w:r w:rsidRPr="00AC4128">
        <w:rPr>
          <w:rFonts w:ascii="Times New Roman" w:hAnsi="Times New Roman"/>
        </w:rPr>
        <w:t xml:space="preserve">= 41). Participant data were collected face-to-face using a paper and pencil instrument. The authors collected 75 usable responses from first-year and second-year agriculture teachers who attended a required statewide meeting for an overall response rate of </w:t>
      </w:r>
      <w:r w:rsidRPr="00AC4128">
        <w:rPr>
          <w:rFonts w:ascii="Times New Roman" w:hAnsi="Times New Roman"/>
        </w:rPr>
        <w:lastRenderedPageBreak/>
        <w:t xml:space="preserve">85.2%. This response rate exceeded the 85% response rate suggested by </w:t>
      </w:r>
      <w:r w:rsidRPr="00466321">
        <w:rPr>
          <w:rFonts w:ascii="Times New Roman" w:hAnsi="Times New Roman"/>
        </w:rPr>
        <w:t>Linder, Murphy, and Briers (2001</w:t>
      </w:r>
      <w:r w:rsidRPr="00AC4128">
        <w:rPr>
          <w:rFonts w:ascii="Times New Roman" w:hAnsi="Times New Roman"/>
        </w:rPr>
        <w:t xml:space="preserve">) for non-response concern; therefore, the author conducted no additional procedures for control of non-response error. The demographic makeup of the respondents included 38 females and 37 males with 37% teaching in a high school with less than 200 students, 34% with 200-399 students, 12% with 400-599 students, and 17% with more than 600 students. </w:t>
      </w:r>
    </w:p>
    <w:p w:rsidR="00797858" w:rsidRPr="00AC4128" w:rsidRDefault="00797858" w:rsidP="00797858">
      <w:pPr>
        <w:contextualSpacing/>
      </w:pPr>
    </w:p>
    <w:p w:rsidR="00797858" w:rsidRPr="00AC4128" w:rsidRDefault="00797858" w:rsidP="0006000C">
      <w:pPr>
        <w:contextualSpacing/>
        <w:jc w:val="center"/>
        <w:rPr>
          <w:b/>
        </w:rPr>
      </w:pPr>
      <w:r w:rsidRPr="00AC4128">
        <w:rPr>
          <w:b/>
        </w:rPr>
        <w:t>Findings</w:t>
      </w:r>
    </w:p>
    <w:p w:rsidR="00797858" w:rsidRPr="00AC4128" w:rsidRDefault="00797858" w:rsidP="00797858">
      <w:pPr>
        <w:ind w:firstLine="720"/>
        <w:contextualSpacing/>
      </w:pPr>
      <w:r w:rsidRPr="00AC4128">
        <w:t xml:space="preserve">Beginning agriculture teacher burnout was measured by the </w:t>
      </w:r>
      <w:proofErr w:type="spellStart"/>
      <w:r w:rsidRPr="00AC4128">
        <w:t>Maslach</w:t>
      </w:r>
      <w:proofErr w:type="spellEnd"/>
      <w:r w:rsidRPr="00AC4128">
        <w:t xml:space="preserve"> Burnout Inventory (MBI-E) and findings are presented in Figure 1. Based on the interpretations purported by Kitchel et al. (2012) beginning teachers in this study were determined to experience “moderate” levels of burnout in all three categories. Emotional Exhaustion items that were reported to constitute stress more frequently were feeling emotionally drained and used up at the end of the work day. Depersonalization items included feeling blame and becoming more callous toward others. Conversely, teachers did acknowledge the ability to understand others and make a positive difference within the Personal Accomplishment construct.</w:t>
      </w:r>
    </w:p>
    <w:p w:rsidR="00797858" w:rsidRPr="00AC4128" w:rsidRDefault="00797858" w:rsidP="00797858">
      <w:pPr>
        <w:ind w:firstLine="720"/>
        <w:contextualSpacing/>
      </w:pPr>
    </w:p>
    <w:p w:rsidR="00797858" w:rsidRPr="00AC4128" w:rsidRDefault="006D76D5" w:rsidP="00797858">
      <w:pPr>
        <w:contextualSpacing/>
      </w:pPr>
      <w:r w:rsidRPr="00AC4128">
        <w:rPr>
          <w:noProof/>
        </w:rPr>
        <w:drawing>
          <wp:inline distT="0" distB="0" distL="0" distR="0">
            <wp:extent cx="5943600" cy="2543175"/>
            <wp:effectExtent l="0" t="0" r="0" b="9525"/>
            <wp:docPr id="1"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543175"/>
                    </a:xfrm>
                    <a:prstGeom prst="rect">
                      <a:avLst/>
                    </a:prstGeom>
                    <a:noFill/>
                    <a:ln>
                      <a:noFill/>
                    </a:ln>
                  </pic:spPr>
                </pic:pic>
              </a:graphicData>
            </a:graphic>
          </wp:inline>
        </w:drawing>
      </w:r>
    </w:p>
    <w:p w:rsidR="00797858" w:rsidRPr="00AC4128" w:rsidRDefault="00797858" w:rsidP="0006000C">
      <w:pPr>
        <w:contextualSpacing/>
        <w:jc w:val="center"/>
        <w:rPr>
          <w:b/>
        </w:rPr>
      </w:pPr>
      <w:r w:rsidRPr="00AC4128">
        <w:rPr>
          <w:b/>
        </w:rPr>
        <w:t>Conclusions, Discussion and Recommendations for Future Research</w:t>
      </w:r>
    </w:p>
    <w:p w:rsidR="00797858" w:rsidRPr="00AC4128" w:rsidRDefault="00797858" w:rsidP="00797858">
      <w:pPr>
        <w:ind w:firstLine="720"/>
        <w:contextualSpacing/>
      </w:pPr>
      <w:r w:rsidRPr="00AC4128">
        <w:t xml:space="preserve">Based on this study, it was concluded that beginning agriculture teachers experience “moderate” levels of all three constructs of the </w:t>
      </w:r>
      <w:proofErr w:type="spellStart"/>
      <w:r w:rsidRPr="00AC4128">
        <w:t>Maslach</w:t>
      </w:r>
      <w:proofErr w:type="spellEnd"/>
      <w:r w:rsidRPr="00AC4128">
        <w:t xml:space="preserve"> Burnout Inventory. Additionally, the means for beginning agriculture teachers were greater than the published established norms for the MBI-E subscales. Thus, beginning agriculture teachers are experiencing a moderate level of burnout that may be a factor leading to considering leaving the profession. Support and resources to assist in combating the sense of burnout need to be made available for beginning teachers.   </w:t>
      </w:r>
    </w:p>
    <w:p w:rsidR="00797858" w:rsidRPr="00AC4128" w:rsidRDefault="00797858" w:rsidP="00797858">
      <w:pPr>
        <w:ind w:firstLine="720"/>
        <w:contextualSpacing/>
      </w:pPr>
    </w:p>
    <w:p w:rsidR="00B929A7" w:rsidRPr="00AC4128" w:rsidRDefault="00797858" w:rsidP="003C373A">
      <w:pPr>
        <w:ind w:firstLine="720"/>
      </w:pPr>
      <w:r w:rsidRPr="00AC4128">
        <w:t>Recommendations for future research are to evaluate the connection between various demographic variables and the three dimensions of burnout, learn more about the specific workload requirements of beginning teachers to identify key stressors related to the job, and determine the frequency in which teachers experience stress relative to their roles as an agriculture teacher. Additional research may also be conducted with teachers in differing years of experience to compare the three dimensions of burnout to those expre</w:t>
      </w:r>
      <w:r w:rsidR="003C373A">
        <w:t>ssed by beginning teachers. A question to consider may be if</w:t>
      </w:r>
      <w:r w:rsidRPr="00AC4128">
        <w:t xml:space="preserve"> burnout lessen</w:t>
      </w:r>
      <w:r w:rsidR="003C373A">
        <w:t>s</w:t>
      </w:r>
      <w:r w:rsidRPr="00AC4128">
        <w:t xml:space="preserve"> with years of experience, or do those teachers who experience the mo</w:t>
      </w:r>
      <w:r w:rsidR="003C373A">
        <w:t>st burnout leave the profession.</w:t>
      </w:r>
    </w:p>
    <w:p w:rsidR="00B929A7" w:rsidRPr="0006000C" w:rsidRDefault="00B929A7" w:rsidP="006D76D5">
      <w:pPr>
        <w:contextualSpacing/>
        <w:jc w:val="center"/>
        <w:rPr>
          <w:b/>
        </w:rPr>
      </w:pPr>
      <w:r w:rsidRPr="00AC4128">
        <w:br w:type="page"/>
      </w:r>
      <w:r w:rsidRPr="0006000C">
        <w:rPr>
          <w:b/>
        </w:rPr>
        <w:lastRenderedPageBreak/>
        <w:t>References</w:t>
      </w:r>
    </w:p>
    <w:p w:rsidR="006D76D5" w:rsidRPr="00AC4128" w:rsidRDefault="006D76D5" w:rsidP="006D76D5">
      <w:pPr>
        <w:jc w:val="center"/>
      </w:pPr>
    </w:p>
    <w:p w:rsidR="006D76D5" w:rsidRPr="00AC4128" w:rsidRDefault="006D76D5" w:rsidP="006D76D5">
      <w:pPr>
        <w:pStyle w:val="Bibliography"/>
        <w:ind w:left="720" w:hanging="720"/>
        <w:rPr>
          <w:rFonts w:ascii="Times New Roman" w:hAnsi="Times New Roman"/>
          <w:noProof/>
          <w:sz w:val="24"/>
          <w:szCs w:val="24"/>
        </w:rPr>
      </w:pPr>
      <w:r w:rsidRPr="00AC4128">
        <w:rPr>
          <w:rFonts w:ascii="Times New Roman" w:hAnsi="Times New Roman"/>
          <w:noProof/>
          <w:sz w:val="24"/>
          <w:szCs w:val="24"/>
        </w:rPr>
        <w:t xml:space="preserve">Chenevey, J. L., Ewing, J. C., &amp; Whittington, M. S. (2008). Teacher Burnout and Job Satisfaction Among Agricultural Education Teachers. </w:t>
      </w:r>
      <w:r w:rsidRPr="00AC4128">
        <w:rPr>
          <w:rFonts w:ascii="Times New Roman" w:hAnsi="Times New Roman"/>
          <w:i/>
          <w:iCs/>
          <w:noProof/>
          <w:sz w:val="24"/>
          <w:szCs w:val="24"/>
        </w:rPr>
        <w:t>Journal of Agricultural Education</w:t>
      </w:r>
      <w:r w:rsidRPr="00AC4128">
        <w:rPr>
          <w:rFonts w:ascii="Times New Roman" w:hAnsi="Times New Roman"/>
          <w:noProof/>
          <w:sz w:val="24"/>
          <w:szCs w:val="24"/>
        </w:rPr>
        <w:t>, 12-22.</w:t>
      </w:r>
    </w:p>
    <w:p w:rsidR="006D76D5" w:rsidRPr="00AC4128" w:rsidRDefault="006D76D5" w:rsidP="006D76D5">
      <w:pPr>
        <w:pStyle w:val="Bibliography"/>
        <w:ind w:left="720" w:hanging="720"/>
        <w:rPr>
          <w:rFonts w:ascii="Times New Roman" w:hAnsi="Times New Roman"/>
          <w:noProof/>
          <w:sz w:val="24"/>
          <w:szCs w:val="24"/>
        </w:rPr>
      </w:pPr>
      <w:r w:rsidRPr="00AC4128">
        <w:rPr>
          <w:rFonts w:ascii="Times New Roman" w:hAnsi="Times New Roman"/>
          <w:noProof/>
          <w:sz w:val="24"/>
          <w:szCs w:val="24"/>
        </w:rPr>
        <w:t xml:space="preserve">Croom, D. B. (2003). Teacher Burnout in Agricultural Education. </w:t>
      </w:r>
      <w:r w:rsidRPr="00AC4128">
        <w:rPr>
          <w:rFonts w:ascii="Times New Roman" w:hAnsi="Times New Roman"/>
          <w:i/>
          <w:iCs/>
          <w:noProof/>
          <w:sz w:val="24"/>
          <w:szCs w:val="24"/>
        </w:rPr>
        <w:t>Journal of Agricultural Education</w:t>
      </w:r>
      <w:r w:rsidRPr="00AC4128">
        <w:rPr>
          <w:rFonts w:ascii="Times New Roman" w:hAnsi="Times New Roman"/>
          <w:noProof/>
          <w:sz w:val="24"/>
          <w:szCs w:val="24"/>
        </w:rPr>
        <w:t>, 1-13.</w:t>
      </w:r>
    </w:p>
    <w:p w:rsidR="006D76D5" w:rsidRPr="00AC4128" w:rsidRDefault="006D76D5" w:rsidP="006D76D5">
      <w:pPr>
        <w:pStyle w:val="Bibliography"/>
        <w:ind w:left="720" w:hanging="720"/>
        <w:rPr>
          <w:rFonts w:ascii="Times New Roman" w:hAnsi="Times New Roman"/>
          <w:noProof/>
          <w:sz w:val="24"/>
          <w:szCs w:val="24"/>
        </w:rPr>
      </w:pPr>
      <w:r w:rsidRPr="00AC4128">
        <w:rPr>
          <w:rFonts w:ascii="Times New Roman" w:hAnsi="Times New Roman"/>
          <w:noProof/>
          <w:sz w:val="24"/>
          <w:szCs w:val="24"/>
        </w:rPr>
        <w:t xml:space="preserve">Fives, H., Hamman, D., &amp; Olivarez, A. (2007). Does burnout begin with student teaching? Analyzing efficacy, burnout, and support during the student-teaching semester. </w:t>
      </w:r>
      <w:r w:rsidRPr="00AC4128">
        <w:rPr>
          <w:rFonts w:ascii="Times New Roman" w:hAnsi="Times New Roman"/>
          <w:i/>
          <w:iCs/>
          <w:noProof/>
          <w:sz w:val="24"/>
          <w:szCs w:val="24"/>
        </w:rPr>
        <w:t>Teaching and Teacher Education</w:t>
      </w:r>
      <w:r w:rsidRPr="00AC4128">
        <w:rPr>
          <w:rFonts w:ascii="Times New Roman" w:hAnsi="Times New Roman"/>
          <w:noProof/>
          <w:sz w:val="24"/>
          <w:szCs w:val="24"/>
        </w:rPr>
        <w:t>, 916-934.</w:t>
      </w:r>
    </w:p>
    <w:p w:rsidR="006D76D5" w:rsidRPr="00AC4128" w:rsidRDefault="006D76D5" w:rsidP="006D76D5">
      <w:pPr>
        <w:pStyle w:val="Bibliography"/>
        <w:ind w:left="720" w:hanging="720"/>
        <w:rPr>
          <w:rFonts w:ascii="Times New Roman" w:hAnsi="Times New Roman"/>
          <w:noProof/>
          <w:sz w:val="24"/>
          <w:szCs w:val="24"/>
        </w:rPr>
      </w:pPr>
      <w:r w:rsidRPr="00AC4128">
        <w:rPr>
          <w:rFonts w:ascii="Times New Roman" w:hAnsi="Times New Roman"/>
          <w:noProof/>
          <w:sz w:val="24"/>
          <w:szCs w:val="24"/>
        </w:rPr>
        <w:t xml:space="preserve">Inman, D., &amp; Marlow, L. (2004). Teacher Retention: Why Do Beginning Teachers Remain in the Profession? </w:t>
      </w:r>
      <w:r w:rsidRPr="00AC4128">
        <w:rPr>
          <w:rFonts w:ascii="Times New Roman" w:hAnsi="Times New Roman"/>
          <w:i/>
          <w:iCs/>
          <w:noProof/>
          <w:sz w:val="24"/>
          <w:szCs w:val="24"/>
        </w:rPr>
        <w:t>Education</w:t>
      </w:r>
      <w:r w:rsidRPr="00AC4128">
        <w:rPr>
          <w:rFonts w:ascii="Times New Roman" w:hAnsi="Times New Roman"/>
          <w:noProof/>
          <w:sz w:val="24"/>
          <w:szCs w:val="24"/>
        </w:rPr>
        <w:t>, 605-614.</w:t>
      </w:r>
    </w:p>
    <w:p w:rsidR="006D76D5" w:rsidRPr="00AC4128" w:rsidRDefault="006D76D5" w:rsidP="006D76D5">
      <w:pPr>
        <w:pStyle w:val="Bibliography"/>
        <w:ind w:left="720" w:hanging="720"/>
        <w:rPr>
          <w:rFonts w:ascii="Times New Roman" w:hAnsi="Times New Roman"/>
          <w:noProof/>
          <w:sz w:val="24"/>
          <w:szCs w:val="24"/>
        </w:rPr>
      </w:pPr>
      <w:r w:rsidRPr="00AC4128">
        <w:rPr>
          <w:rFonts w:ascii="Times New Roman" w:hAnsi="Times New Roman"/>
          <w:noProof/>
          <w:sz w:val="24"/>
          <w:szCs w:val="24"/>
        </w:rPr>
        <w:t xml:space="preserve">Kantrovich, A. J. (2010). </w:t>
      </w:r>
      <w:r w:rsidRPr="00AC4128">
        <w:rPr>
          <w:rFonts w:ascii="Times New Roman" w:hAnsi="Times New Roman"/>
          <w:i/>
          <w:iCs/>
          <w:noProof/>
          <w:sz w:val="24"/>
          <w:szCs w:val="24"/>
        </w:rPr>
        <w:t>The 36th Volume of A National Study of the Supply and Demand for Teachers of Agricultural Education 2006-2009.</w:t>
      </w:r>
      <w:r w:rsidRPr="00AC4128">
        <w:rPr>
          <w:rFonts w:ascii="Times New Roman" w:hAnsi="Times New Roman"/>
          <w:noProof/>
          <w:sz w:val="24"/>
          <w:szCs w:val="24"/>
        </w:rPr>
        <w:t xml:space="preserve"> Alexandria: American Association for Agricultural Education.</w:t>
      </w:r>
    </w:p>
    <w:p w:rsidR="006D76D5" w:rsidRPr="00AC4128" w:rsidRDefault="006D76D5" w:rsidP="006D76D5">
      <w:pPr>
        <w:pStyle w:val="Bibliography"/>
        <w:ind w:left="720" w:hanging="720"/>
        <w:rPr>
          <w:rFonts w:ascii="Times New Roman" w:hAnsi="Times New Roman"/>
          <w:noProof/>
          <w:sz w:val="24"/>
          <w:szCs w:val="24"/>
        </w:rPr>
      </w:pPr>
      <w:r w:rsidRPr="00AC4128">
        <w:rPr>
          <w:rFonts w:ascii="Times New Roman" w:hAnsi="Times New Roman"/>
          <w:noProof/>
          <w:sz w:val="24"/>
          <w:szCs w:val="24"/>
        </w:rPr>
        <w:t xml:space="preserve">Kitchel, T., Smith, A. R., Henry, A. L., Robinson, J. S., Lawver, R. G., Park, T. D., &amp; Schell, A. (2012). Teacher Job Satisfaction and Burnout Viewed through Social Comparisons. </w:t>
      </w:r>
      <w:r w:rsidRPr="00AC4128">
        <w:rPr>
          <w:rFonts w:ascii="Times New Roman" w:hAnsi="Times New Roman"/>
          <w:i/>
          <w:iCs/>
          <w:noProof/>
          <w:sz w:val="24"/>
          <w:szCs w:val="24"/>
        </w:rPr>
        <w:t>Journal of Agricultural Education</w:t>
      </w:r>
      <w:r w:rsidRPr="00AC4128">
        <w:rPr>
          <w:rFonts w:ascii="Times New Roman" w:hAnsi="Times New Roman"/>
          <w:noProof/>
          <w:sz w:val="24"/>
          <w:szCs w:val="24"/>
        </w:rPr>
        <w:t>, 31-44. doi:10.5032/jae.2012.01031</w:t>
      </w:r>
    </w:p>
    <w:p w:rsidR="006D76D5" w:rsidRPr="00AC4128" w:rsidRDefault="006D76D5" w:rsidP="006D76D5">
      <w:pPr>
        <w:pStyle w:val="Bibliography"/>
        <w:ind w:left="720" w:hanging="720"/>
        <w:rPr>
          <w:rFonts w:ascii="Times New Roman" w:hAnsi="Times New Roman"/>
          <w:noProof/>
          <w:sz w:val="24"/>
          <w:szCs w:val="24"/>
        </w:rPr>
      </w:pPr>
      <w:r w:rsidRPr="00AC4128">
        <w:rPr>
          <w:rFonts w:ascii="Times New Roman" w:hAnsi="Times New Roman"/>
          <w:noProof/>
          <w:sz w:val="24"/>
          <w:szCs w:val="24"/>
        </w:rPr>
        <w:t xml:space="preserve">Knobloch, N. A., &amp; Whittington, M. S. (2002). Novice Teachers' Perceptions of Support, Teacher Preparation Quality, and Student Teaching Experience Related to Teacher Efficacy. </w:t>
      </w:r>
      <w:r w:rsidRPr="00AC4128">
        <w:rPr>
          <w:rFonts w:ascii="Times New Roman" w:hAnsi="Times New Roman"/>
          <w:i/>
          <w:iCs/>
          <w:noProof/>
          <w:sz w:val="24"/>
          <w:szCs w:val="24"/>
        </w:rPr>
        <w:t>Journal of Vocational Education Research</w:t>
      </w:r>
      <w:r w:rsidRPr="00AC4128">
        <w:rPr>
          <w:rFonts w:ascii="Times New Roman" w:hAnsi="Times New Roman"/>
          <w:noProof/>
          <w:sz w:val="24"/>
          <w:szCs w:val="24"/>
        </w:rPr>
        <w:t>, 331-341.</w:t>
      </w:r>
    </w:p>
    <w:p w:rsidR="006D76D5" w:rsidRPr="00AC4128" w:rsidRDefault="006D76D5" w:rsidP="006D76D5">
      <w:pPr>
        <w:pStyle w:val="Bibliography"/>
        <w:ind w:left="720" w:hanging="720"/>
        <w:rPr>
          <w:rFonts w:ascii="Times New Roman" w:hAnsi="Times New Roman"/>
          <w:noProof/>
          <w:sz w:val="24"/>
          <w:szCs w:val="24"/>
        </w:rPr>
      </w:pPr>
      <w:r w:rsidRPr="00AC4128">
        <w:rPr>
          <w:rFonts w:ascii="Times New Roman" w:hAnsi="Times New Roman"/>
          <w:noProof/>
          <w:sz w:val="24"/>
          <w:szCs w:val="24"/>
        </w:rPr>
        <w:t xml:space="preserve">Lindner, J. R., Murphy, T. H., &amp; Briers, G. E. (2001). Handling Response in Social Science Research. </w:t>
      </w:r>
      <w:r w:rsidRPr="00AC4128">
        <w:rPr>
          <w:rFonts w:ascii="Times New Roman" w:hAnsi="Times New Roman"/>
          <w:i/>
          <w:iCs/>
          <w:noProof/>
          <w:sz w:val="24"/>
          <w:szCs w:val="24"/>
        </w:rPr>
        <w:t>Journal of Agricultural Education</w:t>
      </w:r>
      <w:r w:rsidRPr="00AC4128">
        <w:rPr>
          <w:rFonts w:ascii="Times New Roman" w:hAnsi="Times New Roman"/>
          <w:noProof/>
          <w:sz w:val="24"/>
          <w:szCs w:val="24"/>
        </w:rPr>
        <w:t>, 43-53.</w:t>
      </w:r>
    </w:p>
    <w:p w:rsidR="006D76D5" w:rsidRPr="00AC4128" w:rsidRDefault="006D76D5" w:rsidP="006D76D5">
      <w:pPr>
        <w:pStyle w:val="Bibliography"/>
        <w:ind w:left="720" w:hanging="720"/>
        <w:rPr>
          <w:rFonts w:ascii="Times New Roman" w:hAnsi="Times New Roman"/>
          <w:noProof/>
          <w:sz w:val="24"/>
          <w:szCs w:val="24"/>
        </w:rPr>
      </w:pPr>
      <w:r w:rsidRPr="00AC4128">
        <w:rPr>
          <w:rFonts w:ascii="Times New Roman" w:hAnsi="Times New Roman"/>
          <w:noProof/>
          <w:sz w:val="24"/>
          <w:szCs w:val="24"/>
        </w:rPr>
        <w:t xml:space="preserve">Maslach, C. (2006). Burnout. In M. P. Leiter, </w:t>
      </w:r>
      <w:r w:rsidRPr="00AC4128">
        <w:rPr>
          <w:rFonts w:ascii="Times New Roman" w:hAnsi="Times New Roman"/>
          <w:i/>
          <w:iCs/>
          <w:noProof/>
          <w:sz w:val="24"/>
          <w:szCs w:val="24"/>
        </w:rPr>
        <w:t>Stress and Quality of Working Life: Current Perspectives in Occupational Health</w:t>
      </w:r>
      <w:r w:rsidRPr="00AC4128">
        <w:rPr>
          <w:rFonts w:ascii="Times New Roman" w:hAnsi="Times New Roman"/>
          <w:noProof/>
          <w:sz w:val="24"/>
          <w:szCs w:val="24"/>
        </w:rPr>
        <w:t xml:space="preserve"> (pp. 37-50). Charlotte: Information Age Publishing.</w:t>
      </w:r>
    </w:p>
    <w:p w:rsidR="006D76D5" w:rsidRPr="00AC4128" w:rsidRDefault="006D76D5" w:rsidP="006D76D5">
      <w:pPr>
        <w:pStyle w:val="Bibliography"/>
        <w:ind w:left="720" w:hanging="720"/>
        <w:rPr>
          <w:rFonts w:ascii="Times New Roman" w:hAnsi="Times New Roman"/>
          <w:noProof/>
          <w:sz w:val="24"/>
          <w:szCs w:val="24"/>
        </w:rPr>
      </w:pPr>
      <w:r w:rsidRPr="00AC4128">
        <w:rPr>
          <w:rFonts w:ascii="Times New Roman" w:hAnsi="Times New Roman"/>
          <w:noProof/>
          <w:sz w:val="24"/>
          <w:szCs w:val="24"/>
        </w:rPr>
        <w:t xml:space="preserve">Maslach, C., &amp; Jackson, S. E. (1981). The measurement of experienced burnout. </w:t>
      </w:r>
      <w:r w:rsidRPr="00AC4128">
        <w:rPr>
          <w:rFonts w:ascii="Times New Roman" w:hAnsi="Times New Roman"/>
          <w:i/>
          <w:iCs/>
          <w:noProof/>
          <w:sz w:val="24"/>
          <w:szCs w:val="24"/>
        </w:rPr>
        <w:t>Journal of Occupational Behaviour</w:t>
      </w:r>
      <w:r w:rsidRPr="00AC4128">
        <w:rPr>
          <w:rFonts w:ascii="Times New Roman" w:hAnsi="Times New Roman"/>
          <w:noProof/>
          <w:sz w:val="24"/>
          <w:szCs w:val="24"/>
        </w:rPr>
        <w:t>, 99-113.</w:t>
      </w:r>
    </w:p>
    <w:p w:rsidR="006D76D5" w:rsidRPr="00AC4128" w:rsidRDefault="006D76D5" w:rsidP="006D76D5">
      <w:pPr>
        <w:pStyle w:val="Bibliography"/>
        <w:ind w:left="720" w:hanging="720"/>
        <w:rPr>
          <w:rFonts w:ascii="Times New Roman" w:hAnsi="Times New Roman"/>
          <w:noProof/>
          <w:sz w:val="24"/>
          <w:szCs w:val="24"/>
        </w:rPr>
      </w:pPr>
      <w:r w:rsidRPr="00AC4128">
        <w:rPr>
          <w:rFonts w:ascii="Times New Roman" w:hAnsi="Times New Roman"/>
          <w:noProof/>
          <w:sz w:val="24"/>
          <w:szCs w:val="24"/>
        </w:rPr>
        <w:t xml:space="preserve">Maslach, C., Jackson, S. E., &amp; Leiter, M. P. (1996). </w:t>
      </w:r>
      <w:r w:rsidRPr="00AC4128">
        <w:rPr>
          <w:rFonts w:ascii="Times New Roman" w:hAnsi="Times New Roman"/>
          <w:i/>
          <w:iCs/>
          <w:noProof/>
          <w:sz w:val="24"/>
          <w:szCs w:val="24"/>
        </w:rPr>
        <w:t>Maslach Burnout Inventory Manual.</w:t>
      </w:r>
      <w:r w:rsidRPr="00AC4128">
        <w:rPr>
          <w:rFonts w:ascii="Times New Roman" w:hAnsi="Times New Roman"/>
          <w:noProof/>
          <w:sz w:val="24"/>
          <w:szCs w:val="24"/>
        </w:rPr>
        <w:t xml:space="preserve"> Menlo Park: mindgarden.com.</w:t>
      </w:r>
    </w:p>
    <w:p w:rsidR="006D76D5" w:rsidRPr="00AC4128" w:rsidRDefault="006D76D5" w:rsidP="006D76D5">
      <w:pPr>
        <w:pStyle w:val="Bibliography"/>
        <w:ind w:left="720" w:hanging="720"/>
        <w:rPr>
          <w:rFonts w:ascii="Times New Roman" w:hAnsi="Times New Roman"/>
          <w:noProof/>
          <w:sz w:val="24"/>
          <w:szCs w:val="24"/>
        </w:rPr>
      </w:pPr>
      <w:r w:rsidRPr="00AC4128">
        <w:rPr>
          <w:rFonts w:ascii="Times New Roman" w:hAnsi="Times New Roman"/>
          <w:noProof/>
          <w:sz w:val="24"/>
          <w:szCs w:val="24"/>
        </w:rPr>
        <w:t xml:space="preserve">Maslach, C., Schaufeli, W. B., &amp; Leiter, M. P. (2001). Job Burnout. </w:t>
      </w:r>
      <w:r w:rsidRPr="00AC4128">
        <w:rPr>
          <w:rFonts w:ascii="Times New Roman" w:hAnsi="Times New Roman"/>
          <w:i/>
          <w:iCs/>
          <w:noProof/>
          <w:sz w:val="24"/>
          <w:szCs w:val="24"/>
        </w:rPr>
        <w:t>Annual Review Psychology</w:t>
      </w:r>
      <w:r w:rsidRPr="00AC4128">
        <w:rPr>
          <w:rFonts w:ascii="Times New Roman" w:hAnsi="Times New Roman"/>
          <w:noProof/>
          <w:sz w:val="24"/>
          <w:szCs w:val="24"/>
        </w:rPr>
        <w:t>, 397-422.</w:t>
      </w:r>
    </w:p>
    <w:p w:rsidR="006D76D5" w:rsidRPr="00AC4128" w:rsidRDefault="006D76D5" w:rsidP="006D76D5">
      <w:pPr>
        <w:pStyle w:val="Bibliography"/>
        <w:ind w:left="720" w:hanging="720"/>
        <w:rPr>
          <w:rFonts w:ascii="Times New Roman" w:hAnsi="Times New Roman"/>
          <w:noProof/>
          <w:sz w:val="24"/>
          <w:szCs w:val="24"/>
        </w:rPr>
      </w:pPr>
      <w:r w:rsidRPr="00AC4128">
        <w:rPr>
          <w:rFonts w:ascii="Times New Roman" w:hAnsi="Times New Roman"/>
          <w:noProof/>
          <w:sz w:val="24"/>
          <w:szCs w:val="24"/>
        </w:rPr>
        <w:t xml:space="preserve">Newcomb, L., Betts, S. I., &amp; Cano, J. (1987). Extent of Burnout Among Teachers of Vocational Agriculture in Ohio. </w:t>
      </w:r>
      <w:r w:rsidRPr="00AC4128">
        <w:rPr>
          <w:rFonts w:ascii="Times New Roman" w:hAnsi="Times New Roman"/>
          <w:i/>
          <w:iCs/>
          <w:noProof/>
          <w:sz w:val="24"/>
          <w:szCs w:val="24"/>
        </w:rPr>
        <w:t>Journal of the American Association of Teacher Educators in Agriculture</w:t>
      </w:r>
      <w:r w:rsidRPr="00AC4128">
        <w:rPr>
          <w:rFonts w:ascii="Times New Roman" w:hAnsi="Times New Roman"/>
          <w:noProof/>
          <w:sz w:val="24"/>
          <w:szCs w:val="24"/>
        </w:rPr>
        <w:t>, 26-33.</w:t>
      </w:r>
    </w:p>
    <w:p w:rsidR="006D76D5" w:rsidRPr="00AC4128" w:rsidRDefault="006D76D5" w:rsidP="006D76D5">
      <w:pPr>
        <w:ind w:left="720" w:hanging="720"/>
      </w:pPr>
      <w:r w:rsidRPr="00AC4128">
        <w:rPr>
          <w:noProof/>
        </w:rPr>
        <w:t xml:space="preserve">Walker, W. D., Garton, B. L., &amp; Kitchel, T. J. (2004). Job Satisfaction and Retention of Secondary Agriculture Teachers. </w:t>
      </w:r>
      <w:r w:rsidRPr="00AC4128">
        <w:rPr>
          <w:i/>
          <w:iCs/>
          <w:noProof/>
        </w:rPr>
        <w:t>Journal of Agricultural Education</w:t>
      </w:r>
      <w:r w:rsidRPr="00AC4128">
        <w:rPr>
          <w:noProof/>
        </w:rPr>
        <w:t>, 28-38.</w:t>
      </w:r>
    </w:p>
    <w:sectPr w:rsidR="006D76D5" w:rsidRPr="00AC4128" w:rsidSect="005E7A11">
      <w:footerReference w:type="first" r:id="rId12"/>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D66" w:rsidRDefault="00A50D66">
      <w:r>
        <w:separator/>
      </w:r>
    </w:p>
  </w:endnote>
  <w:endnote w:type="continuationSeparator" w:id="0">
    <w:p w:rsidR="00A50D66" w:rsidRDefault="00A50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5E7A11" w:rsidP="005E7A11">
    <w:pPr>
      <w:pStyle w:val="Footer"/>
      <w:tabs>
        <w:tab w:val="clear" w:pos="4320"/>
        <w:tab w:val="center" w:pos="4680"/>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806" w:rsidRDefault="00011806">
    <w:pPr>
      <w:pStyle w:val="Footer"/>
      <w:jc w:val="center"/>
    </w:pPr>
  </w:p>
  <w:p w:rsidR="005E7A11" w:rsidRDefault="005E7A11" w:rsidP="005E7A11">
    <w:pPr>
      <w:pStyle w:val="Footer"/>
      <w:tabs>
        <w:tab w:val="clear" w:pos="4320"/>
        <w:tab w:val="center" w:pos="468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5E7A11" w:rsidP="005E7A11">
    <w:pPr>
      <w:pStyle w:val="Footer"/>
      <w:tabs>
        <w:tab w:val="clear" w:pos="4320"/>
        <w:tab w:val="center" w:pos="468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D66" w:rsidRDefault="00A50D66">
      <w:r>
        <w:separator/>
      </w:r>
    </w:p>
  </w:footnote>
  <w:footnote w:type="continuationSeparator" w:id="0">
    <w:p w:rsidR="00A50D66" w:rsidRDefault="00A50D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B98"/>
    <w:rsid w:val="00011806"/>
    <w:rsid w:val="0006000C"/>
    <w:rsid w:val="00207392"/>
    <w:rsid w:val="0025135E"/>
    <w:rsid w:val="002E6197"/>
    <w:rsid w:val="00357BB1"/>
    <w:rsid w:val="003C373A"/>
    <w:rsid w:val="003C5D19"/>
    <w:rsid w:val="004437C0"/>
    <w:rsid w:val="00466321"/>
    <w:rsid w:val="004B57CB"/>
    <w:rsid w:val="00510BE4"/>
    <w:rsid w:val="0055601C"/>
    <w:rsid w:val="005E7A11"/>
    <w:rsid w:val="0067485B"/>
    <w:rsid w:val="006D76D5"/>
    <w:rsid w:val="00714790"/>
    <w:rsid w:val="00763512"/>
    <w:rsid w:val="007909F4"/>
    <w:rsid w:val="00797858"/>
    <w:rsid w:val="007C7F74"/>
    <w:rsid w:val="00950B26"/>
    <w:rsid w:val="00982AAE"/>
    <w:rsid w:val="00A50D66"/>
    <w:rsid w:val="00AC4128"/>
    <w:rsid w:val="00B75B98"/>
    <w:rsid w:val="00B929A7"/>
    <w:rsid w:val="00BB1C0B"/>
    <w:rsid w:val="00BD76C5"/>
    <w:rsid w:val="00D32FBD"/>
    <w:rsid w:val="00E90A24"/>
    <w:rsid w:val="00F07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link w:val="FooterChar"/>
    <w:uiPriority w:val="99"/>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customStyle="1" w:styleId="Level1">
    <w:name w:val="Level 1"/>
    <w:basedOn w:val="Normal"/>
    <w:rsid w:val="00797858"/>
    <w:pPr>
      <w:widowControl w:val="0"/>
      <w:autoSpaceDE w:val="0"/>
      <w:autoSpaceDN w:val="0"/>
      <w:adjustRightInd w:val="0"/>
      <w:ind w:left="900" w:hanging="180"/>
    </w:pPr>
    <w:rPr>
      <w:rFonts w:ascii="Arial" w:hAnsi="Arial"/>
    </w:rPr>
  </w:style>
  <w:style w:type="paragraph" w:styleId="Bibliography">
    <w:name w:val="Bibliography"/>
    <w:basedOn w:val="Normal"/>
    <w:next w:val="Normal"/>
    <w:uiPriority w:val="37"/>
    <w:unhideWhenUsed/>
    <w:rsid w:val="006D76D5"/>
    <w:pPr>
      <w:spacing w:after="160" w:line="259" w:lineRule="auto"/>
    </w:pPr>
    <w:rPr>
      <w:rFonts w:ascii="Calibri" w:eastAsia="Calibri" w:hAnsi="Calibri"/>
      <w:sz w:val="22"/>
      <w:szCs w:val="22"/>
    </w:rPr>
  </w:style>
  <w:style w:type="character" w:customStyle="1" w:styleId="FooterChar">
    <w:name w:val="Footer Char"/>
    <w:basedOn w:val="DefaultParagraphFont"/>
    <w:link w:val="Footer"/>
    <w:uiPriority w:val="99"/>
    <w:rsid w:val="0001180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link w:val="FooterChar"/>
    <w:uiPriority w:val="99"/>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 w:type="paragraph" w:customStyle="1" w:styleId="Level1">
    <w:name w:val="Level 1"/>
    <w:basedOn w:val="Normal"/>
    <w:rsid w:val="00797858"/>
    <w:pPr>
      <w:widowControl w:val="0"/>
      <w:autoSpaceDE w:val="0"/>
      <w:autoSpaceDN w:val="0"/>
      <w:adjustRightInd w:val="0"/>
      <w:ind w:left="900" w:hanging="180"/>
    </w:pPr>
    <w:rPr>
      <w:rFonts w:ascii="Arial" w:hAnsi="Arial"/>
    </w:rPr>
  </w:style>
  <w:style w:type="paragraph" w:styleId="Bibliography">
    <w:name w:val="Bibliography"/>
    <w:basedOn w:val="Normal"/>
    <w:next w:val="Normal"/>
    <w:uiPriority w:val="37"/>
    <w:unhideWhenUsed/>
    <w:rsid w:val="006D76D5"/>
    <w:pPr>
      <w:spacing w:after="160" w:line="259" w:lineRule="auto"/>
    </w:pPr>
    <w:rPr>
      <w:rFonts w:ascii="Calibri" w:eastAsia="Calibri" w:hAnsi="Calibri"/>
      <w:sz w:val="22"/>
      <w:szCs w:val="22"/>
    </w:rPr>
  </w:style>
  <w:style w:type="character" w:customStyle="1" w:styleId="FooterChar">
    <w:name w:val="Footer Char"/>
    <w:basedOn w:val="DefaultParagraphFont"/>
    <w:link w:val="Footer"/>
    <w:uiPriority w:val="99"/>
    <w:rsid w:val="0001180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Kan10</b:Tag>
    <b:SourceType>Report</b:SourceType>
    <b:Guid>{C56FD30F-C9CF-464E-AAF3-3838D2078753}</b:Guid>
    <b:Author>
      <b:Author>
        <b:NameList>
          <b:Person>
            <b:Last>Kantrovich</b:Last>
            <b:First>Adam</b:First>
            <b:Middle>J.</b:Middle>
          </b:Person>
        </b:NameList>
      </b:Author>
    </b:Author>
    <b:Title>The 36th Volume of A National Study of the Supply and Demand for Teachers of Agricultural Education 2006-2009</b:Title>
    <b:Year>2010</b:Year>
    <b:Publisher>American Association for Agricultural Education</b:Publisher>
    <b:City>Alexandria</b:City>
    <b:RefOrder>1</b:RefOrder>
  </b:Source>
  <b:Source>
    <b:Tag>Mas96</b:Tag>
    <b:SourceType>Book</b:SourceType>
    <b:Guid>{BC29A2D1-3C79-4531-B00A-A893B0DC5A0F}</b:Guid>
    <b:Title>Maslach Burnout Inventory Manual</b:Title>
    <b:Year>1996</b:Year>
    <b:Author>
      <b:Author>
        <b:NameList>
          <b:Person>
            <b:Last>Maslach</b:Last>
            <b:First>Christina</b:First>
          </b:Person>
          <b:Person>
            <b:Last>Jackson</b:Last>
            <b:First>Susan</b:First>
            <b:Middle>E.</b:Middle>
          </b:Person>
          <b:Person>
            <b:Last>Leiter</b:Last>
            <b:First>Michael</b:First>
            <b:Middle>P.</b:Middle>
          </b:Person>
        </b:NameList>
      </b:Author>
    </b:Author>
    <b:City>Menlo Park</b:City>
    <b:Publisher>mindgarden.com</b:Publisher>
    <b:RefOrder>2</b:RefOrder>
  </b:Source>
</b:Sources>
</file>

<file path=customXml/itemProps1.xml><?xml version="1.0" encoding="utf-8"?>
<ds:datastoreItem xmlns:ds="http://schemas.openxmlformats.org/officeDocument/2006/customXml" ds:itemID="{B5E5C870-1434-4225-98F0-331AB10DA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1327</Words>
  <Characters>7569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8879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cp:lastModifiedBy>Simonsen, Jon C.</cp:lastModifiedBy>
  <cp:revision>2</cp:revision>
  <cp:lastPrinted>2004-01-08T13:09:00Z</cp:lastPrinted>
  <dcterms:created xsi:type="dcterms:W3CDTF">2015-02-25T18:15:00Z</dcterms:created>
  <dcterms:modified xsi:type="dcterms:W3CDTF">2015-02-25T18:15:00Z</dcterms:modified>
</cp:coreProperties>
</file>