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F6A" w:rsidRPr="00FB1F6A" w:rsidRDefault="00FB1F6A" w:rsidP="00FB1F6A">
      <w:pPr>
        <w:spacing w:after="60" w:line="240" w:lineRule="auto"/>
        <w:jc w:val="right"/>
        <w:outlineLvl w:val="0"/>
        <w:rPr>
          <w:rFonts w:ascii="Times New Roman" w:eastAsia="Times New Roman" w:hAnsi="Times New Roman" w:cs="Arial"/>
          <w:b/>
          <w:bCs/>
          <w:kern w:val="28"/>
          <w:sz w:val="24"/>
          <w:szCs w:val="32"/>
        </w:rPr>
      </w:pPr>
      <w:r w:rsidRPr="00FB1F6A">
        <w:rPr>
          <w:rFonts w:ascii="Times New Roman" w:eastAsia="Times New Roman" w:hAnsi="Times New Roman" w:cs="Arial"/>
          <w:b/>
          <w:bCs/>
          <w:kern w:val="28"/>
          <w:sz w:val="24"/>
          <w:szCs w:val="32"/>
        </w:rPr>
        <w:t>Research Poster</w:t>
      </w: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r w:rsidRPr="00FB1F6A">
        <w:rPr>
          <w:rFonts w:ascii="Times New Roman" w:eastAsia="Times New Roman" w:hAnsi="Times New Roman" w:cs="Arial"/>
          <w:b/>
          <w:bCs/>
          <w:kern w:val="28"/>
          <w:sz w:val="24"/>
          <w:szCs w:val="32"/>
        </w:rPr>
        <w:t>Does the Quantity of Agricultural Mechanics Training Received As Secondary Students Affect Teacher Competence</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i/>
          <w:kern w:val="28"/>
          <w:sz w:val="24"/>
          <w:szCs w:val="32"/>
        </w:rPr>
      </w:pPr>
      <w:r w:rsidRPr="00FB1F6A">
        <w:rPr>
          <w:rFonts w:ascii="Times New Roman" w:eastAsia="Times New Roman" w:hAnsi="Times New Roman" w:cs="Arial"/>
          <w:bCs/>
          <w:i/>
          <w:kern w:val="28"/>
          <w:sz w:val="24"/>
          <w:szCs w:val="32"/>
        </w:rPr>
        <w:t>Authors and University Affiliations:</w:t>
      </w:r>
    </w:p>
    <w:p w:rsidR="00FB1F6A" w:rsidRPr="00FB1F6A" w:rsidRDefault="00FB1F6A" w:rsidP="00FB1F6A">
      <w:pPr>
        <w:spacing w:after="60" w:line="240" w:lineRule="auto"/>
        <w:jc w:val="center"/>
        <w:outlineLvl w:val="0"/>
        <w:rPr>
          <w:rFonts w:ascii="Times New Roman" w:eastAsia="Times New Roman" w:hAnsi="Times New Roman" w:cs="Arial"/>
          <w:bCs/>
          <w:i/>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i/>
          <w:kern w:val="28"/>
          <w:sz w:val="24"/>
          <w:szCs w:val="32"/>
        </w:rPr>
      </w:pPr>
      <w:r w:rsidRPr="00FB1F6A">
        <w:rPr>
          <w:rFonts w:ascii="Times New Roman" w:eastAsia="Times New Roman" w:hAnsi="Times New Roman" w:cs="Arial"/>
          <w:b/>
          <w:bCs/>
          <w:i/>
          <w:kern w:val="28"/>
          <w:sz w:val="24"/>
          <w:szCs w:val="32"/>
        </w:rPr>
        <w:t>Denise Mills</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Graduate Student, Agricultural Education</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Iowa State University</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220 Curtiss Hall</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Ames, Iowa 50011</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dmmills@iastate.edu</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i/>
          <w:kern w:val="28"/>
          <w:sz w:val="24"/>
          <w:szCs w:val="32"/>
        </w:rPr>
      </w:pPr>
      <w:r w:rsidRPr="00FB1F6A">
        <w:rPr>
          <w:rFonts w:ascii="Times New Roman" w:eastAsia="Times New Roman" w:hAnsi="Times New Roman" w:cs="Arial"/>
          <w:b/>
          <w:bCs/>
          <w:i/>
          <w:kern w:val="28"/>
          <w:sz w:val="24"/>
          <w:szCs w:val="32"/>
        </w:rPr>
        <w:t>Dr. Ryan Anderson</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Assistant Professor, Agricultural Education</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Iowa State University</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206E Curtiss Hall</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Ames, Iowa 50011</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randrsn@iastate.edu</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i/>
          <w:kern w:val="28"/>
          <w:sz w:val="24"/>
          <w:szCs w:val="32"/>
        </w:rPr>
      </w:pPr>
      <w:r w:rsidRPr="00FB1F6A">
        <w:rPr>
          <w:rFonts w:ascii="Times New Roman" w:eastAsia="Times New Roman" w:hAnsi="Times New Roman" w:cs="Arial"/>
          <w:b/>
          <w:bCs/>
          <w:i/>
          <w:kern w:val="28"/>
          <w:sz w:val="24"/>
          <w:szCs w:val="32"/>
        </w:rPr>
        <w:t>Dr. Thomas H. Paulsen</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Assistant Professor, Agricultural Education</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Iowa State University</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217C Curtiss Hall</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Ames, Iowa 50011</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r w:rsidRPr="00FB1F6A">
        <w:rPr>
          <w:rFonts w:ascii="Times New Roman" w:eastAsia="Times New Roman" w:hAnsi="Times New Roman" w:cs="Arial"/>
          <w:bCs/>
          <w:kern w:val="28"/>
          <w:sz w:val="24"/>
          <w:szCs w:val="32"/>
        </w:rPr>
        <w:t>tpaulsen@iastate.edu</w:t>
      </w: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sectPr w:rsidR="00FB1F6A" w:rsidRPr="00FB1F6A" w:rsidSect="005E7A11">
          <w:footerReference w:type="default" r:id="rId5"/>
          <w:footerReference w:type="first" r:id="rId6"/>
          <w:pgSz w:w="12240" w:h="15840" w:code="1"/>
          <w:pgMar w:top="1440" w:right="1440" w:bottom="1440" w:left="1440" w:header="720" w:footer="720" w:gutter="0"/>
          <w:pgNumType w:start="1"/>
          <w:cols w:space="720"/>
          <w:titlePg/>
          <w:docGrid w:linePitch="360"/>
        </w:sect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r w:rsidRPr="00FB1F6A">
        <w:rPr>
          <w:rFonts w:ascii="Times New Roman" w:eastAsia="Times New Roman" w:hAnsi="Times New Roman" w:cs="Arial"/>
          <w:b/>
          <w:bCs/>
          <w:kern w:val="28"/>
          <w:sz w:val="24"/>
          <w:szCs w:val="32"/>
        </w:rPr>
        <w:lastRenderedPageBreak/>
        <w:t>Does the Quantity of Agricultural Mechanics Training Received As Secondary Students Affect Teacher Competence?</w:t>
      </w: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p>
    <w:p w:rsidR="00FB1F6A" w:rsidRPr="00FB1F6A" w:rsidRDefault="00FB1F6A" w:rsidP="00FB1F6A">
      <w:pPr>
        <w:spacing w:after="60" w:line="240" w:lineRule="auto"/>
        <w:jc w:val="center"/>
        <w:outlineLvl w:val="0"/>
        <w:rPr>
          <w:rFonts w:ascii="Times New Roman" w:eastAsia="Times New Roman" w:hAnsi="Times New Roman" w:cs="Arial"/>
          <w:b/>
          <w:bCs/>
          <w:kern w:val="28"/>
          <w:sz w:val="24"/>
          <w:szCs w:val="32"/>
        </w:rPr>
      </w:pPr>
      <w:r w:rsidRPr="00FB1F6A">
        <w:rPr>
          <w:rFonts w:ascii="Times New Roman" w:eastAsia="Times New Roman" w:hAnsi="Times New Roman" w:cs="Arial"/>
          <w:b/>
          <w:bCs/>
          <w:kern w:val="28"/>
          <w:sz w:val="24"/>
          <w:szCs w:val="32"/>
        </w:rPr>
        <w:t>Introduction</w:t>
      </w:r>
    </w:p>
    <w:p w:rsidR="00FB1F6A" w:rsidRPr="00FB1F6A" w:rsidRDefault="00FB1F6A" w:rsidP="00FB1F6A">
      <w:pPr>
        <w:spacing w:after="0" w:line="240" w:lineRule="auto"/>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ab/>
        <w:t>Graduates of agricultural education programs must be equipped with content knowledge necessary to be successful educators (</w:t>
      </w:r>
      <w:proofErr w:type="spellStart"/>
      <w:r w:rsidRPr="00FB1F6A">
        <w:rPr>
          <w:rFonts w:ascii="Times New Roman" w:eastAsia="Times New Roman" w:hAnsi="Times New Roman" w:cs="Times New Roman"/>
          <w:sz w:val="24"/>
          <w:szCs w:val="24"/>
        </w:rPr>
        <w:t>Doerfert</w:t>
      </w:r>
      <w:proofErr w:type="spellEnd"/>
      <w:r w:rsidRPr="00FB1F6A">
        <w:rPr>
          <w:rFonts w:ascii="Times New Roman" w:eastAsia="Times New Roman" w:hAnsi="Times New Roman" w:cs="Times New Roman"/>
          <w:sz w:val="24"/>
          <w:szCs w:val="24"/>
        </w:rPr>
        <w:t xml:space="preserve">, 2011). Agricultural mechanics instruction is an important component of secondary agricultural education programs in the United States and laboratory experiences are an integral component of agricultural mechanics instruction (Bear &amp; </w:t>
      </w:r>
      <w:proofErr w:type="spellStart"/>
      <w:r w:rsidRPr="00FB1F6A">
        <w:rPr>
          <w:rFonts w:ascii="Times New Roman" w:eastAsia="Times New Roman" w:hAnsi="Times New Roman" w:cs="Times New Roman"/>
          <w:sz w:val="24"/>
          <w:szCs w:val="24"/>
        </w:rPr>
        <w:t>Hoerner</w:t>
      </w:r>
      <w:proofErr w:type="spellEnd"/>
      <w:r w:rsidRPr="00FB1F6A">
        <w:rPr>
          <w:rFonts w:ascii="Times New Roman" w:eastAsia="Times New Roman" w:hAnsi="Times New Roman" w:cs="Times New Roman"/>
          <w:sz w:val="24"/>
          <w:szCs w:val="24"/>
        </w:rPr>
        <w:t xml:space="preserve">, 1986). Agricultural mechanics is offered in 59% of agricultural education programs across the nation (National FFA Organization, 2013); therefore, a need exists to assess how teachers are being prepared to teach this important topic (Hubert &amp; </w:t>
      </w:r>
      <w:proofErr w:type="spellStart"/>
      <w:r w:rsidRPr="00FB1F6A">
        <w:rPr>
          <w:rFonts w:ascii="Times New Roman" w:eastAsia="Times New Roman" w:hAnsi="Times New Roman" w:cs="Times New Roman"/>
          <w:sz w:val="24"/>
          <w:szCs w:val="24"/>
        </w:rPr>
        <w:t>Leising</w:t>
      </w:r>
      <w:proofErr w:type="spellEnd"/>
      <w:r w:rsidRPr="00FB1F6A">
        <w:rPr>
          <w:rFonts w:ascii="Times New Roman" w:eastAsia="Times New Roman" w:hAnsi="Times New Roman" w:cs="Times New Roman"/>
          <w:sz w:val="24"/>
          <w:szCs w:val="24"/>
        </w:rPr>
        <w:t>, 2000). Predetermined beliefs of teachers often influence how they teach content in both the classroom and laboratory setting (</w:t>
      </w:r>
      <w:proofErr w:type="spellStart"/>
      <w:r w:rsidRPr="00FB1F6A">
        <w:rPr>
          <w:rFonts w:ascii="Times New Roman" w:eastAsia="Times New Roman" w:hAnsi="Times New Roman" w:cs="Times New Roman"/>
          <w:sz w:val="24"/>
          <w:szCs w:val="24"/>
        </w:rPr>
        <w:t>Knobloch</w:t>
      </w:r>
      <w:proofErr w:type="spellEnd"/>
      <w:r w:rsidRPr="00FB1F6A">
        <w:rPr>
          <w:rFonts w:ascii="Times New Roman" w:eastAsia="Times New Roman" w:hAnsi="Times New Roman" w:cs="Times New Roman"/>
          <w:sz w:val="24"/>
          <w:szCs w:val="24"/>
        </w:rPr>
        <w:t xml:space="preserve">, 2008). Pre-service agricultural education teachers’ attitudes about agricultural mechanics in secondary agricultural education are likely determinates of the extent to which they pursue courses at the secondary level (Wells, Perry, Anderson, Shultz &amp; Paulsen, 2013). Quality learning experiences in the agricultural mechanics laboratory is important and confidence in teaching agricultural mechanics increases with experience (Burris, McLaughlin, McCulloch, </w:t>
      </w:r>
      <w:proofErr w:type="spellStart"/>
      <w:r w:rsidRPr="00FB1F6A">
        <w:rPr>
          <w:rFonts w:ascii="Times New Roman" w:eastAsia="Times New Roman" w:hAnsi="Times New Roman" w:cs="Times New Roman"/>
          <w:sz w:val="24"/>
          <w:szCs w:val="24"/>
        </w:rPr>
        <w:t>Brashears</w:t>
      </w:r>
      <w:proofErr w:type="spellEnd"/>
      <w:r w:rsidRPr="00FB1F6A">
        <w:rPr>
          <w:rFonts w:ascii="Times New Roman" w:eastAsia="Times New Roman" w:hAnsi="Times New Roman" w:cs="Times New Roman"/>
          <w:sz w:val="24"/>
          <w:szCs w:val="24"/>
        </w:rPr>
        <w:t xml:space="preserve">, &amp; </w:t>
      </w:r>
      <w:proofErr w:type="spellStart"/>
      <w:r w:rsidRPr="00FB1F6A">
        <w:rPr>
          <w:rFonts w:ascii="Times New Roman" w:eastAsia="Times New Roman" w:hAnsi="Times New Roman" w:cs="Times New Roman"/>
          <w:sz w:val="24"/>
          <w:szCs w:val="24"/>
        </w:rPr>
        <w:t>Fraze</w:t>
      </w:r>
      <w:proofErr w:type="spellEnd"/>
      <w:r w:rsidRPr="00FB1F6A">
        <w:rPr>
          <w:rFonts w:ascii="Times New Roman" w:eastAsia="Times New Roman" w:hAnsi="Times New Roman" w:cs="Times New Roman"/>
          <w:sz w:val="24"/>
          <w:szCs w:val="24"/>
        </w:rPr>
        <w:t xml:space="preserve">, 2010). </w:t>
      </w:r>
      <w:proofErr w:type="gramStart"/>
      <w:r w:rsidRPr="00FB1F6A">
        <w:rPr>
          <w:rFonts w:ascii="Times New Roman" w:eastAsia="Times New Roman" w:hAnsi="Times New Roman" w:cs="Times New Roman"/>
          <w:sz w:val="24"/>
          <w:szCs w:val="24"/>
        </w:rPr>
        <w:t>researchers</w:t>
      </w:r>
      <w:proofErr w:type="gramEnd"/>
      <w:r w:rsidRPr="00FB1F6A">
        <w:rPr>
          <w:rFonts w:ascii="Times New Roman" w:eastAsia="Times New Roman" w:hAnsi="Times New Roman" w:cs="Times New Roman"/>
          <w:sz w:val="24"/>
          <w:szCs w:val="24"/>
        </w:rPr>
        <w:t xml:space="preserve"> sought to determine if significant relationships existed between agricultural education teachers’ quantity of agricultural mechanics training received as secondary students and their current perceived teacher competency in agricultural mechanics.</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jc w:val="center"/>
        <w:rPr>
          <w:rFonts w:ascii="Times New Roman" w:eastAsia="Times New Roman" w:hAnsi="Times New Roman" w:cs="Times New Roman"/>
          <w:b/>
          <w:sz w:val="24"/>
          <w:szCs w:val="24"/>
        </w:rPr>
      </w:pPr>
      <w:r w:rsidRPr="00FB1F6A">
        <w:rPr>
          <w:rFonts w:ascii="Times New Roman" w:eastAsia="Times New Roman" w:hAnsi="Times New Roman" w:cs="Times New Roman"/>
          <w:b/>
          <w:sz w:val="24"/>
          <w:szCs w:val="24"/>
        </w:rPr>
        <w:t>Theoretical Framework</w:t>
      </w:r>
    </w:p>
    <w:p w:rsidR="00FB1F6A" w:rsidRPr="00FB1F6A" w:rsidRDefault="00FB1F6A" w:rsidP="00FB1F6A">
      <w:pPr>
        <w:spacing w:after="0" w:line="240" w:lineRule="auto"/>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ab/>
        <w:t xml:space="preserve">According to Bandura (1997), self-efficacy is identified as the “beliefs in one’s capabilities to organize and execute the course of action required to produce given attainments” (pg. 3). Therefore, people who have more consistent, stable behavior based on their previous </w:t>
      </w:r>
      <w:proofErr w:type="gramStart"/>
      <w:r w:rsidRPr="00FB1F6A">
        <w:rPr>
          <w:rFonts w:ascii="Times New Roman" w:eastAsia="Times New Roman" w:hAnsi="Times New Roman" w:cs="Times New Roman"/>
          <w:sz w:val="24"/>
          <w:szCs w:val="24"/>
        </w:rPr>
        <w:t>experiences,</w:t>
      </w:r>
      <w:proofErr w:type="gramEnd"/>
      <w:r w:rsidRPr="00FB1F6A">
        <w:rPr>
          <w:rFonts w:ascii="Times New Roman" w:eastAsia="Times New Roman" w:hAnsi="Times New Roman" w:cs="Times New Roman"/>
          <w:sz w:val="24"/>
          <w:szCs w:val="24"/>
        </w:rPr>
        <w:t xml:space="preserve"> believe they possess the required agricultural mechanics competency needed to be successful. Efficacy expectations are presumed to influence an individual’s level of performance by enhancing intensity and persistence of effort until reaching self-prescribed standards (Bandura, 1977). Bandura’s theory of self-efficacy was used to guide this study and assist in the search to understand the relationship between secondary level agricultural mechanics training and teacher competence. The purpose of this study was to describe the perceptions of secondary agricultural education teachers concerning personal competence to teach selected agricultural mechanics skills and if a relationship exists to the quantity of agricultural mechanics training respondents received at the secondary level.  </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jc w:val="center"/>
        <w:rPr>
          <w:rFonts w:ascii="Times New Roman" w:eastAsia="Times New Roman" w:hAnsi="Times New Roman" w:cs="Times New Roman"/>
          <w:b/>
          <w:sz w:val="24"/>
          <w:szCs w:val="24"/>
        </w:rPr>
      </w:pPr>
      <w:r w:rsidRPr="00FB1F6A">
        <w:rPr>
          <w:rFonts w:ascii="Times New Roman" w:eastAsia="Times New Roman" w:hAnsi="Times New Roman" w:cs="Times New Roman"/>
          <w:b/>
          <w:sz w:val="24"/>
          <w:szCs w:val="24"/>
        </w:rPr>
        <w:t>Methods</w:t>
      </w:r>
    </w:p>
    <w:p w:rsidR="00FB1F6A" w:rsidRPr="00FB1F6A" w:rsidRDefault="00FB1F6A" w:rsidP="00FB1F6A">
      <w:pPr>
        <w:spacing w:after="0" w:line="240" w:lineRule="auto"/>
        <w:rPr>
          <w:rFonts w:ascii="Times New Roman" w:eastAsia="Times New Roman" w:hAnsi="Times New Roman" w:cs="Times New Roman"/>
          <w:color w:val="000000"/>
          <w:sz w:val="24"/>
          <w:szCs w:val="24"/>
        </w:rPr>
      </w:pPr>
      <w:r w:rsidRPr="00FB1F6A">
        <w:rPr>
          <w:rFonts w:ascii="Times New Roman" w:eastAsia="Times New Roman" w:hAnsi="Times New Roman" w:cs="Times New Roman"/>
          <w:sz w:val="24"/>
          <w:szCs w:val="24"/>
        </w:rPr>
        <w:tab/>
      </w:r>
      <w:r w:rsidRPr="00FB1F6A">
        <w:rPr>
          <w:rFonts w:ascii="Times New Roman" w:eastAsia="Times New Roman" w:hAnsi="Times New Roman" w:cs="Times New Roman"/>
          <w:color w:val="000000"/>
          <w:sz w:val="24"/>
          <w:szCs w:val="24"/>
        </w:rPr>
        <w:t>This descriptive study used survey research methods to summarize characteristics, attitudes, and opinions to accurately describe a norm (</w:t>
      </w:r>
      <w:proofErr w:type="spellStart"/>
      <w:r w:rsidRPr="00FB1F6A">
        <w:rPr>
          <w:rFonts w:ascii="Times New Roman" w:eastAsia="Times New Roman" w:hAnsi="Times New Roman" w:cs="Times New Roman"/>
          <w:color w:val="000000"/>
          <w:sz w:val="24"/>
          <w:szCs w:val="24"/>
        </w:rPr>
        <w:t>Ary</w:t>
      </w:r>
      <w:proofErr w:type="spellEnd"/>
      <w:r w:rsidRPr="00FB1F6A">
        <w:rPr>
          <w:rFonts w:ascii="Times New Roman" w:eastAsia="Times New Roman" w:hAnsi="Times New Roman" w:cs="Times New Roman"/>
          <w:color w:val="000000"/>
          <w:sz w:val="24"/>
          <w:szCs w:val="24"/>
        </w:rPr>
        <w:t xml:space="preserve">, Jacobs, </w:t>
      </w:r>
      <w:proofErr w:type="spellStart"/>
      <w:r w:rsidRPr="00FB1F6A">
        <w:rPr>
          <w:rFonts w:ascii="Times New Roman" w:eastAsia="Times New Roman" w:hAnsi="Times New Roman" w:cs="Times New Roman"/>
          <w:color w:val="000000"/>
          <w:sz w:val="24"/>
          <w:szCs w:val="24"/>
        </w:rPr>
        <w:t>Razavieh</w:t>
      </w:r>
      <w:proofErr w:type="spellEnd"/>
      <w:r w:rsidRPr="00FB1F6A">
        <w:rPr>
          <w:rFonts w:ascii="Times New Roman" w:eastAsia="Times New Roman" w:hAnsi="Times New Roman" w:cs="Times New Roman"/>
          <w:color w:val="000000"/>
          <w:sz w:val="24"/>
          <w:szCs w:val="24"/>
        </w:rPr>
        <w:t xml:space="preserve">, &amp; Sorensen, 2006). The paper-based instrument contained three sections. Section one included 54 skills related to agricultural mechanics. Skills were separated into five constructs, including: Mechanic Training and Skills, Structures/Construction, Electrification, Power and Machinery, and Soil and Water.  Respondents were asked to use a five-point summated rated (Likert-type) scale to rate the perceived personal competency level in teaching each skill. Section two consisted of 15 demographic questions relating to the teacher’s educational and teaching background, and section three included nine questions about program and school characteristics. </w:t>
      </w:r>
    </w:p>
    <w:p w:rsidR="00FB1F6A" w:rsidRPr="00FB1F6A" w:rsidRDefault="00FB1F6A" w:rsidP="00FB1F6A">
      <w:pPr>
        <w:spacing w:after="0" w:line="240" w:lineRule="auto"/>
        <w:rPr>
          <w:rFonts w:ascii="Times New Roman" w:eastAsia="Times New Roman" w:hAnsi="Times New Roman" w:cs="Times New Roman"/>
          <w:color w:val="000000"/>
          <w:sz w:val="24"/>
          <w:szCs w:val="24"/>
        </w:rPr>
      </w:pPr>
      <w:r w:rsidRPr="00FB1F6A">
        <w:rPr>
          <w:rFonts w:ascii="Times New Roman" w:eastAsia="Times New Roman" w:hAnsi="Times New Roman" w:cs="Times New Roman"/>
          <w:color w:val="000000"/>
          <w:sz w:val="24"/>
          <w:szCs w:val="24"/>
        </w:rPr>
        <w:lastRenderedPageBreak/>
        <w:t>Researchers distributed a questionnaire to each secondary instructor (</w:t>
      </w:r>
      <w:r w:rsidRPr="00FB1F6A">
        <w:rPr>
          <w:rFonts w:ascii="Times New Roman" w:eastAsia="Times New Roman" w:hAnsi="Times New Roman" w:cs="Times New Roman"/>
          <w:i/>
          <w:color w:val="000000"/>
          <w:sz w:val="24"/>
          <w:szCs w:val="24"/>
        </w:rPr>
        <w:t>N</w:t>
      </w:r>
      <w:r w:rsidRPr="00FB1F6A">
        <w:rPr>
          <w:rFonts w:ascii="Times New Roman" w:eastAsia="Times New Roman" w:hAnsi="Times New Roman" w:cs="Times New Roman"/>
          <w:color w:val="000000"/>
          <w:sz w:val="24"/>
          <w:szCs w:val="24"/>
        </w:rPr>
        <w:t xml:space="preserve"> = 130) in attendance at the state teachers conference and asked that it be completed by the end of the event. Each participant was offered a power tool institute safety curriculum as an incentive for completing and returning the questionnaire.  These efforts yielded a sample of 103 usable instruments for a 79.2% response rate. Data were coded and analyzed using PSAW 18.0. The variables within this study (i.e., teacher/program demographics and agricultural mechanics training and skills received at the secondary levels) were quantitative in nature and had distinct levels of measurement. Therefore, Spearman correlations were used in this study to examine potential relationships between the quantity of agricultural mechanics training and skills respondents received at the secondary level and teacher’s competence.</w:t>
      </w:r>
    </w:p>
    <w:p w:rsidR="00FB1F6A" w:rsidRPr="00FB1F6A" w:rsidRDefault="00FB1F6A" w:rsidP="00FB1F6A">
      <w:pPr>
        <w:spacing w:after="0" w:line="240" w:lineRule="auto"/>
        <w:rPr>
          <w:rFonts w:ascii="Times New Roman" w:eastAsia="Times New Roman" w:hAnsi="Times New Roman" w:cs="Times New Roman"/>
          <w:color w:val="000000"/>
          <w:sz w:val="24"/>
          <w:szCs w:val="24"/>
        </w:rPr>
      </w:pPr>
    </w:p>
    <w:p w:rsidR="00FB1F6A" w:rsidRPr="00FB1F6A" w:rsidRDefault="00FB1F6A" w:rsidP="00FB1F6A">
      <w:pPr>
        <w:spacing w:after="0" w:line="240" w:lineRule="auto"/>
        <w:jc w:val="center"/>
        <w:rPr>
          <w:rFonts w:ascii="Times New Roman" w:eastAsia="Times New Roman" w:hAnsi="Times New Roman" w:cs="Times New Roman"/>
          <w:b/>
          <w:color w:val="000000"/>
          <w:sz w:val="24"/>
          <w:szCs w:val="24"/>
        </w:rPr>
      </w:pPr>
      <w:r w:rsidRPr="00FB1F6A">
        <w:rPr>
          <w:rFonts w:ascii="Times New Roman" w:eastAsia="Times New Roman" w:hAnsi="Times New Roman" w:cs="Times New Roman"/>
          <w:b/>
          <w:color w:val="000000"/>
          <w:sz w:val="24"/>
          <w:szCs w:val="24"/>
        </w:rPr>
        <w:t>Findings</w:t>
      </w:r>
    </w:p>
    <w:p w:rsidR="00FB1F6A" w:rsidRPr="00FB1F6A" w:rsidRDefault="00FB1F6A" w:rsidP="00FB1F6A">
      <w:pPr>
        <w:spacing w:after="0" w:line="240" w:lineRule="auto"/>
        <w:rPr>
          <w:rFonts w:ascii="Times New Roman" w:eastAsia="Times New Roman" w:hAnsi="Times New Roman" w:cs="Times New Roman"/>
          <w:color w:val="000000"/>
          <w:sz w:val="24"/>
          <w:szCs w:val="24"/>
        </w:rPr>
      </w:pPr>
      <w:r w:rsidRPr="00FB1F6A">
        <w:rPr>
          <w:rFonts w:ascii="Times New Roman" w:eastAsia="Times New Roman" w:hAnsi="Times New Roman" w:cs="Times New Roman"/>
          <w:color w:val="000000"/>
          <w:sz w:val="24"/>
          <w:szCs w:val="24"/>
        </w:rPr>
        <w:tab/>
        <w:t>The first objective describes the demographics of the agricultural education instructors in [STATE]. The typical respondent was in a single teacher program in a rural community, and held a Bachelor’s degree. A majority of teachers were male (</w:t>
      </w:r>
      <w:r w:rsidRPr="00FB1F6A">
        <w:rPr>
          <w:rFonts w:ascii="Times New Roman" w:eastAsia="Times New Roman" w:hAnsi="Times New Roman" w:cs="Times New Roman"/>
          <w:i/>
          <w:color w:val="000000"/>
          <w:sz w:val="24"/>
          <w:szCs w:val="24"/>
        </w:rPr>
        <w:t>n</w:t>
      </w:r>
      <w:r w:rsidRPr="00FB1F6A">
        <w:rPr>
          <w:rFonts w:ascii="Times New Roman" w:eastAsia="Times New Roman" w:hAnsi="Times New Roman" w:cs="Times New Roman"/>
          <w:color w:val="000000"/>
          <w:sz w:val="24"/>
          <w:szCs w:val="24"/>
        </w:rPr>
        <w:t>=69</w:t>
      </w:r>
      <w:r w:rsidRPr="00FB1F6A">
        <w:rPr>
          <w:rFonts w:ascii="Times New Roman" w:eastAsia="Times New Roman" w:hAnsi="Times New Roman" w:cs="Times New Roman"/>
          <w:i/>
          <w:color w:val="000000"/>
          <w:sz w:val="24"/>
          <w:szCs w:val="24"/>
        </w:rPr>
        <w:t xml:space="preserve">, </w:t>
      </w:r>
      <w:r w:rsidRPr="00FB1F6A">
        <w:rPr>
          <w:rFonts w:ascii="Times New Roman" w:eastAsia="Times New Roman" w:hAnsi="Times New Roman" w:cs="Times New Roman"/>
          <w:color w:val="000000"/>
          <w:sz w:val="24"/>
          <w:szCs w:val="24"/>
        </w:rPr>
        <w:t>67%), indicated 15 years or less of teaching experience (n=65, 63.2%), were in one teacher departments (n=91, 90%) in a rural area (n=80, 79.2%). Objective two examined the relationship between the quantity of agricultural mechanics training received at the secondary level and teacher competence. Statistically significant, positive correlations were found in 53 of the 54 skill areas. The only skill with no significant correlation was fencing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=.128). The skills with the strongest correlations in each construct skill area were oxy-acetylene brazing skills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=.646), small engine safety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=.643), wiring skills (switches and outlets)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=.575), legal land descriptions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=.579), and bill of materials (</w:t>
      </w:r>
      <w:proofErr w:type="spellStart"/>
      <w:r w:rsidRPr="00FB1F6A">
        <w:rPr>
          <w:rFonts w:ascii="Times New Roman" w:eastAsia="Times New Roman" w:hAnsi="Times New Roman" w:cs="Times New Roman"/>
          <w:color w:val="000000"/>
          <w:sz w:val="24"/>
          <w:szCs w:val="24"/>
        </w:rPr>
        <w:t>r</w:t>
      </w:r>
      <w:r w:rsidRPr="00FB1F6A">
        <w:rPr>
          <w:rFonts w:ascii="Times New Roman" w:eastAsia="Times New Roman" w:hAnsi="Times New Roman" w:cs="Times New Roman"/>
          <w:i/>
          <w:color w:val="000000"/>
          <w:sz w:val="24"/>
          <w:szCs w:val="24"/>
          <w:vertAlign w:val="subscript"/>
        </w:rPr>
        <w:t>s</w:t>
      </w:r>
      <w:proofErr w:type="spellEnd"/>
      <w:r w:rsidRPr="00FB1F6A">
        <w:rPr>
          <w:rFonts w:ascii="Times New Roman" w:eastAsia="Times New Roman" w:hAnsi="Times New Roman" w:cs="Times New Roman"/>
          <w:color w:val="000000"/>
          <w:sz w:val="24"/>
          <w:szCs w:val="24"/>
        </w:rPr>
        <w:t xml:space="preserve">=.525). </w:t>
      </w:r>
    </w:p>
    <w:p w:rsidR="00FB1F6A" w:rsidRPr="00FB1F6A" w:rsidRDefault="00FB1F6A" w:rsidP="00FB1F6A">
      <w:pPr>
        <w:spacing w:after="0" w:line="240" w:lineRule="auto"/>
        <w:rPr>
          <w:rFonts w:ascii="Times New Roman" w:eastAsia="Times New Roman" w:hAnsi="Times New Roman" w:cs="Times New Roman"/>
          <w:color w:val="000000"/>
          <w:sz w:val="24"/>
          <w:szCs w:val="24"/>
        </w:rPr>
      </w:pPr>
    </w:p>
    <w:p w:rsidR="00FB1F6A" w:rsidRPr="00FB1F6A" w:rsidRDefault="00FB1F6A" w:rsidP="00FB1F6A">
      <w:pPr>
        <w:spacing w:after="0" w:line="240" w:lineRule="auto"/>
        <w:jc w:val="center"/>
        <w:rPr>
          <w:rFonts w:ascii="Times New Roman" w:eastAsia="Times New Roman" w:hAnsi="Times New Roman" w:cs="Times New Roman"/>
          <w:b/>
          <w:color w:val="000000"/>
          <w:sz w:val="24"/>
          <w:szCs w:val="24"/>
        </w:rPr>
      </w:pPr>
      <w:r w:rsidRPr="00FB1F6A">
        <w:rPr>
          <w:rFonts w:ascii="Times New Roman" w:eastAsia="Times New Roman" w:hAnsi="Times New Roman" w:cs="Times New Roman"/>
          <w:b/>
          <w:color w:val="000000"/>
          <w:sz w:val="24"/>
          <w:szCs w:val="24"/>
        </w:rPr>
        <w:t>Conclusions, Implications and Recommendations</w:t>
      </w:r>
    </w:p>
    <w:p w:rsidR="00FB1F6A" w:rsidRPr="00FB1F6A" w:rsidRDefault="00FB1F6A" w:rsidP="00FB1F6A">
      <w:pPr>
        <w:spacing w:after="0" w:line="240" w:lineRule="auto"/>
        <w:ind w:firstLine="720"/>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The positive correlational relationships found in this study indicate that experience as a student in secondary agricultural mechanics training can add to teaching competence, which in turn may aid in preparing highly qualified teachers with an increased confidence to teach agricultural mechanics.  As Burris et al. (2010) noted</w:t>
      </w:r>
      <w:proofErr w:type="gramStart"/>
      <w:r w:rsidRPr="00FB1F6A">
        <w:rPr>
          <w:rFonts w:ascii="Times New Roman" w:eastAsia="Times New Roman" w:hAnsi="Times New Roman" w:cs="Times New Roman"/>
          <w:sz w:val="24"/>
          <w:szCs w:val="24"/>
        </w:rPr>
        <w:t>,</w:t>
      </w:r>
      <w:proofErr w:type="gramEnd"/>
      <w:r w:rsidRPr="00FB1F6A">
        <w:rPr>
          <w:rFonts w:ascii="Times New Roman" w:eastAsia="Times New Roman" w:hAnsi="Times New Roman" w:cs="Times New Roman"/>
          <w:sz w:val="24"/>
          <w:szCs w:val="24"/>
        </w:rPr>
        <w:t xml:space="preserve"> agricultural teachers felt less confident teaching agricultural mechanics than any other curriculum area. The present findings offer another avenue to build confidence in future teachers is to ensure a high quantity of agricultural mechanics courses should be delivered at the secondary level. </w:t>
      </w:r>
      <w:r w:rsidRPr="00FB1F6A">
        <w:rPr>
          <w:rFonts w:ascii="Times New Roman" w:eastAsia="Times New Roman" w:hAnsi="Times New Roman" w:cs="Times New Roman"/>
          <w:color w:val="000000"/>
          <w:sz w:val="24"/>
          <w:szCs w:val="24"/>
        </w:rPr>
        <w:t xml:space="preserve">Teacher education students and programs especially need to be aware of these critical relationships. </w:t>
      </w:r>
      <w:r w:rsidRPr="00FB1F6A">
        <w:rPr>
          <w:rFonts w:ascii="Times New Roman" w:eastAsia="Times New Roman" w:hAnsi="Times New Roman" w:cs="Times New Roman"/>
          <w:sz w:val="24"/>
          <w:szCs w:val="24"/>
        </w:rPr>
        <w:t>This positive relationship in the quantity of training received and self-competence is supported by Bandura’s (1997) Social Cognitive Theory; previous experiences factor into perceived performance. Self-efficacy and competency expectations are presumed to impact level of performance by influencing persistence to master said agricultural mechanics skills. Furthermore, contemplate the impact teachers’ preparation and experience (or lack of) may have on the student experience in the agricultural mechanics classroom and laboratory.  The American Association for Agricultural Education’s National Research agenda calls for research that is needed which clearly illustrates the factors that influence learning which are critical to advance and graduates of these programs must be equipped with the understanding and tools necessary to be successful educators (</w:t>
      </w:r>
      <w:proofErr w:type="spellStart"/>
      <w:r w:rsidRPr="00FB1F6A">
        <w:rPr>
          <w:rFonts w:ascii="Times New Roman" w:eastAsia="Times New Roman" w:hAnsi="Times New Roman" w:cs="Times New Roman"/>
          <w:sz w:val="24"/>
          <w:szCs w:val="24"/>
        </w:rPr>
        <w:t>Doerfert</w:t>
      </w:r>
      <w:proofErr w:type="spellEnd"/>
      <w:r w:rsidRPr="00FB1F6A">
        <w:rPr>
          <w:rFonts w:ascii="Times New Roman" w:eastAsia="Times New Roman" w:hAnsi="Times New Roman" w:cs="Times New Roman"/>
          <w:sz w:val="24"/>
          <w:szCs w:val="24"/>
        </w:rPr>
        <w:t xml:space="preserve">, 2011).  </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jc w:val="center"/>
        <w:rPr>
          <w:rFonts w:ascii="Times New Roman" w:eastAsia="Times New Roman" w:hAnsi="Times New Roman" w:cs="Times New Roman"/>
          <w:b/>
          <w:sz w:val="24"/>
          <w:szCs w:val="24"/>
        </w:rPr>
      </w:pPr>
      <w:r w:rsidRPr="00FB1F6A">
        <w:rPr>
          <w:rFonts w:ascii="Times New Roman" w:eastAsia="Times New Roman" w:hAnsi="Times New Roman" w:cs="Times New Roman"/>
          <w:b/>
          <w:sz w:val="24"/>
          <w:szCs w:val="24"/>
        </w:rPr>
        <w:br w:type="page"/>
      </w:r>
      <w:r w:rsidRPr="00FB1F6A">
        <w:rPr>
          <w:rFonts w:ascii="Times New Roman" w:eastAsia="Times New Roman" w:hAnsi="Times New Roman" w:cs="Times New Roman"/>
          <w:b/>
          <w:sz w:val="24"/>
          <w:szCs w:val="24"/>
        </w:rPr>
        <w:lastRenderedPageBreak/>
        <w:t>References</w:t>
      </w:r>
    </w:p>
    <w:p w:rsidR="00FB1F6A" w:rsidRPr="00FB1F6A" w:rsidRDefault="00FB1F6A" w:rsidP="00FB1F6A">
      <w:pPr>
        <w:spacing w:after="0" w:line="240" w:lineRule="auto"/>
        <w:ind w:left="630" w:hanging="630"/>
        <w:rPr>
          <w:rFonts w:ascii="Times New Roman" w:eastAsia="Times New Roman" w:hAnsi="Times New Roman" w:cs="Times New Roman"/>
          <w:sz w:val="24"/>
          <w:szCs w:val="24"/>
        </w:rPr>
      </w:pPr>
      <w:proofErr w:type="spellStart"/>
      <w:proofErr w:type="gramStart"/>
      <w:r w:rsidRPr="00FB1F6A">
        <w:rPr>
          <w:rFonts w:ascii="Times New Roman" w:eastAsia="Times New Roman" w:hAnsi="Times New Roman" w:cs="Times New Roman"/>
          <w:sz w:val="24"/>
          <w:szCs w:val="24"/>
        </w:rPr>
        <w:t>Ary</w:t>
      </w:r>
      <w:proofErr w:type="spellEnd"/>
      <w:r w:rsidRPr="00FB1F6A">
        <w:rPr>
          <w:rFonts w:ascii="Times New Roman" w:eastAsia="Times New Roman" w:hAnsi="Times New Roman" w:cs="Times New Roman"/>
          <w:sz w:val="24"/>
          <w:szCs w:val="24"/>
        </w:rPr>
        <w:t xml:space="preserve">, D., Jacobs, L., </w:t>
      </w:r>
      <w:proofErr w:type="spellStart"/>
      <w:r w:rsidRPr="00FB1F6A">
        <w:rPr>
          <w:rFonts w:ascii="Times New Roman" w:eastAsia="Times New Roman" w:hAnsi="Times New Roman" w:cs="Times New Roman"/>
          <w:sz w:val="24"/>
          <w:szCs w:val="24"/>
        </w:rPr>
        <w:t>Razavieh</w:t>
      </w:r>
      <w:proofErr w:type="spellEnd"/>
      <w:r w:rsidRPr="00FB1F6A">
        <w:rPr>
          <w:rFonts w:ascii="Times New Roman" w:eastAsia="Times New Roman" w:hAnsi="Times New Roman" w:cs="Times New Roman"/>
          <w:sz w:val="24"/>
          <w:szCs w:val="24"/>
        </w:rPr>
        <w:t>, A., &amp; Sorensen, C. (2006).</w:t>
      </w:r>
      <w:proofErr w:type="gramEnd"/>
      <w:r w:rsidRPr="00FB1F6A">
        <w:rPr>
          <w:rFonts w:ascii="Times New Roman" w:eastAsia="Times New Roman" w:hAnsi="Times New Roman" w:cs="Times New Roman"/>
          <w:sz w:val="24"/>
          <w:szCs w:val="24"/>
        </w:rPr>
        <w:t xml:space="preserve"> </w:t>
      </w:r>
      <w:proofErr w:type="gramStart"/>
      <w:r w:rsidRPr="00FB1F6A">
        <w:rPr>
          <w:rFonts w:ascii="Times New Roman" w:eastAsia="Times New Roman" w:hAnsi="Times New Roman" w:cs="Times New Roman"/>
          <w:i/>
          <w:sz w:val="24"/>
          <w:szCs w:val="24"/>
        </w:rPr>
        <w:t>Introduction to research in education.</w:t>
      </w:r>
      <w:proofErr w:type="gramEnd"/>
      <w:r w:rsidRPr="00FB1F6A">
        <w:rPr>
          <w:rFonts w:ascii="Times New Roman" w:eastAsia="Times New Roman" w:hAnsi="Times New Roman" w:cs="Times New Roman"/>
          <w:sz w:val="24"/>
          <w:szCs w:val="24"/>
        </w:rPr>
        <w:t xml:space="preserve"> (7</w:t>
      </w:r>
      <w:r w:rsidRPr="00FB1F6A">
        <w:rPr>
          <w:rFonts w:ascii="Times New Roman" w:eastAsia="Times New Roman" w:hAnsi="Times New Roman" w:cs="Times New Roman"/>
          <w:sz w:val="24"/>
          <w:szCs w:val="24"/>
          <w:vertAlign w:val="superscript"/>
        </w:rPr>
        <w:t>th</w:t>
      </w:r>
      <w:r w:rsidRPr="00FB1F6A">
        <w:rPr>
          <w:rFonts w:ascii="Times New Roman" w:eastAsia="Times New Roman" w:hAnsi="Times New Roman" w:cs="Times New Roman"/>
          <w:sz w:val="24"/>
          <w:szCs w:val="24"/>
        </w:rPr>
        <w:t xml:space="preserve"> </w:t>
      </w:r>
      <w:proofErr w:type="gramStart"/>
      <w:r w:rsidRPr="00FB1F6A">
        <w:rPr>
          <w:rFonts w:ascii="Times New Roman" w:eastAsia="Times New Roman" w:hAnsi="Times New Roman" w:cs="Times New Roman"/>
          <w:sz w:val="24"/>
          <w:szCs w:val="24"/>
        </w:rPr>
        <w:t>ed</w:t>
      </w:r>
      <w:proofErr w:type="gramEnd"/>
      <w:r w:rsidRPr="00FB1F6A">
        <w:rPr>
          <w:rFonts w:ascii="Times New Roman" w:eastAsia="Times New Roman" w:hAnsi="Times New Roman" w:cs="Times New Roman"/>
          <w:sz w:val="24"/>
          <w:szCs w:val="24"/>
        </w:rPr>
        <w:t>.). Belmont, CA: Wadsworth Publishing.</w:t>
      </w:r>
    </w:p>
    <w:p w:rsidR="00FB1F6A" w:rsidRPr="00FB1F6A" w:rsidRDefault="00FB1F6A" w:rsidP="00FB1F6A">
      <w:pPr>
        <w:spacing w:after="0" w:line="240" w:lineRule="auto"/>
        <w:ind w:left="630" w:hanging="630"/>
        <w:rPr>
          <w:rFonts w:ascii="Times New Roman" w:eastAsia="Times New Roman" w:hAnsi="Times New Roman" w:cs="Times New Roman"/>
          <w:sz w:val="24"/>
          <w:szCs w:val="24"/>
        </w:rPr>
      </w:pPr>
    </w:p>
    <w:p w:rsidR="00FB1F6A" w:rsidRPr="00FB1F6A" w:rsidRDefault="00FB1F6A" w:rsidP="00FB1F6A">
      <w:pPr>
        <w:spacing w:after="0" w:line="240" w:lineRule="auto"/>
        <w:ind w:left="630" w:hanging="630"/>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 xml:space="preserve">Bandura, A. (1977). </w:t>
      </w:r>
      <w:proofErr w:type="spellStart"/>
      <w:r w:rsidRPr="00FB1F6A">
        <w:rPr>
          <w:rFonts w:ascii="Times New Roman" w:eastAsia="Times New Roman" w:hAnsi="Times New Roman" w:cs="Times New Roman"/>
          <w:sz w:val="24"/>
          <w:szCs w:val="24"/>
        </w:rPr>
        <w:t>Self efficacy</w:t>
      </w:r>
      <w:proofErr w:type="spellEnd"/>
      <w:r w:rsidRPr="00FB1F6A">
        <w:rPr>
          <w:rFonts w:ascii="Times New Roman" w:eastAsia="Times New Roman" w:hAnsi="Times New Roman" w:cs="Times New Roman"/>
          <w:sz w:val="24"/>
          <w:szCs w:val="24"/>
        </w:rPr>
        <w:t xml:space="preserve">: Toward a unifying theory of behavioral change. </w:t>
      </w:r>
      <w:r w:rsidRPr="00FB1F6A">
        <w:rPr>
          <w:rFonts w:ascii="Times New Roman" w:eastAsia="Times New Roman" w:hAnsi="Times New Roman" w:cs="Times New Roman"/>
          <w:i/>
          <w:sz w:val="24"/>
          <w:szCs w:val="24"/>
        </w:rPr>
        <w:t xml:space="preserve">Psychological Review, </w:t>
      </w:r>
      <w:r w:rsidRPr="00FB1F6A">
        <w:rPr>
          <w:rFonts w:ascii="Times New Roman" w:eastAsia="Times New Roman" w:hAnsi="Times New Roman" w:cs="Times New Roman"/>
          <w:sz w:val="24"/>
          <w:szCs w:val="24"/>
        </w:rPr>
        <w:t>84, 191-215.</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rPr>
          <w:rFonts w:ascii="Times New Roman" w:eastAsia="Times New Roman" w:hAnsi="Times New Roman" w:cs="Times New Roman"/>
          <w:sz w:val="24"/>
          <w:szCs w:val="24"/>
        </w:rPr>
      </w:pPr>
      <w:proofErr w:type="gramStart"/>
      <w:r w:rsidRPr="00FB1F6A">
        <w:rPr>
          <w:rFonts w:ascii="Times New Roman" w:eastAsia="Times New Roman" w:hAnsi="Times New Roman" w:cs="Times New Roman"/>
          <w:sz w:val="24"/>
          <w:szCs w:val="24"/>
        </w:rPr>
        <w:t>Bandura, A. 1997.</w:t>
      </w:r>
      <w:proofErr w:type="gramEnd"/>
      <w:r w:rsidRPr="00FB1F6A">
        <w:rPr>
          <w:rFonts w:ascii="Times New Roman" w:eastAsia="Times New Roman" w:hAnsi="Times New Roman" w:cs="Times New Roman"/>
          <w:sz w:val="24"/>
          <w:szCs w:val="24"/>
        </w:rPr>
        <w:t xml:space="preserve"> </w:t>
      </w:r>
      <w:r w:rsidRPr="00FB1F6A">
        <w:rPr>
          <w:rFonts w:ascii="Times New Roman" w:eastAsia="Times New Roman" w:hAnsi="Times New Roman" w:cs="Times New Roman"/>
          <w:i/>
          <w:sz w:val="24"/>
          <w:szCs w:val="24"/>
        </w:rPr>
        <w:t xml:space="preserve">Self-efficacy: The exercise of control. </w:t>
      </w:r>
      <w:r w:rsidRPr="00FB1F6A">
        <w:rPr>
          <w:rFonts w:ascii="Times New Roman" w:eastAsia="Times New Roman" w:hAnsi="Times New Roman" w:cs="Times New Roman"/>
          <w:sz w:val="24"/>
          <w:szCs w:val="24"/>
        </w:rPr>
        <w:t>New York: Freeman.</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 xml:space="preserve">Bear, W.F., </w:t>
      </w:r>
      <w:proofErr w:type="spellStart"/>
      <w:r w:rsidRPr="00FB1F6A">
        <w:rPr>
          <w:rFonts w:ascii="Times New Roman" w:eastAsia="Times New Roman" w:hAnsi="Times New Roman" w:cs="Times New Roman"/>
          <w:sz w:val="24"/>
          <w:szCs w:val="24"/>
        </w:rPr>
        <w:t>Hoerner</w:t>
      </w:r>
      <w:proofErr w:type="spellEnd"/>
      <w:r w:rsidRPr="00FB1F6A">
        <w:rPr>
          <w:rFonts w:ascii="Times New Roman" w:eastAsia="Times New Roman" w:hAnsi="Times New Roman" w:cs="Times New Roman"/>
          <w:sz w:val="24"/>
          <w:szCs w:val="24"/>
        </w:rPr>
        <w:t xml:space="preserve">, T.A. (1986). </w:t>
      </w:r>
      <w:r w:rsidRPr="00FB1F6A">
        <w:rPr>
          <w:rFonts w:ascii="Times New Roman" w:eastAsia="Times New Roman" w:hAnsi="Times New Roman" w:cs="Times New Roman"/>
          <w:i/>
          <w:sz w:val="24"/>
          <w:szCs w:val="24"/>
        </w:rPr>
        <w:t xml:space="preserve">Planning, organizing and teaching agricultural mechanics. </w:t>
      </w:r>
      <w:r w:rsidRPr="00FB1F6A">
        <w:rPr>
          <w:rFonts w:ascii="Times New Roman" w:eastAsia="Times New Roman" w:hAnsi="Times New Roman" w:cs="Times New Roman"/>
          <w:sz w:val="24"/>
          <w:szCs w:val="24"/>
        </w:rPr>
        <w:t xml:space="preserve">St. Paul, MN: </w:t>
      </w:r>
      <w:proofErr w:type="spellStart"/>
      <w:r w:rsidRPr="00FB1F6A">
        <w:rPr>
          <w:rFonts w:ascii="Times New Roman" w:eastAsia="Times New Roman" w:hAnsi="Times New Roman" w:cs="Times New Roman"/>
          <w:sz w:val="24"/>
          <w:szCs w:val="24"/>
        </w:rPr>
        <w:t>Hobar</w:t>
      </w:r>
      <w:proofErr w:type="spellEnd"/>
      <w:r w:rsidRPr="00FB1F6A">
        <w:rPr>
          <w:rFonts w:ascii="Times New Roman" w:eastAsia="Times New Roman" w:hAnsi="Times New Roman" w:cs="Times New Roman"/>
          <w:sz w:val="24"/>
          <w:szCs w:val="24"/>
        </w:rPr>
        <w:t xml:space="preserve"> Publications.</w:t>
      </w: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r w:rsidRPr="00FB1F6A">
        <w:rPr>
          <w:rFonts w:ascii="Times New Roman" w:eastAsia="Times New Roman" w:hAnsi="Times New Roman" w:cs="Times New Roman"/>
          <w:sz w:val="24"/>
          <w:szCs w:val="24"/>
        </w:rPr>
        <w:t xml:space="preserve">Burris, S., McLaughlin, E., McCulloch, A., </w:t>
      </w:r>
      <w:proofErr w:type="spellStart"/>
      <w:r w:rsidRPr="00FB1F6A">
        <w:rPr>
          <w:rFonts w:ascii="Times New Roman" w:eastAsia="Times New Roman" w:hAnsi="Times New Roman" w:cs="Times New Roman"/>
          <w:sz w:val="24"/>
          <w:szCs w:val="24"/>
        </w:rPr>
        <w:t>Brashears</w:t>
      </w:r>
      <w:proofErr w:type="spellEnd"/>
      <w:r w:rsidRPr="00FB1F6A">
        <w:rPr>
          <w:rFonts w:ascii="Times New Roman" w:eastAsia="Times New Roman" w:hAnsi="Times New Roman" w:cs="Times New Roman"/>
          <w:sz w:val="24"/>
          <w:szCs w:val="24"/>
        </w:rPr>
        <w:t xml:space="preserve">, T., &amp; </w:t>
      </w:r>
      <w:proofErr w:type="spellStart"/>
      <w:r w:rsidRPr="00FB1F6A">
        <w:rPr>
          <w:rFonts w:ascii="Times New Roman" w:eastAsia="Times New Roman" w:hAnsi="Times New Roman" w:cs="Times New Roman"/>
          <w:sz w:val="24"/>
          <w:szCs w:val="24"/>
        </w:rPr>
        <w:t>Fraze</w:t>
      </w:r>
      <w:proofErr w:type="spellEnd"/>
      <w:r w:rsidRPr="00FB1F6A">
        <w:rPr>
          <w:rFonts w:ascii="Times New Roman" w:eastAsia="Times New Roman" w:hAnsi="Times New Roman" w:cs="Times New Roman"/>
          <w:sz w:val="24"/>
          <w:szCs w:val="24"/>
        </w:rPr>
        <w:t xml:space="preserve">, S. (2010). </w:t>
      </w:r>
      <w:proofErr w:type="gramStart"/>
      <w:r w:rsidRPr="00FB1F6A">
        <w:rPr>
          <w:rFonts w:ascii="Times New Roman" w:eastAsia="Times New Roman" w:hAnsi="Times New Roman" w:cs="Times New Roman"/>
          <w:sz w:val="24"/>
          <w:szCs w:val="24"/>
        </w:rPr>
        <w:t>A comparison of first and fifth year agriculture teachers on personal teaching efficacy, general teaching efficacy, and content efficacy.</w:t>
      </w:r>
      <w:proofErr w:type="gramEnd"/>
      <w:r w:rsidRPr="00FB1F6A">
        <w:rPr>
          <w:rFonts w:ascii="Times New Roman" w:eastAsia="Times New Roman" w:hAnsi="Times New Roman" w:cs="Times New Roman"/>
          <w:sz w:val="24"/>
          <w:szCs w:val="24"/>
        </w:rPr>
        <w:t xml:space="preserve"> </w:t>
      </w:r>
      <w:r w:rsidRPr="00FB1F6A">
        <w:rPr>
          <w:rFonts w:ascii="Times New Roman" w:eastAsia="Times New Roman" w:hAnsi="Times New Roman" w:cs="Times New Roman"/>
          <w:i/>
          <w:sz w:val="24"/>
          <w:szCs w:val="24"/>
        </w:rPr>
        <w:t>Journal of Agricultural Education, 51</w:t>
      </w:r>
      <w:r w:rsidRPr="00FB1F6A">
        <w:rPr>
          <w:rFonts w:ascii="Times New Roman" w:eastAsia="Times New Roman" w:hAnsi="Times New Roman" w:cs="Times New Roman"/>
          <w:sz w:val="24"/>
          <w:szCs w:val="24"/>
        </w:rPr>
        <w:t>(1), 22-31. doi:10.5032/jae.2010.01022</w:t>
      </w: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roofErr w:type="spellStart"/>
      <w:r w:rsidRPr="00FB1F6A">
        <w:rPr>
          <w:rFonts w:ascii="Times New Roman" w:eastAsia="Times New Roman" w:hAnsi="Times New Roman" w:cs="Times New Roman"/>
          <w:sz w:val="24"/>
          <w:szCs w:val="24"/>
        </w:rPr>
        <w:t>Doerfert</w:t>
      </w:r>
      <w:proofErr w:type="spellEnd"/>
      <w:r w:rsidRPr="00FB1F6A">
        <w:rPr>
          <w:rFonts w:ascii="Times New Roman" w:eastAsia="Times New Roman" w:hAnsi="Times New Roman" w:cs="Times New Roman"/>
          <w:sz w:val="24"/>
          <w:szCs w:val="24"/>
        </w:rPr>
        <w:t xml:space="preserve">, D.L. (Ed.) (2011). </w:t>
      </w:r>
      <w:r w:rsidRPr="00FB1F6A">
        <w:rPr>
          <w:rFonts w:ascii="Times New Roman" w:eastAsia="Times New Roman" w:hAnsi="Times New Roman" w:cs="Times New Roman"/>
          <w:i/>
          <w:sz w:val="24"/>
          <w:szCs w:val="24"/>
        </w:rPr>
        <w:t>National research agenda: American Association for Agricultural Education’s research priority areas for 2011-2015.</w:t>
      </w:r>
      <w:r w:rsidRPr="00FB1F6A">
        <w:rPr>
          <w:rFonts w:ascii="Times New Roman" w:eastAsia="Times New Roman" w:hAnsi="Times New Roman" w:cs="Times New Roman"/>
          <w:sz w:val="24"/>
          <w:szCs w:val="24"/>
        </w:rPr>
        <w:t xml:space="preserve"> Lubbock, TX: Texas Tech University, Department of Agricultural Education and Communications.</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roofErr w:type="gramStart"/>
      <w:r w:rsidRPr="00FB1F6A">
        <w:rPr>
          <w:rFonts w:ascii="Times New Roman" w:eastAsia="Times New Roman" w:hAnsi="Times New Roman" w:cs="Times New Roman"/>
          <w:sz w:val="24"/>
          <w:szCs w:val="24"/>
        </w:rPr>
        <w:t xml:space="preserve">Hubert, D. &amp; </w:t>
      </w:r>
      <w:proofErr w:type="spellStart"/>
      <w:r w:rsidRPr="00FB1F6A">
        <w:rPr>
          <w:rFonts w:ascii="Times New Roman" w:eastAsia="Times New Roman" w:hAnsi="Times New Roman" w:cs="Times New Roman"/>
          <w:sz w:val="24"/>
          <w:szCs w:val="24"/>
        </w:rPr>
        <w:t>Leising</w:t>
      </w:r>
      <w:proofErr w:type="spellEnd"/>
      <w:r w:rsidRPr="00FB1F6A">
        <w:rPr>
          <w:rFonts w:ascii="Times New Roman" w:eastAsia="Times New Roman" w:hAnsi="Times New Roman" w:cs="Times New Roman"/>
          <w:sz w:val="24"/>
          <w:szCs w:val="24"/>
        </w:rPr>
        <w:t>, J. (2000).</w:t>
      </w:r>
      <w:proofErr w:type="gramEnd"/>
      <w:r w:rsidRPr="00FB1F6A">
        <w:rPr>
          <w:rFonts w:ascii="Times New Roman" w:eastAsia="Times New Roman" w:hAnsi="Times New Roman" w:cs="Times New Roman"/>
          <w:sz w:val="24"/>
          <w:szCs w:val="24"/>
        </w:rPr>
        <w:t xml:space="preserve"> An assessment of agricultural mechanics course requirements in agriculture teacher education programs in the United States. </w:t>
      </w:r>
      <w:r w:rsidRPr="00FB1F6A">
        <w:rPr>
          <w:rFonts w:ascii="Times New Roman" w:eastAsia="Times New Roman" w:hAnsi="Times New Roman" w:cs="Times New Roman"/>
          <w:i/>
          <w:sz w:val="24"/>
          <w:szCs w:val="24"/>
        </w:rPr>
        <w:t>Journal of Southern Agricultural Education Research, 50</w:t>
      </w:r>
      <w:r w:rsidRPr="00FB1F6A">
        <w:rPr>
          <w:rFonts w:ascii="Times New Roman" w:eastAsia="Times New Roman" w:hAnsi="Times New Roman" w:cs="Times New Roman"/>
          <w:sz w:val="24"/>
          <w:szCs w:val="24"/>
        </w:rPr>
        <w:t>(1), 24-30.</w:t>
      </w: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roofErr w:type="spellStart"/>
      <w:r w:rsidRPr="00FB1F6A">
        <w:rPr>
          <w:rFonts w:ascii="Times New Roman" w:eastAsia="Times New Roman" w:hAnsi="Times New Roman" w:cs="Times New Roman"/>
          <w:sz w:val="24"/>
          <w:szCs w:val="24"/>
        </w:rPr>
        <w:t>Knoblock</w:t>
      </w:r>
      <w:proofErr w:type="spellEnd"/>
      <w:r w:rsidRPr="00FB1F6A">
        <w:rPr>
          <w:rFonts w:ascii="Times New Roman" w:eastAsia="Times New Roman" w:hAnsi="Times New Roman" w:cs="Times New Roman"/>
          <w:sz w:val="24"/>
          <w:szCs w:val="24"/>
        </w:rPr>
        <w:t xml:space="preserve">, N.A. (2008). Factors of teacher beliefs related to integrating agriculture into elementary school classrooms. </w:t>
      </w:r>
      <w:r w:rsidRPr="00FB1F6A">
        <w:rPr>
          <w:rFonts w:ascii="Times New Roman" w:eastAsia="Times New Roman" w:hAnsi="Times New Roman" w:cs="Times New Roman"/>
          <w:i/>
          <w:sz w:val="24"/>
          <w:szCs w:val="24"/>
        </w:rPr>
        <w:t>Agriculture and Human Values, 25</w:t>
      </w:r>
      <w:r w:rsidRPr="00FB1F6A">
        <w:rPr>
          <w:rFonts w:ascii="Times New Roman" w:eastAsia="Times New Roman" w:hAnsi="Times New Roman" w:cs="Times New Roman"/>
          <w:sz w:val="24"/>
          <w:szCs w:val="24"/>
        </w:rPr>
        <w:t xml:space="preserve">(4), 529-539. </w:t>
      </w:r>
      <w:proofErr w:type="gramStart"/>
      <w:r w:rsidRPr="00FB1F6A">
        <w:rPr>
          <w:rFonts w:ascii="Times New Roman" w:eastAsia="Times New Roman" w:hAnsi="Times New Roman" w:cs="Times New Roman"/>
          <w:sz w:val="24"/>
          <w:szCs w:val="24"/>
        </w:rPr>
        <w:t>doi:</w:t>
      </w:r>
      <w:proofErr w:type="gramEnd"/>
      <w:r w:rsidRPr="00FB1F6A">
        <w:rPr>
          <w:rFonts w:ascii="Times New Roman" w:eastAsia="Times New Roman" w:hAnsi="Times New Roman" w:cs="Times New Roman"/>
          <w:sz w:val="24"/>
          <w:szCs w:val="24"/>
        </w:rPr>
        <w:t>10.1007/s10460-008-9135-z</w:t>
      </w: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roofErr w:type="gramStart"/>
      <w:r w:rsidRPr="00FB1F6A">
        <w:rPr>
          <w:rFonts w:ascii="Times New Roman" w:eastAsia="Times New Roman" w:hAnsi="Times New Roman" w:cs="Times New Roman"/>
          <w:sz w:val="24"/>
          <w:szCs w:val="24"/>
        </w:rPr>
        <w:t>National FFA Organization.</w:t>
      </w:r>
      <w:proofErr w:type="gramEnd"/>
      <w:r w:rsidRPr="00FB1F6A">
        <w:rPr>
          <w:rFonts w:ascii="Times New Roman" w:eastAsia="Times New Roman" w:hAnsi="Times New Roman" w:cs="Times New Roman"/>
          <w:sz w:val="24"/>
          <w:szCs w:val="24"/>
        </w:rPr>
        <w:t xml:space="preserve"> </w:t>
      </w:r>
      <w:proofErr w:type="gramStart"/>
      <w:r w:rsidRPr="00FB1F6A">
        <w:rPr>
          <w:rFonts w:ascii="Times New Roman" w:eastAsia="Times New Roman" w:hAnsi="Times New Roman" w:cs="Times New Roman"/>
          <w:sz w:val="24"/>
          <w:szCs w:val="24"/>
        </w:rPr>
        <w:t>(2013). FFA Statistics.</w:t>
      </w:r>
      <w:proofErr w:type="gramEnd"/>
      <w:r w:rsidRPr="00FB1F6A">
        <w:rPr>
          <w:rFonts w:ascii="Times New Roman" w:eastAsia="Times New Roman" w:hAnsi="Times New Roman" w:cs="Times New Roman"/>
          <w:sz w:val="24"/>
          <w:szCs w:val="24"/>
        </w:rPr>
        <w:t xml:space="preserve"> Retrieved from </w:t>
      </w:r>
      <w:hyperlink r:id="rId7" w:history="1">
        <w:r w:rsidRPr="00FB1F6A">
          <w:rPr>
            <w:rFonts w:ascii="Times New Roman" w:eastAsia="Times New Roman" w:hAnsi="Times New Roman" w:cs="Times New Roman"/>
            <w:color w:val="0000FF"/>
            <w:sz w:val="24"/>
            <w:szCs w:val="24"/>
            <w:u w:val="single"/>
          </w:rPr>
          <w:t>https://www.ffa.org/about/whowere/Pages?Statistics.aspx</w:t>
        </w:r>
      </w:hyperlink>
      <w:r w:rsidRPr="00FB1F6A">
        <w:rPr>
          <w:rFonts w:ascii="Times New Roman" w:eastAsia="Times New Roman" w:hAnsi="Times New Roman" w:cs="Times New Roman"/>
          <w:sz w:val="24"/>
          <w:szCs w:val="24"/>
        </w:rPr>
        <w:t xml:space="preserve"> </w:t>
      </w:r>
    </w:p>
    <w:p w:rsidR="00FB1F6A" w:rsidRPr="00FB1F6A" w:rsidRDefault="00FB1F6A" w:rsidP="00FB1F6A">
      <w:pPr>
        <w:spacing w:after="0" w:line="240" w:lineRule="auto"/>
        <w:rPr>
          <w:rFonts w:ascii="Times New Roman" w:eastAsia="Times New Roman" w:hAnsi="Times New Roman" w:cs="Times New Roman"/>
          <w:sz w:val="24"/>
          <w:szCs w:val="24"/>
        </w:rPr>
      </w:pPr>
    </w:p>
    <w:p w:rsidR="00FB1F6A" w:rsidRPr="00FB1F6A" w:rsidRDefault="00FB1F6A" w:rsidP="00FB1F6A">
      <w:pPr>
        <w:spacing w:after="0" w:line="240" w:lineRule="auto"/>
        <w:ind w:left="720" w:hanging="720"/>
        <w:rPr>
          <w:rFonts w:ascii="Times New Roman" w:eastAsia="Times New Roman" w:hAnsi="Times New Roman" w:cs="Times New Roman"/>
          <w:sz w:val="24"/>
          <w:szCs w:val="24"/>
        </w:rPr>
      </w:pPr>
      <w:proofErr w:type="gramStart"/>
      <w:r w:rsidRPr="00FB1F6A">
        <w:rPr>
          <w:rFonts w:ascii="Times New Roman" w:eastAsia="Times New Roman" w:hAnsi="Times New Roman" w:cs="Times New Roman"/>
          <w:sz w:val="24"/>
          <w:szCs w:val="24"/>
        </w:rPr>
        <w:t>Wells, T. K., Perry, D. K., Anderson, R. G., Shultz, M. J., &amp; Paulsen, T. H. (2013).</w:t>
      </w:r>
      <w:proofErr w:type="gramEnd"/>
      <w:r w:rsidRPr="00FB1F6A">
        <w:rPr>
          <w:rFonts w:ascii="Times New Roman" w:eastAsia="Times New Roman" w:hAnsi="Times New Roman" w:cs="Times New Roman"/>
          <w:sz w:val="24"/>
          <w:szCs w:val="24"/>
        </w:rPr>
        <w:t xml:space="preserve"> Does prior experience in secondary agricultural mechanics affect pre-service agricultural education teachers’ intentions to enroll in post-secondary agricultural mechanics coursework? </w:t>
      </w:r>
      <w:r w:rsidRPr="00FB1F6A">
        <w:rPr>
          <w:rFonts w:ascii="Times New Roman" w:eastAsia="Times New Roman" w:hAnsi="Times New Roman" w:cs="Times New Roman"/>
          <w:i/>
          <w:sz w:val="24"/>
          <w:szCs w:val="24"/>
        </w:rPr>
        <w:t>Journal of Agricultural Education, 54</w:t>
      </w:r>
      <w:r w:rsidRPr="00FB1F6A">
        <w:rPr>
          <w:rFonts w:ascii="Times New Roman" w:eastAsia="Times New Roman" w:hAnsi="Times New Roman" w:cs="Times New Roman"/>
          <w:sz w:val="24"/>
          <w:szCs w:val="24"/>
        </w:rPr>
        <w:t>(4), 222-237. doi:10.5032/jae.2013.04222</w:t>
      </w:r>
    </w:p>
    <w:p w:rsidR="00D8323A" w:rsidRPr="00FB1F6A" w:rsidRDefault="00FB1F6A" w:rsidP="00FB1F6A">
      <w:pPr>
        <w:spacing w:line="240" w:lineRule="auto"/>
        <w:rPr>
          <w:rFonts w:ascii="Times New Roman" w:hAnsi="Times New Roman" w:cs="Times New Roman"/>
          <w:sz w:val="24"/>
          <w:szCs w:val="24"/>
        </w:rPr>
      </w:pPr>
      <w:bookmarkStart w:id="0" w:name="_GoBack"/>
      <w:bookmarkEnd w:id="0"/>
    </w:p>
    <w:sectPr w:rsidR="00D8323A" w:rsidRPr="00FB1F6A" w:rsidSect="005E7A11">
      <w:footerReference w:type="first" r:id="rId8"/>
      <w:pgSz w:w="12240" w:h="15840" w:code="1"/>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F6A" w:rsidRDefault="00FB1F6A" w:rsidP="005E7A11">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F6A" w:rsidRDefault="00FB1F6A" w:rsidP="005E7A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3CF" w:rsidRDefault="00FB1F6A" w:rsidP="005E7A11">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6A"/>
    <w:rsid w:val="00150D12"/>
    <w:rsid w:val="008432E1"/>
    <w:rsid w:val="00FB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B1F6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B1F6A"/>
  </w:style>
  <w:style w:type="character" w:styleId="PageNumber">
    <w:name w:val="page number"/>
    <w:basedOn w:val="DefaultParagraphFont"/>
    <w:rsid w:val="00FB1F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B1F6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B1F6A"/>
  </w:style>
  <w:style w:type="character" w:styleId="PageNumber">
    <w:name w:val="page number"/>
    <w:basedOn w:val="DefaultParagraphFont"/>
    <w:rsid w:val="00FB1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ffa.org/about/whowere/Pages?Statistics.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College of Ag and Life Sciences - Iowa State Univ.</Company>
  <LinksUpToDate>false</LinksUpToDate>
  <CharactersWithSpaces>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Mills, Denise</dc:creator>
  <cp:lastModifiedBy>Mills, Denise</cp:lastModifiedBy>
  <cp:revision>1</cp:revision>
  <dcterms:created xsi:type="dcterms:W3CDTF">2015-02-27T19:43:00Z</dcterms:created>
  <dcterms:modified xsi:type="dcterms:W3CDTF">2015-02-27T19:47:00Z</dcterms:modified>
</cp:coreProperties>
</file>