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Pr="00D534CA" w:rsidRDefault="00B929A7" w:rsidP="00A872A2">
      <w:pPr>
        <w:pStyle w:val="Title"/>
        <w:spacing w:after="0"/>
        <w:jc w:val="right"/>
        <w:rPr>
          <w:rFonts w:cs="Times New Roman"/>
          <w:b w:val="0"/>
          <w:szCs w:val="24"/>
        </w:rPr>
      </w:pPr>
      <w:r w:rsidRPr="00D534CA">
        <w:rPr>
          <w:rFonts w:cs="Times New Roman"/>
          <w:b w:val="0"/>
          <w:szCs w:val="24"/>
        </w:rPr>
        <w:t>Research</w:t>
      </w:r>
      <w:r w:rsidR="004E0BCD" w:rsidRPr="00D534CA">
        <w:rPr>
          <w:rFonts w:cs="Times New Roman"/>
          <w:b w:val="0"/>
          <w:szCs w:val="24"/>
        </w:rPr>
        <w:t xml:space="preserve"> Poster</w:t>
      </w:r>
    </w:p>
    <w:p w:rsidR="00763512" w:rsidRPr="00D534CA" w:rsidRDefault="00763512" w:rsidP="00A872A2">
      <w:pPr>
        <w:pStyle w:val="Title"/>
        <w:spacing w:after="0"/>
        <w:rPr>
          <w:rFonts w:cs="Times New Roman"/>
          <w:szCs w:val="24"/>
        </w:rPr>
      </w:pPr>
    </w:p>
    <w:p w:rsidR="00763512" w:rsidRPr="00D534CA" w:rsidRDefault="00763512" w:rsidP="00A872A2">
      <w:pPr>
        <w:pStyle w:val="Title"/>
        <w:spacing w:after="0"/>
        <w:rPr>
          <w:rFonts w:cs="Times New Roman"/>
          <w:szCs w:val="24"/>
        </w:rPr>
      </w:pPr>
    </w:p>
    <w:p w:rsidR="00A872A2" w:rsidRPr="00D534CA" w:rsidRDefault="00A872A2" w:rsidP="00A872A2">
      <w:pPr>
        <w:pStyle w:val="Title"/>
        <w:spacing w:after="0"/>
        <w:rPr>
          <w:rFonts w:cs="Times New Roman"/>
          <w:szCs w:val="24"/>
        </w:rPr>
      </w:pPr>
    </w:p>
    <w:p w:rsidR="002D2B8F" w:rsidRPr="00D534CA" w:rsidRDefault="002D2B8F" w:rsidP="00A872A2">
      <w:pPr>
        <w:pStyle w:val="Title"/>
        <w:spacing w:after="0"/>
        <w:rPr>
          <w:rFonts w:cs="Times New Roman"/>
          <w:szCs w:val="24"/>
        </w:rPr>
      </w:pPr>
    </w:p>
    <w:p w:rsidR="00763512" w:rsidRPr="00D534CA" w:rsidRDefault="00763512" w:rsidP="00A872A2">
      <w:pPr>
        <w:pStyle w:val="Title"/>
        <w:spacing w:after="0"/>
        <w:rPr>
          <w:rFonts w:cs="Times New Roman"/>
          <w:szCs w:val="24"/>
        </w:rPr>
      </w:pPr>
    </w:p>
    <w:p w:rsidR="00910CEB" w:rsidRPr="00D534CA" w:rsidRDefault="00910CEB" w:rsidP="00910CEB">
      <w:pPr>
        <w:pStyle w:val="Title"/>
        <w:spacing w:after="0"/>
        <w:rPr>
          <w:rFonts w:cs="Times New Roman"/>
          <w:szCs w:val="24"/>
        </w:rPr>
      </w:pPr>
      <w:r w:rsidRPr="00D534CA">
        <w:rPr>
          <w:rFonts w:cs="Times New Roman"/>
          <w:szCs w:val="24"/>
        </w:rPr>
        <w:t>Determining Teachers’ Agricultural Safety &amp; Health</w:t>
      </w:r>
      <w:r w:rsidR="00C50BDB" w:rsidRPr="00D534CA">
        <w:rPr>
          <w:rFonts w:cs="Times New Roman"/>
          <w:szCs w:val="24"/>
        </w:rPr>
        <w:br/>
      </w:r>
      <w:r w:rsidRPr="00D534CA">
        <w:rPr>
          <w:rFonts w:cs="Times New Roman"/>
          <w:szCs w:val="24"/>
        </w:rPr>
        <w:t>Level of Instructional Practices</w:t>
      </w:r>
    </w:p>
    <w:p w:rsidR="002D2B8F" w:rsidRPr="00D534CA" w:rsidRDefault="002D2B8F" w:rsidP="00A872A2">
      <w:pPr>
        <w:pStyle w:val="Title"/>
        <w:spacing w:after="0"/>
        <w:rPr>
          <w:rFonts w:cs="Times New Roman"/>
          <w:b w:val="0"/>
          <w:szCs w:val="24"/>
        </w:rPr>
      </w:pPr>
    </w:p>
    <w:p w:rsidR="00763512" w:rsidRPr="00D534CA" w:rsidRDefault="00FD2BFE" w:rsidP="00A872A2">
      <w:pPr>
        <w:pStyle w:val="Title"/>
        <w:spacing w:after="0"/>
        <w:rPr>
          <w:rFonts w:cs="Times New Roman"/>
          <w:b w:val="0"/>
          <w:szCs w:val="24"/>
        </w:rPr>
      </w:pPr>
      <w:r w:rsidRPr="00D534CA">
        <w:rPr>
          <w:rFonts w:cs="Times New Roman"/>
          <w:b w:val="0"/>
          <w:szCs w:val="24"/>
        </w:rPr>
        <w:t>Benjamin G. Swan</w:t>
      </w:r>
    </w:p>
    <w:p w:rsidR="00131C94" w:rsidRPr="00D534CA" w:rsidRDefault="00131C94" w:rsidP="00A872A2">
      <w:pPr>
        <w:pStyle w:val="Title"/>
        <w:spacing w:after="0"/>
        <w:rPr>
          <w:rFonts w:cs="Times New Roman"/>
          <w:b w:val="0"/>
          <w:szCs w:val="24"/>
        </w:rPr>
      </w:pPr>
      <w:r w:rsidRPr="00D534CA">
        <w:rPr>
          <w:rFonts w:cs="Times New Roman"/>
          <w:b w:val="0"/>
          <w:szCs w:val="24"/>
        </w:rPr>
        <w:t>California Polytechnic State University, San Luis Obispo</w:t>
      </w:r>
    </w:p>
    <w:p w:rsidR="002D2B8F" w:rsidRPr="00D534CA" w:rsidRDefault="002D2B8F" w:rsidP="00A872A2">
      <w:pPr>
        <w:pStyle w:val="Title"/>
        <w:spacing w:after="0"/>
        <w:rPr>
          <w:rFonts w:cs="Times New Roman"/>
          <w:b w:val="0"/>
          <w:szCs w:val="24"/>
        </w:rPr>
      </w:pPr>
      <w:r w:rsidRPr="00D534CA">
        <w:rPr>
          <w:rFonts w:cs="Times New Roman"/>
          <w:b w:val="0"/>
          <w:szCs w:val="24"/>
        </w:rPr>
        <w:t>Agricultural Education and Communication Department</w:t>
      </w:r>
    </w:p>
    <w:p w:rsidR="00131C94" w:rsidRPr="00D534CA" w:rsidRDefault="00131C94" w:rsidP="00A872A2">
      <w:pPr>
        <w:pStyle w:val="Title"/>
        <w:spacing w:after="0"/>
        <w:rPr>
          <w:rFonts w:cs="Times New Roman"/>
          <w:b w:val="0"/>
          <w:szCs w:val="24"/>
        </w:rPr>
      </w:pPr>
      <w:r w:rsidRPr="00D534CA">
        <w:rPr>
          <w:rFonts w:cs="Times New Roman"/>
          <w:b w:val="0"/>
          <w:szCs w:val="24"/>
        </w:rPr>
        <w:t>1 Grand Avenue</w:t>
      </w:r>
    </w:p>
    <w:p w:rsidR="00131C94" w:rsidRPr="00D534CA" w:rsidRDefault="00131C94" w:rsidP="00A872A2">
      <w:pPr>
        <w:pStyle w:val="Title"/>
        <w:spacing w:after="0"/>
        <w:rPr>
          <w:rFonts w:cs="Times New Roman"/>
          <w:b w:val="0"/>
          <w:szCs w:val="24"/>
        </w:rPr>
      </w:pPr>
      <w:r w:rsidRPr="00D534CA">
        <w:rPr>
          <w:rFonts w:cs="Times New Roman"/>
          <w:b w:val="0"/>
          <w:szCs w:val="24"/>
        </w:rPr>
        <w:t>San Luis Obispo, CA 93407</w:t>
      </w:r>
    </w:p>
    <w:p w:rsidR="00131C94" w:rsidRPr="00D534CA" w:rsidRDefault="00131C94" w:rsidP="00A872A2">
      <w:pPr>
        <w:pStyle w:val="Title"/>
        <w:spacing w:after="0"/>
        <w:rPr>
          <w:rFonts w:cs="Times New Roman"/>
          <w:b w:val="0"/>
          <w:szCs w:val="24"/>
        </w:rPr>
      </w:pPr>
      <w:r w:rsidRPr="00D534CA">
        <w:rPr>
          <w:rFonts w:cs="Times New Roman"/>
          <w:b w:val="0"/>
          <w:szCs w:val="24"/>
        </w:rPr>
        <w:t>bswan@calpoly.edu</w:t>
      </w: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p>
    <w:p w:rsidR="00B742A5" w:rsidRPr="00D534CA" w:rsidRDefault="00B742A5" w:rsidP="00B742A5">
      <w:pPr>
        <w:pStyle w:val="Title"/>
        <w:spacing w:after="0"/>
        <w:rPr>
          <w:rFonts w:cs="Times New Roman"/>
          <w:b w:val="0"/>
          <w:szCs w:val="24"/>
        </w:rPr>
      </w:pPr>
      <w:r w:rsidRPr="00D534CA">
        <w:rPr>
          <w:rFonts w:cs="Times New Roman"/>
          <w:b w:val="0"/>
          <w:szCs w:val="24"/>
        </w:rPr>
        <w:t>This research was funded by Zenith Insurance</w:t>
      </w:r>
      <w:r w:rsidR="00801E8D" w:rsidRPr="00D534CA">
        <w:rPr>
          <w:rFonts w:cs="Times New Roman"/>
          <w:b w:val="0"/>
          <w:szCs w:val="24"/>
        </w:rPr>
        <w:t xml:space="preserve"> Company</w:t>
      </w:r>
      <w:r w:rsidRPr="00D534CA">
        <w:rPr>
          <w:rFonts w:cs="Times New Roman"/>
          <w:b w:val="0"/>
          <w:szCs w:val="24"/>
        </w:rPr>
        <w:t xml:space="preserve"> and by the </w:t>
      </w:r>
      <w:r w:rsidRPr="00D534CA">
        <w:rPr>
          <w:rFonts w:cs="Times New Roman"/>
          <w:b w:val="0"/>
          <w:szCs w:val="24"/>
        </w:rPr>
        <w:br/>
        <w:t>Western Center for Agricultural Health and Safety at UC Davis.</w:t>
      </w:r>
    </w:p>
    <w:p w:rsidR="00910CEB" w:rsidRPr="00D534CA" w:rsidRDefault="00910CEB" w:rsidP="00C50BDB">
      <w:pPr>
        <w:jc w:val="center"/>
        <w:rPr>
          <w:b/>
        </w:rPr>
      </w:pPr>
      <w:r w:rsidRPr="00D534CA">
        <w:br w:type="page"/>
      </w:r>
      <w:r w:rsidRPr="00D534CA">
        <w:rPr>
          <w:b/>
        </w:rPr>
        <w:lastRenderedPageBreak/>
        <w:t>Determining Teachers’ Agricultural Safety &amp; Health Level of Instructional Practices</w:t>
      </w:r>
    </w:p>
    <w:p w:rsidR="00241F25" w:rsidRPr="00D534CA" w:rsidRDefault="00241F25" w:rsidP="00A872A2">
      <w:pPr>
        <w:autoSpaceDE w:val="0"/>
        <w:autoSpaceDN w:val="0"/>
        <w:adjustRightInd w:val="0"/>
      </w:pPr>
    </w:p>
    <w:p w:rsidR="001F24BF" w:rsidRPr="00D534CA" w:rsidRDefault="001F24BF" w:rsidP="00023B52">
      <w:pPr>
        <w:autoSpaceDE w:val="0"/>
        <w:autoSpaceDN w:val="0"/>
        <w:adjustRightInd w:val="0"/>
        <w:spacing w:after="240"/>
        <w:rPr>
          <w:b/>
        </w:rPr>
      </w:pPr>
      <w:r w:rsidRPr="00D534CA">
        <w:rPr>
          <w:b/>
        </w:rPr>
        <w:t>Introduction/Need for Research</w:t>
      </w:r>
    </w:p>
    <w:p w:rsidR="00EA361F" w:rsidRPr="00D534CA" w:rsidRDefault="00EA361F" w:rsidP="00A64F41">
      <w:pPr>
        <w:autoSpaceDE w:val="0"/>
        <w:autoSpaceDN w:val="0"/>
        <w:adjustRightInd w:val="0"/>
        <w:ind w:firstLine="720"/>
      </w:pPr>
      <w:r w:rsidRPr="00D534CA">
        <w:t>The agriculture industry is one of our nation’s “most hazardous industries” as farmers are at a “very high risk for fatal and nonfatal injuries” (Center for Disease Control</w:t>
      </w:r>
      <w:r w:rsidR="00023B52" w:rsidRPr="00D534CA">
        <w:t xml:space="preserve"> [CDC]</w:t>
      </w:r>
      <w:r w:rsidRPr="00D534CA">
        <w:t>, 2014). Of the estimated 1.853 million full-time workers engaged in production agriculture in 2012, an estimated 731</w:t>
      </w:r>
      <w:r w:rsidR="00A64F41" w:rsidRPr="00D534CA">
        <w:t>,000</w:t>
      </w:r>
      <w:r w:rsidRPr="00D534CA">
        <w:t xml:space="preserve"> workers were below the age of </w:t>
      </w:r>
      <w:r w:rsidR="00023B52" w:rsidRPr="00D534CA">
        <w:t>20</w:t>
      </w:r>
      <w:r w:rsidRPr="00D534CA">
        <w:t xml:space="preserve"> “performing the farm work” (</w:t>
      </w:r>
      <w:r w:rsidR="00023B52" w:rsidRPr="00D534CA">
        <w:t>CDC</w:t>
      </w:r>
      <w:r w:rsidRPr="00D534CA">
        <w:t>, 2014).</w:t>
      </w:r>
    </w:p>
    <w:p w:rsidR="00EA361F" w:rsidRPr="00D534CA" w:rsidRDefault="00EA361F" w:rsidP="00A64F41">
      <w:pPr>
        <w:shd w:val="clear" w:color="auto" w:fill="FFFFFF"/>
        <w:ind w:firstLine="720"/>
      </w:pPr>
      <w:r w:rsidRPr="00D534CA">
        <w:t xml:space="preserve">The CDC (2014) also reported that “on average, 113 youth less than 20 years of age die annually from farm-related injuries…” and </w:t>
      </w:r>
      <w:r w:rsidR="00023B52" w:rsidRPr="00D534CA">
        <w:t xml:space="preserve">34 </w:t>
      </w:r>
      <w:r w:rsidRPr="00D534CA">
        <w:t xml:space="preserve">percent of these deaths involved youth between 16-19 years of age. During 2012, “an estimated 14,000 youth were injured on farms; 2,700 of these injuries were due to farm work” (CDC, 2014). While looking at the causes of these injuries, </w:t>
      </w:r>
      <w:r w:rsidR="00023B52" w:rsidRPr="00D534CA">
        <w:t>23</w:t>
      </w:r>
      <w:r w:rsidRPr="00D534CA">
        <w:t xml:space="preserve"> percent were attributed to machinery (i.e.: tractors), </w:t>
      </w:r>
      <w:r w:rsidR="00023B52" w:rsidRPr="00D534CA">
        <w:t>19</w:t>
      </w:r>
      <w:r w:rsidRPr="00D534CA">
        <w:t xml:space="preserve"> percent involved motor vehicles (i.e.: ATVs), and </w:t>
      </w:r>
      <w:r w:rsidR="00023B52" w:rsidRPr="00D534CA">
        <w:t>16</w:t>
      </w:r>
      <w:r w:rsidRPr="00D534CA">
        <w:t xml:space="preserve"> percent were the result of drowning (C</w:t>
      </w:r>
      <w:r w:rsidR="00023B52" w:rsidRPr="00D534CA">
        <w:t>DC</w:t>
      </w:r>
      <w:r w:rsidRPr="00D534CA">
        <w:t>, 2014).</w:t>
      </w:r>
    </w:p>
    <w:p w:rsidR="009E0905" w:rsidRPr="00D534CA" w:rsidRDefault="009E0905" w:rsidP="00A64F41">
      <w:pPr>
        <w:ind w:firstLine="720"/>
      </w:pPr>
      <w:r w:rsidRPr="00D534CA">
        <w:t>It is unclear how teachers are prepared to train students for safety and health in laboratories and on school farms.  Understanding how teachers have been trained to teach safety and health in agriculture, would allow for curriculum development to manage risk and liability within facilities and better prepare students for a safe and healthy work experience in agriculture industry.</w:t>
      </w:r>
      <w:r w:rsidR="00A64F41" w:rsidRPr="00D534CA">
        <w:br/>
      </w:r>
    </w:p>
    <w:p w:rsidR="009E0905" w:rsidRPr="00D534CA" w:rsidRDefault="009E0905" w:rsidP="00023B52">
      <w:pPr>
        <w:spacing w:after="240"/>
        <w:outlineLvl w:val="0"/>
        <w:rPr>
          <w:b/>
        </w:rPr>
      </w:pPr>
      <w:r w:rsidRPr="00D534CA">
        <w:rPr>
          <w:b/>
        </w:rPr>
        <w:t>Conceptual Framework</w:t>
      </w:r>
    </w:p>
    <w:p w:rsidR="00EA361F" w:rsidRPr="00D534CA" w:rsidRDefault="00EA361F" w:rsidP="00023B52">
      <w:pPr>
        <w:spacing w:after="240"/>
        <w:ind w:firstLine="720"/>
      </w:pPr>
      <w:r w:rsidRPr="00D534CA">
        <w:t>Educational learning laboratories across all content areas are urged to develop a stronger ‘culture of safety’ (National Research Cou</w:t>
      </w:r>
      <w:r w:rsidR="00023B52" w:rsidRPr="00D534CA">
        <w:t>ncil of the National Academies [</w:t>
      </w:r>
      <w:r w:rsidRPr="00D534CA">
        <w:t>NRCNA</w:t>
      </w:r>
      <w:r w:rsidR="00023B52" w:rsidRPr="00D534CA">
        <w:t>]</w:t>
      </w:r>
      <w:r w:rsidRPr="00D534CA">
        <w:t>, 2014). To develop and strengthen a culture of safety, the leader of the entity or facility must be trained to lead the change.  Professional development training is considered the most effective way to improve teacher/leader practice (Darling-Hammond &amp; Bransford, 2005; Supovitz &amp; Turner, 2000). This research aims at determining the extent these teachers train their students in personal safety and health issues in agriculture?</w:t>
      </w:r>
    </w:p>
    <w:p w:rsidR="009E0905" w:rsidRPr="00D534CA" w:rsidRDefault="009E0905" w:rsidP="00023B52">
      <w:pPr>
        <w:autoSpaceDE w:val="0"/>
        <w:autoSpaceDN w:val="0"/>
        <w:adjustRightInd w:val="0"/>
        <w:spacing w:after="240"/>
        <w:rPr>
          <w:b/>
        </w:rPr>
      </w:pPr>
      <w:r w:rsidRPr="00D534CA">
        <w:rPr>
          <w:b/>
        </w:rPr>
        <w:t>Methodology</w:t>
      </w:r>
    </w:p>
    <w:p w:rsidR="009E0905" w:rsidRPr="00D534CA" w:rsidRDefault="009E0905" w:rsidP="00A64F41">
      <w:pPr>
        <w:pStyle w:val="Title"/>
        <w:spacing w:after="0"/>
        <w:ind w:firstLine="720"/>
        <w:jc w:val="left"/>
        <w:rPr>
          <w:rFonts w:cs="Times New Roman"/>
          <w:b w:val="0"/>
          <w:szCs w:val="24"/>
        </w:rPr>
      </w:pPr>
      <w:r w:rsidRPr="00D534CA">
        <w:rPr>
          <w:rFonts w:cs="Times New Roman"/>
          <w:b w:val="0"/>
          <w:szCs w:val="24"/>
        </w:rPr>
        <w:t>The methods were presented to the [</w:t>
      </w:r>
      <w:r w:rsidR="00023B52" w:rsidRPr="00D534CA">
        <w:rPr>
          <w:rFonts w:cs="Times New Roman"/>
          <w:b w:val="0"/>
          <w:szCs w:val="24"/>
        </w:rPr>
        <w:t>U</w:t>
      </w:r>
      <w:r w:rsidRPr="00D534CA">
        <w:rPr>
          <w:rFonts w:cs="Times New Roman"/>
          <w:b w:val="0"/>
          <w:szCs w:val="24"/>
        </w:rPr>
        <w:t>niversity] Human Assurances</w:t>
      </w:r>
      <w:r w:rsidR="00023B52" w:rsidRPr="00D534CA">
        <w:rPr>
          <w:rFonts w:cs="Times New Roman"/>
          <w:b w:val="0"/>
          <w:szCs w:val="24"/>
        </w:rPr>
        <w:t xml:space="preserve"> Office</w:t>
      </w:r>
      <w:r w:rsidRPr="00D534CA">
        <w:rPr>
          <w:rFonts w:cs="Times New Roman"/>
          <w:b w:val="0"/>
          <w:szCs w:val="24"/>
        </w:rPr>
        <w:t xml:space="preserve"> and were cleared to proceed. The instrument, adapted from Horne’s work (1994) to inventory farm safety practices, was submitted to a panel of three experts who possess years of experience teaching agriculture and managing extensive school farm units. The panel was asked if each item was relevant and applicable at a school farm and if it was relevant and applicable in the agriculture industry. The experts were also asked to suggest additional items within the seven categories and to make edits to clarify each item. Once completed, the researcher edited the instrument and performed a pilot study of secondary agriculture teachers outside of the target population. Twenty two teachers completed the pilot via </w:t>
      </w:r>
      <w:r w:rsidR="00023B52" w:rsidRPr="00D534CA">
        <w:rPr>
          <w:rFonts w:cs="Times New Roman"/>
          <w:b w:val="0"/>
          <w:szCs w:val="24"/>
        </w:rPr>
        <w:t>SurveyM</w:t>
      </w:r>
      <w:r w:rsidRPr="00D534CA">
        <w:rPr>
          <w:rFonts w:cs="Times New Roman"/>
          <w:b w:val="0"/>
          <w:szCs w:val="24"/>
        </w:rPr>
        <w:t>onkey, notifying the researcher of any challenges. All challenges were addressed. The instrument was deemed reliable and accurate.</w:t>
      </w:r>
    </w:p>
    <w:p w:rsidR="009E0905" w:rsidRPr="00D534CA" w:rsidRDefault="009E0905" w:rsidP="00A64F41">
      <w:pPr>
        <w:pStyle w:val="Title"/>
        <w:spacing w:after="0"/>
        <w:ind w:firstLine="720"/>
        <w:jc w:val="left"/>
        <w:rPr>
          <w:rFonts w:cs="Times New Roman"/>
          <w:b w:val="0"/>
          <w:szCs w:val="24"/>
        </w:rPr>
      </w:pPr>
      <w:r w:rsidRPr="00D534CA">
        <w:rPr>
          <w:rFonts w:cs="Times New Roman"/>
          <w:b w:val="0"/>
          <w:szCs w:val="24"/>
        </w:rPr>
        <w:t>The target populat</w:t>
      </w:r>
      <w:r w:rsidR="00EA361F" w:rsidRPr="00D534CA">
        <w:rPr>
          <w:rFonts w:cs="Times New Roman"/>
          <w:b w:val="0"/>
          <w:szCs w:val="24"/>
        </w:rPr>
        <w:t xml:space="preserve">ion (N=163) included all of [State’s] </w:t>
      </w:r>
      <w:r w:rsidRPr="00D534CA">
        <w:rPr>
          <w:rFonts w:cs="Times New Roman"/>
          <w:b w:val="0"/>
          <w:szCs w:val="24"/>
        </w:rPr>
        <w:t>[blank] Region secondary agriculture teachers provided by the regional supervisor. Di</w:t>
      </w:r>
      <w:r w:rsidR="002A03DE" w:rsidRPr="00D534CA">
        <w:rPr>
          <w:rFonts w:cs="Times New Roman"/>
          <w:b w:val="0"/>
          <w:szCs w:val="24"/>
        </w:rPr>
        <w:t>l</w:t>
      </w:r>
      <w:r w:rsidRPr="00D534CA">
        <w:rPr>
          <w:rFonts w:cs="Times New Roman"/>
          <w:b w:val="0"/>
          <w:szCs w:val="24"/>
        </w:rPr>
        <w:t>lman’s (2006) methods were followed to complete the online survey and resulted in 90 teachers responding (55% response rate) and no further efforts were made to follow up with non-respondents.  Results are only applicable to those whom responded.</w:t>
      </w:r>
    </w:p>
    <w:p w:rsidR="009E0905" w:rsidRPr="00D534CA" w:rsidRDefault="009E0905" w:rsidP="00023B52">
      <w:pPr>
        <w:autoSpaceDE w:val="0"/>
        <w:autoSpaceDN w:val="0"/>
        <w:adjustRightInd w:val="0"/>
        <w:spacing w:after="240"/>
        <w:rPr>
          <w:b/>
        </w:rPr>
      </w:pPr>
      <w:r w:rsidRPr="00D534CA">
        <w:rPr>
          <w:b/>
        </w:rPr>
        <w:lastRenderedPageBreak/>
        <w:t>Results/Findings</w:t>
      </w:r>
    </w:p>
    <w:p w:rsidR="009E0905" w:rsidRPr="00D534CA" w:rsidRDefault="001F24BF" w:rsidP="00023B52">
      <w:pPr>
        <w:autoSpaceDE w:val="0"/>
        <w:autoSpaceDN w:val="0"/>
        <w:adjustRightInd w:val="0"/>
        <w:spacing w:after="240"/>
      </w:pPr>
      <w:r w:rsidRPr="00D534CA">
        <w:tab/>
      </w:r>
      <w:r w:rsidR="009E0905" w:rsidRPr="00D534CA">
        <w:t xml:space="preserve">The summated means organize </w:t>
      </w:r>
      <w:r w:rsidR="00B215A9" w:rsidRPr="00D534CA">
        <w:t xml:space="preserve">the level teachers train their students in each </w:t>
      </w:r>
      <w:r w:rsidR="009E0905" w:rsidRPr="00D534CA">
        <w:t xml:space="preserve">of the seven areas. The mean ranges indicate the low and high level of an item within the safety area (see </w:t>
      </w:r>
      <w:r w:rsidR="009E0905" w:rsidRPr="00D534CA">
        <w:rPr>
          <w:i/>
        </w:rPr>
        <w:t>Table 1).</w:t>
      </w:r>
    </w:p>
    <w:tbl>
      <w:tblPr>
        <w:tblW w:w="9401" w:type="dxa"/>
        <w:tblInd w:w="93" w:type="dxa"/>
        <w:tblLayout w:type="fixed"/>
        <w:tblLook w:val="04A0" w:firstRow="1" w:lastRow="0" w:firstColumn="1" w:lastColumn="0" w:noHBand="0" w:noVBand="1"/>
      </w:tblPr>
      <w:tblGrid>
        <w:gridCol w:w="790"/>
        <w:gridCol w:w="5075"/>
        <w:gridCol w:w="720"/>
        <w:gridCol w:w="720"/>
        <w:gridCol w:w="1350"/>
        <w:gridCol w:w="746"/>
      </w:tblGrid>
      <w:tr w:rsidR="00F43E92" w:rsidRPr="00D534CA" w:rsidTr="00F43E92">
        <w:trPr>
          <w:trHeight w:val="330"/>
        </w:trPr>
        <w:tc>
          <w:tcPr>
            <w:tcW w:w="9401" w:type="dxa"/>
            <w:gridSpan w:val="6"/>
            <w:shd w:val="clear" w:color="auto" w:fill="auto"/>
            <w:noWrap/>
            <w:vAlign w:val="bottom"/>
            <w:hideMark/>
          </w:tcPr>
          <w:p w:rsidR="00F43E92" w:rsidRPr="00D534CA" w:rsidRDefault="00F43E92">
            <w:pPr>
              <w:rPr>
                <w:color w:val="000000"/>
              </w:rPr>
            </w:pPr>
            <w:r w:rsidRPr="00D534CA">
              <w:rPr>
                <w:i/>
                <w:iCs/>
                <w:color w:val="000000"/>
              </w:rPr>
              <w:t>Table 1.</w:t>
            </w:r>
            <w:r w:rsidRPr="00D534CA">
              <w:rPr>
                <w:color w:val="000000"/>
              </w:rPr>
              <w:t xml:space="preserve"> To what extent do you train your students in each item?</w:t>
            </w:r>
            <w:r w:rsidRPr="00D534CA">
              <w:rPr>
                <w:i/>
                <w:iCs/>
                <w:color w:val="000000"/>
              </w:rPr>
              <w:t xml:space="preserve"> (N = 90)</w:t>
            </w:r>
          </w:p>
        </w:tc>
      </w:tr>
      <w:tr w:rsidR="00F43E92" w:rsidRPr="00D534CA" w:rsidTr="00F43E92">
        <w:trPr>
          <w:trHeight w:val="645"/>
        </w:trPr>
        <w:tc>
          <w:tcPr>
            <w:tcW w:w="790" w:type="dxa"/>
            <w:tcBorders>
              <w:left w:val="nil"/>
              <w:bottom w:val="single" w:sz="8" w:space="0" w:color="auto"/>
              <w:right w:val="nil"/>
            </w:tcBorders>
            <w:shd w:val="clear" w:color="auto" w:fill="auto"/>
            <w:noWrap/>
            <w:vAlign w:val="center"/>
            <w:hideMark/>
          </w:tcPr>
          <w:p w:rsidR="00F43E92" w:rsidRPr="00D534CA" w:rsidRDefault="00F43E92">
            <w:pPr>
              <w:jc w:val="center"/>
              <w:rPr>
                <w:b/>
                <w:bCs/>
                <w:color w:val="000000"/>
              </w:rPr>
            </w:pPr>
            <w:r w:rsidRPr="00D534CA">
              <w:rPr>
                <w:b/>
                <w:bCs/>
                <w:color w:val="000000"/>
              </w:rPr>
              <w:t>Items</w:t>
            </w:r>
          </w:p>
        </w:tc>
        <w:tc>
          <w:tcPr>
            <w:tcW w:w="5075" w:type="dxa"/>
            <w:tcBorders>
              <w:left w:val="nil"/>
              <w:bottom w:val="single" w:sz="8" w:space="0" w:color="auto"/>
              <w:right w:val="nil"/>
            </w:tcBorders>
            <w:shd w:val="clear" w:color="auto" w:fill="auto"/>
            <w:vAlign w:val="center"/>
            <w:hideMark/>
          </w:tcPr>
          <w:p w:rsidR="00F43E92" w:rsidRPr="00D534CA" w:rsidRDefault="00F43E92">
            <w:pPr>
              <w:jc w:val="center"/>
              <w:rPr>
                <w:b/>
                <w:bCs/>
                <w:color w:val="000000"/>
              </w:rPr>
            </w:pPr>
            <w:r w:rsidRPr="00D534CA">
              <w:rPr>
                <w:b/>
                <w:bCs/>
                <w:color w:val="000000"/>
              </w:rPr>
              <w:t>SAFETY AREAS SUMMARIZED</w:t>
            </w:r>
          </w:p>
        </w:tc>
        <w:tc>
          <w:tcPr>
            <w:tcW w:w="1440" w:type="dxa"/>
            <w:gridSpan w:val="2"/>
            <w:tcBorders>
              <w:left w:val="nil"/>
              <w:bottom w:val="single" w:sz="8" w:space="0" w:color="auto"/>
              <w:right w:val="nil"/>
            </w:tcBorders>
            <w:shd w:val="clear" w:color="auto" w:fill="auto"/>
            <w:vAlign w:val="center"/>
            <w:hideMark/>
          </w:tcPr>
          <w:p w:rsidR="00F43E92" w:rsidRPr="00D534CA" w:rsidRDefault="00F43E92">
            <w:pPr>
              <w:jc w:val="center"/>
              <w:rPr>
                <w:b/>
                <w:bCs/>
                <w:color w:val="000000"/>
              </w:rPr>
            </w:pPr>
            <w:r w:rsidRPr="00D534CA">
              <w:rPr>
                <w:b/>
                <w:bCs/>
                <w:color w:val="000000"/>
              </w:rPr>
              <w:t>Mean Ranges</w:t>
            </w:r>
          </w:p>
        </w:tc>
        <w:tc>
          <w:tcPr>
            <w:tcW w:w="1350" w:type="dxa"/>
            <w:tcBorders>
              <w:left w:val="nil"/>
              <w:bottom w:val="single" w:sz="8" w:space="0" w:color="auto"/>
              <w:right w:val="nil"/>
            </w:tcBorders>
            <w:shd w:val="clear" w:color="auto" w:fill="auto"/>
            <w:vAlign w:val="center"/>
            <w:hideMark/>
          </w:tcPr>
          <w:p w:rsidR="00F43E92" w:rsidRPr="00D534CA" w:rsidRDefault="00F43E92">
            <w:pPr>
              <w:jc w:val="center"/>
              <w:rPr>
                <w:b/>
                <w:bCs/>
                <w:color w:val="000000"/>
              </w:rPr>
            </w:pPr>
            <w:r w:rsidRPr="00D534CA">
              <w:rPr>
                <w:b/>
                <w:bCs/>
                <w:color w:val="000000"/>
              </w:rPr>
              <w:t>Summated Mean</w:t>
            </w:r>
          </w:p>
        </w:tc>
        <w:tc>
          <w:tcPr>
            <w:tcW w:w="746" w:type="dxa"/>
            <w:tcBorders>
              <w:left w:val="nil"/>
              <w:bottom w:val="single" w:sz="8" w:space="0" w:color="auto"/>
              <w:right w:val="nil"/>
            </w:tcBorders>
            <w:shd w:val="clear" w:color="auto" w:fill="auto"/>
            <w:vAlign w:val="center"/>
            <w:hideMark/>
          </w:tcPr>
          <w:p w:rsidR="00F43E92" w:rsidRPr="00D534CA" w:rsidRDefault="00B215A9">
            <w:pPr>
              <w:jc w:val="center"/>
              <w:rPr>
                <w:b/>
                <w:bCs/>
                <w:color w:val="000000"/>
              </w:rPr>
            </w:pPr>
            <w:r w:rsidRPr="00D534CA">
              <w:rPr>
                <w:b/>
                <w:bCs/>
                <w:color w:val="000000"/>
              </w:rPr>
              <w:t>S.</w:t>
            </w:r>
            <w:r w:rsidR="00F43E92" w:rsidRPr="00D534CA">
              <w:rPr>
                <w:b/>
                <w:bCs/>
                <w:color w:val="000000"/>
              </w:rPr>
              <w:t>D</w:t>
            </w:r>
            <w:r w:rsidRPr="00D534CA">
              <w:rPr>
                <w:b/>
                <w:bCs/>
                <w:color w:val="000000"/>
              </w:rPr>
              <w:t>.</w:t>
            </w:r>
          </w:p>
        </w:tc>
      </w:tr>
      <w:tr w:rsidR="00F43E92" w:rsidRPr="00D534CA" w:rsidTr="004752BF">
        <w:trPr>
          <w:trHeight w:val="268"/>
        </w:trPr>
        <w:tc>
          <w:tcPr>
            <w:tcW w:w="790" w:type="dxa"/>
            <w:tcBorders>
              <w:top w:val="nil"/>
              <w:left w:val="nil"/>
              <w:right w:val="nil"/>
            </w:tcBorders>
            <w:shd w:val="clear" w:color="auto" w:fill="auto"/>
            <w:noWrap/>
            <w:vAlign w:val="center"/>
            <w:hideMark/>
          </w:tcPr>
          <w:p w:rsidR="00F43E92" w:rsidRPr="00D534CA" w:rsidRDefault="00F43E92">
            <w:pPr>
              <w:jc w:val="center"/>
              <w:rPr>
                <w:color w:val="000000"/>
              </w:rPr>
            </w:pPr>
            <w:r w:rsidRPr="00D534CA">
              <w:rPr>
                <w:color w:val="000000"/>
              </w:rPr>
              <w:t>20</w:t>
            </w:r>
          </w:p>
        </w:tc>
        <w:tc>
          <w:tcPr>
            <w:tcW w:w="5075" w:type="dxa"/>
            <w:tcBorders>
              <w:top w:val="nil"/>
              <w:left w:val="nil"/>
              <w:right w:val="nil"/>
            </w:tcBorders>
            <w:shd w:val="clear" w:color="auto" w:fill="auto"/>
            <w:hideMark/>
          </w:tcPr>
          <w:p w:rsidR="00F43E92" w:rsidRPr="00D534CA" w:rsidRDefault="00F43E92" w:rsidP="00F43E92">
            <w:pPr>
              <w:rPr>
                <w:color w:val="000000"/>
              </w:rPr>
            </w:pPr>
            <w:r w:rsidRPr="00D534CA">
              <w:rPr>
                <w:color w:val="000000"/>
              </w:rPr>
              <w:t xml:space="preserve">Overall Ag Safety &amp; Health </w:t>
            </w:r>
            <w:r w:rsidRPr="00D534CA">
              <w:rPr>
                <w:i/>
                <w:iCs/>
                <w:color w:val="000000"/>
              </w:rPr>
              <w:t>(n = 71 to 75)</w:t>
            </w:r>
          </w:p>
        </w:tc>
        <w:tc>
          <w:tcPr>
            <w:tcW w:w="720" w:type="dxa"/>
            <w:tcBorders>
              <w:top w:val="nil"/>
              <w:left w:val="nil"/>
              <w:right w:val="nil"/>
            </w:tcBorders>
            <w:shd w:val="clear" w:color="auto" w:fill="auto"/>
            <w:noWrap/>
            <w:vAlign w:val="bottom"/>
            <w:hideMark/>
          </w:tcPr>
          <w:p w:rsidR="00F43E92" w:rsidRPr="00D534CA" w:rsidRDefault="00F43E92">
            <w:pPr>
              <w:jc w:val="center"/>
              <w:rPr>
                <w:color w:val="000000"/>
              </w:rPr>
            </w:pPr>
            <w:r w:rsidRPr="00D534CA">
              <w:rPr>
                <w:color w:val="000000"/>
              </w:rPr>
              <w:t>2.69</w:t>
            </w:r>
          </w:p>
        </w:tc>
        <w:tc>
          <w:tcPr>
            <w:tcW w:w="720" w:type="dxa"/>
            <w:tcBorders>
              <w:top w:val="nil"/>
              <w:left w:val="nil"/>
              <w:right w:val="nil"/>
            </w:tcBorders>
            <w:shd w:val="clear" w:color="auto" w:fill="auto"/>
            <w:noWrap/>
            <w:vAlign w:val="bottom"/>
            <w:hideMark/>
          </w:tcPr>
          <w:p w:rsidR="00F43E92" w:rsidRPr="00D534CA" w:rsidRDefault="00F43E92">
            <w:pPr>
              <w:jc w:val="center"/>
              <w:rPr>
                <w:color w:val="000000"/>
              </w:rPr>
            </w:pPr>
            <w:r w:rsidRPr="00D534CA">
              <w:rPr>
                <w:color w:val="000000"/>
              </w:rPr>
              <w:t>9.76</w:t>
            </w:r>
          </w:p>
        </w:tc>
        <w:tc>
          <w:tcPr>
            <w:tcW w:w="1350" w:type="dxa"/>
            <w:tcBorders>
              <w:top w:val="nil"/>
              <w:left w:val="nil"/>
              <w:right w:val="nil"/>
            </w:tcBorders>
            <w:shd w:val="clear" w:color="auto" w:fill="auto"/>
            <w:noWrap/>
            <w:vAlign w:val="bottom"/>
            <w:hideMark/>
          </w:tcPr>
          <w:p w:rsidR="00F43E92" w:rsidRPr="00D534CA" w:rsidRDefault="00F43E92">
            <w:pPr>
              <w:jc w:val="center"/>
              <w:rPr>
                <w:color w:val="000000"/>
              </w:rPr>
            </w:pPr>
            <w:r w:rsidRPr="00D534CA">
              <w:rPr>
                <w:color w:val="000000"/>
              </w:rPr>
              <w:t>6.73</w:t>
            </w:r>
          </w:p>
        </w:tc>
        <w:tc>
          <w:tcPr>
            <w:tcW w:w="746" w:type="dxa"/>
            <w:tcBorders>
              <w:top w:val="nil"/>
              <w:left w:val="nil"/>
              <w:right w:val="nil"/>
            </w:tcBorders>
            <w:shd w:val="clear" w:color="auto" w:fill="auto"/>
            <w:noWrap/>
            <w:vAlign w:val="bottom"/>
            <w:hideMark/>
          </w:tcPr>
          <w:p w:rsidR="00F43E92" w:rsidRPr="00D534CA" w:rsidRDefault="00F43E92">
            <w:pPr>
              <w:jc w:val="center"/>
              <w:rPr>
                <w:color w:val="000000"/>
              </w:rPr>
            </w:pPr>
            <w:r w:rsidRPr="00D534CA">
              <w:rPr>
                <w:color w:val="000000"/>
              </w:rPr>
              <w:t>3.02</w:t>
            </w:r>
          </w:p>
        </w:tc>
      </w:tr>
      <w:tr w:rsidR="004752BF" w:rsidRPr="00D534CA" w:rsidTr="004752BF">
        <w:trPr>
          <w:trHeight w:val="330"/>
        </w:trPr>
        <w:tc>
          <w:tcPr>
            <w:tcW w:w="790" w:type="dxa"/>
            <w:tcBorders>
              <w:top w:val="nil"/>
              <w:left w:val="nil"/>
              <w:right w:val="nil"/>
            </w:tcBorders>
            <w:shd w:val="clear" w:color="auto" w:fill="auto"/>
            <w:noWrap/>
            <w:vAlign w:val="center"/>
            <w:hideMark/>
          </w:tcPr>
          <w:p w:rsidR="004752BF" w:rsidRPr="00D534CA" w:rsidRDefault="004752BF" w:rsidP="00BF3608">
            <w:pPr>
              <w:jc w:val="center"/>
              <w:rPr>
                <w:color w:val="000000"/>
              </w:rPr>
            </w:pPr>
            <w:r w:rsidRPr="00D534CA">
              <w:rPr>
                <w:color w:val="000000"/>
              </w:rPr>
              <w:t>9</w:t>
            </w:r>
          </w:p>
        </w:tc>
        <w:tc>
          <w:tcPr>
            <w:tcW w:w="5075" w:type="dxa"/>
            <w:tcBorders>
              <w:top w:val="nil"/>
              <w:left w:val="nil"/>
              <w:right w:val="nil"/>
            </w:tcBorders>
            <w:shd w:val="clear" w:color="auto" w:fill="auto"/>
            <w:hideMark/>
          </w:tcPr>
          <w:p w:rsidR="004752BF" w:rsidRPr="00D534CA" w:rsidRDefault="004752BF" w:rsidP="00BF3608">
            <w:pPr>
              <w:rPr>
                <w:color w:val="000000"/>
              </w:rPr>
            </w:pPr>
            <w:r w:rsidRPr="00D534CA">
              <w:rPr>
                <w:color w:val="000000"/>
              </w:rPr>
              <w:t xml:space="preserve">Livestock Facilities </w:t>
            </w:r>
            <w:r w:rsidRPr="00D534CA">
              <w:rPr>
                <w:i/>
                <w:iCs/>
                <w:color w:val="000000"/>
              </w:rPr>
              <w:t>(n = 43 to 47)</w:t>
            </w:r>
          </w:p>
        </w:tc>
        <w:tc>
          <w:tcPr>
            <w:tcW w:w="72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2.83</w:t>
            </w:r>
          </w:p>
        </w:tc>
        <w:tc>
          <w:tcPr>
            <w:tcW w:w="72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6.81</w:t>
            </w:r>
          </w:p>
        </w:tc>
        <w:tc>
          <w:tcPr>
            <w:tcW w:w="135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4.81</w:t>
            </w:r>
          </w:p>
        </w:tc>
        <w:tc>
          <w:tcPr>
            <w:tcW w:w="746"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3.91</w:t>
            </w:r>
          </w:p>
        </w:tc>
      </w:tr>
      <w:tr w:rsidR="004752BF" w:rsidRPr="00D534CA" w:rsidTr="00BF3608">
        <w:trPr>
          <w:trHeight w:val="315"/>
        </w:trPr>
        <w:tc>
          <w:tcPr>
            <w:tcW w:w="790" w:type="dxa"/>
            <w:tcBorders>
              <w:top w:val="nil"/>
              <w:left w:val="nil"/>
              <w:bottom w:val="nil"/>
              <w:right w:val="nil"/>
            </w:tcBorders>
            <w:shd w:val="clear" w:color="auto" w:fill="auto"/>
            <w:noWrap/>
            <w:vAlign w:val="center"/>
            <w:hideMark/>
          </w:tcPr>
          <w:p w:rsidR="004752BF" w:rsidRPr="00D534CA" w:rsidRDefault="004752BF" w:rsidP="00BF3608">
            <w:pPr>
              <w:jc w:val="center"/>
              <w:rPr>
                <w:color w:val="000000"/>
              </w:rPr>
            </w:pPr>
            <w:r w:rsidRPr="00D534CA">
              <w:rPr>
                <w:color w:val="000000"/>
              </w:rPr>
              <w:t>15</w:t>
            </w:r>
          </w:p>
        </w:tc>
        <w:tc>
          <w:tcPr>
            <w:tcW w:w="5075" w:type="dxa"/>
            <w:tcBorders>
              <w:top w:val="nil"/>
              <w:left w:val="nil"/>
              <w:bottom w:val="nil"/>
              <w:right w:val="nil"/>
            </w:tcBorders>
            <w:shd w:val="clear" w:color="auto" w:fill="auto"/>
            <w:hideMark/>
          </w:tcPr>
          <w:p w:rsidR="004752BF" w:rsidRPr="00D534CA" w:rsidRDefault="004752BF" w:rsidP="00BF3608">
            <w:pPr>
              <w:rPr>
                <w:color w:val="000000"/>
              </w:rPr>
            </w:pPr>
            <w:r w:rsidRPr="00D534CA">
              <w:rPr>
                <w:color w:val="000000"/>
              </w:rPr>
              <w:t xml:space="preserve">Farm Buildings </w:t>
            </w:r>
            <w:r w:rsidRPr="00D534CA">
              <w:rPr>
                <w:i/>
                <w:iCs/>
                <w:color w:val="000000"/>
              </w:rPr>
              <w:t>(n = 63 to 65)</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2.29</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8.52</w:t>
            </w:r>
          </w:p>
        </w:tc>
        <w:tc>
          <w:tcPr>
            <w:tcW w:w="135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4.72</w:t>
            </w:r>
          </w:p>
        </w:tc>
        <w:tc>
          <w:tcPr>
            <w:tcW w:w="746"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3.56</w:t>
            </w:r>
          </w:p>
        </w:tc>
      </w:tr>
      <w:tr w:rsidR="004752BF" w:rsidRPr="00D534CA" w:rsidTr="00BF3608">
        <w:trPr>
          <w:trHeight w:val="315"/>
        </w:trPr>
        <w:tc>
          <w:tcPr>
            <w:tcW w:w="790" w:type="dxa"/>
            <w:tcBorders>
              <w:top w:val="nil"/>
              <w:left w:val="nil"/>
              <w:bottom w:val="nil"/>
              <w:right w:val="nil"/>
            </w:tcBorders>
            <w:shd w:val="clear" w:color="auto" w:fill="auto"/>
            <w:noWrap/>
            <w:vAlign w:val="center"/>
            <w:hideMark/>
          </w:tcPr>
          <w:p w:rsidR="004752BF" w:rsidRPr="00D534CA" w:rsidRDefault="004752BF" w:rsidP="00BF3608">
            <w:pPr>
              <w:jc w:val="center"/>
              <w:rPr>
                <w:color w:val="000000"/>
              </w:rPr>
            </w:pPr>
            <w:r w:rsidRPr="00D534CA">
              <w:rPr>
                <w:color w:val="000000"/>
              </w:rPr>
              <w:t>11</w:t>
            </w:r>
          </w:p>
        </w:tc>
        <w:tc>
          <w:tcPr>
            <w:tcW w:w="5075" w:type="dxa"/>
            <w:tcBorders>
              <w:top w:val="nil"/>
              <w:left w:val="nil"/>
              <w:bottom w:val="nil"/>
              <w:right w:val="nil"/>
            </w:tcBorders>
            <w:shd w:val="clear" w:color="auto" w:fill="auto"/>
            <w:hideMark/>
          </w:tcPr>
          <w:p w:rsidR="004752BF" w:rsidRPr="00D534CA" w:rsidRDefault="004752BF" w:rsidP="00BF3608">
            <w:pPr>
              <w:rPr>
                <w:color w:val="000000"/>
              </w:rPr>
            </w:pPr>
            <w:r w:rsidRPr="00D534CA">
              <w:rPr>
                <w:color w:val="000000"/>
              </w:rPr>
              <w:t>Chemical Storage</w:t>
            </w:r>
            <w:r w:rsidRPr="00D534CA">
              <w:rPr>
                <w:i/>
                <w:iCs/>
                <w:color w:val="000000"/>
              </w:rPr>
              <w:t xml:space="preserve"> (n = 48 to 50)</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2.12</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6.64</w:t>
            </w:r>
          </w:p>
        </w:tc>
        <w:tc>
          <w:tcPr>
            <w:tcW w:w="135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4.66</w:t>
            </w:r>
          </w:p>
        </w:tc>
        <w:tc>
          <w:tcPr>
            <w:tcW w:w="746"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3.89</w:t>
            </w:r>
          </w:p>
        </w:tc>
      </w:tr>
      <w:tr w:rsidR="004752BF" w:rsidRPr="00D534CA" w:rsidTr="00BF3608">
        <w:trPr>
          <w:trHeight w:val="315"/>
        </w:trPr>
        <w:tc>
          <w:tcPr>
            <w:tcW w:w="790" w:type="dxa"/>
            <w:tcBorders>
              <w:top w:val="nil"/>
              <w:left w:val="nil"/>
              <w:bottom w:val="nil"/>
              <w:right w:val="nil"/>
            </w:tcBorders>
            <w:shd w:val="clear" w:color="auto" w:fill="auto"/>
            <w:noWrap/>
            <w:vAlign w:val="center"/>
            <w:hideMark/>
          </w:tcPr>
          <w:p w:rsidR="004752BF" w:rsidRPr="00D534CA" w:rsidRDefault="004752BF" w:rsidP="00BF3608">
            <w:pPr>
              <w:jc w:val="center"/>
              <w:rPr>
                <w:color w:val="000000"/>
              </w:rPr>
            </w:pPr>
            <w:r w:rsidRPr="00D534CA">
              <w:rPr>
                <w:color w:val="000000"/>
              </w:rPr>
              <w:t>19</w:t>
            </w:r>
          </w:p>
        </w:tc>
        <w:tc>
          <w:tcPr>
            <w:tcW w:w="5075" w:type="dxa"/>
            <w:tcBorders>
              <w:top w:val="nil"/>
              <w:left w:val="nil"/>
              <w:bottom w:val="nil"/>
              <w:right w:val="nil"/>
            </w:tcBorders>
            <w:shd w:val="clear" w:color="auto" w:fill="auto"/>
            <w:hideMark/>
          </w:tcPr>
          <w:p w:rsidR="004752BF" w:rsidRPr="00D534CA" w:rsidRDefault="004752BF" w:rsidP="00BF3608">
            <w:pPr>
              <w:rPr>
                <w:color w:val="000000"/>
              </w:rPr>
            </w:pPr>
            <w:r w:rsidRPr="00D534CA">
              <w:rPr>
                <w:color w:val="000000"/>
              </w:rPr>
              <w:t xml:space="preserve">Tractor Safety </w:t>
            </w:r>
            <w:r w:rsidRPr="00D534CA">
              <w:rPr>
                <w:i/>
                <w:iCs/>
                <w:color w:val="000000"/>
              </w:rPr>
              <w:t>(n = 43 to 47)</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2.79</w:t>
            </w:r>
          </w:p>
        </w:tc>
        <w:tc>
          <w:tcPr>
            <w:tcW w:w="72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5.64</w:t>
            </w:r>
          </w:p>
        </w:tc>
        <w:tc>
          <w:tcPr>
            <w:tcW w:w="1350"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4.55</w:t>
            </w:r>
          </w:p>
        </w:tc>
        <w:tc>
          <w:tcPr>
            <w:tcW w:w="746" w:type="dxa"/>
            <w:tcBorders>
              <w:top w:val="nil"/>
              <w:left w:val="nil"/>
              <w:bottom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4.42</w:t>
            </w:r>
          </w:p>
        </w:tc>
      </w:tr>
      <w:tr w:rsidR="004752BF" w:rsidRPr="00D534CA" w:rsidTr="004752BF">
        <w:trPr>
          <w:trHeight w:val="300"/>
        </w:trPr>
        <w:tc>
          <w:tcPr>
            <w:tcW w:w="790" w:type="dxa"/>
            <w:tcBorders>
              <w:top w:val="nil"/>
              <w:left w:val="nil"/>
              <w:right w:val="nil"/>
            </w:tcBorders>
            <w:shd w:val="clear" w:color="auto" w:fill="auto"/>
            <w:noWrap/>
            <w:vAlign w:val="center"/>
            <w:hideMark/>
          </w:tcPr>
          <w:p w:rsidR="004752BF" w:rsidRPr="00D534CA" w:rsidRDefault="004752BF" w:rsidP="00BF3608">
            <w:pPr>
              <w:jc w:val="center"/>
              <w:rPr>
                <w:color w:val="000000"/>
              </w:rPr>
            </w:pPr>
            <w:r w:rsidRPr="00D534CA">
              <w:rPr>
                <w:color w:val="000000"/>
              </w:rPr>
              <w:t>17</w:t>
            </w:r>
          </w:p>
        </w:tc>
        <w:tc>
          <w:tcPr>
            <w:tcW w:w="5075" w:type="dxa"/>
            <w:tcBorders>
              <w:top w:val="nil"/>
              <w:left w:val="nil"/>
              <w:right w:val="nil"/>
            </w:tcBorders>
            <w:shd w:val="clear" w:color="auto" w:fill="auto"/>
            <w:hideMark/>
          </w:tcPr>
          <w:p w:rsidR="004752BF" w:rsidRPr="00D534CA" w:rsidRDefault="004752BF" w:rsidP="00BF3608">
            <w:pPr>
              <w:rPr>
                <w:color w:val="000000"/>
              </w:rPr>
            </w:pPr>
            <w:r w:rsidRPr="00D534CA">
              <w:rPr>
                <w:color w:val="000000"/>
              </w:rPr>
              <w:t xml:space="preserve">Equipment &amp; Machinery </w:t>
            </w:r>
            <w:r w:rsidRPr="00D534CA">
              <w:rPr>
                <w:i/>
                <w:iCs/>
                <w:color w:val="000000"/>
              </w:rPr>
              <w:t>(n = 42 to 45)</w:t>
            </w:r>
          </w:p>
        </w:tc>
        <w:tc>
          <w:tcPr>
            <w:tcW w:w="72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2.26</w:t>
            </w:r>
          </w:p>
        </w:tc>
        <w:tc>
          <w:tcPr>
            <w:tcW w:w="72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7.33</w:t>
            </w:r>
          </w:p>
        </w:tc>
        <w:tc>
          <w:tcPr>
            <w:tcW w:w="1350"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4.32</w:t>
            </w:r>
          </w:p>
        </w:tc>
        <w:tc>
          <w:tcPr>
            <w:tcW w:w="746" w:type="dxa"/>
            <w:tcBorders>
              <w:top w:val="nil"/>
              <w:left w:val="nil"/>
              <w:right w:val="nil"/>
            </w:tcBorders>
            <w:shd w:val="clear" w:color="auto" w:fill="auto"/>
            <w:noWrap/>
            <w:vAlign w:val="bottom"/>
            <w:hideMark/>
          </w:tcPr>
          <w:p w:rsidR="004752BF" w:rsidRPr="00D534CA" w:rsidRDefault="004752BF" w:rsidP="00BF3608">
            <w:pPr>
              <w:jc w:val="center"/>
              <w:rPr>
                <w:color w:val="000000"/>
              </w:rPr>
            </w:pPr>
            <w:r w:rsidRPr="00D534CA">
              <w:rPr>
                <w:color w:val="000000"/>
              </w:rPr>
              <w:t>4.01</w:t>
            </w:r>
          </w:p>
        </w:tc>
      </w:tr>
      <w:tr w:rsidR="00F43E92" w:rsidRPr="00D534CA" w:rsidTr="004752BF">
        <w:trPr>
          <w:trHeight w:val="315"/>
        </w:trPr>
        <w:tc>
          <w:tcPr>
            <w:tcW w:w="790" w:type="dxa"/>
            <w:tcBorders>
              <w:top w:val="nil"/>
              <w:left w:val="nil"/>
              <w:bottom w:val="single" w:sz="4" w:space="0" w:color="auto"/>
              <w:right w:val="nil"/>
            </w:tcBorders>
            <w:shd w:val="clear" w:color="auto" w:fill="auto"/>
            <w:noWrap/>
            <w:vAlign w:val="center"/>
            <w:hideMark/>
          </w:tcPr>
          <w:p w:rsidR="00F43E92" w:rsidRPr="00D534CA" w:rsidRDefault="00F43E92">
            <w:pPr>
              <w:jc w:val="center"/>
              <w:rPr>
                <w:color w:val="000000"/>
              </w:rPr>
            </w:pPr>
            <w:r w:rsidRPr="00D534CA">
              <w:rPr>
                <w:color w:val="000000"/>
              </w:rPr>
              <w:t>6</w:t>
            </w:r>
          </w:p>
        </w:tc>
        <w:tc>
          <w:tcPr>
            <w:tcW w:w="5075" w:type="dxa"/>
            <w:tcBorders>
              <w:top w:val="nil"/>
              <w:left w:val="nil"/>
              <w:bottom w:val="single" w:sz="4" w:space="0" w:color="auto"/>
              <w:right w:val="nil"/>
            </w:tcBorders>
            <w:shd w:val="clear" w:color="auto" w:fill="auto"/>
            <w:hideMark/>
          </w:tcPr>
          <w:p w:rsidR="00F43E92" w:rsidRPr="00D534CA" w:rsidRDefault="00F43E92">
            <w:pPr>
              <w:rPr>
                <w:color w:val="000000"/>
              </w:rPr>
            </w:pPr>
            <w:r w:rsidRPr="00D534CA">
              <w:rPr>
                <w:color w:val="000000"/>
              </w:rPr>
              <w:t xml:space="preserve">Crop Storage </w:t>
            </w:r>
            <w:r w:rsidRPr="00D534CA">
              <w:rPr>
                <w:i/>
                <w:iCs/>
                <w:color w:val="000000"/>
              </w:rPr>
              <w:t>(n = 56 to 57)</w:t>
            </w:r>
          </w:p>
        </w:tc>
        <w:tc>
          <w:tcPr>
            <w:tcW w:w="720" w:type="dxa"/>
            <w:tcBorders>
              <w:top w:val="nil"/>
              <w:left w:val="nil"/>
              <w:bottom w:val="single" w:sz="4" w:space="0" w:color="auto"/>
              <w:right w:val="nil"/>
            </w:tcBorders>
            <w:shd w:val="clear" w:color="auto" w:fill="auto"/>
            <w:noWrap/>
            <w:vAlign w:val="bottom"/>
            <w:hideMark/>
          </w:tcPr>
          <w:p w:rsidR="00F43E92" w:rsidRPr="00D534CA" w:rsidRDefault="00F43E92">
            <w:pPr>
              <w:jc w:val="center"/>
              <w:rPr>
                <w:color w:val="000000"/>
              </w:rPr>
            </w:pPr>
            <w:r w:rsidRPr="00D534CA">
              <w:rPr>
                <w:color w:val="000000"/>
              </w:rPr>
              <w:t>1.74</w:t>
            </w:r>
          </w:p>
        </w:tc>
        <w:tc>
          <w:tcPr>
            <w:tcW w:w="720" w:type="dxa"/>
            <w:tcBorders>
              <w:top w:val="nil"/>
              <w:left w:val="nil"/>
              <w:bottom w:val="single" w:sz="4" w:space="0" w:color="auto"/>
              <w:right w:val="nil"/>
            </w:tcBorders>
            <w:shd w:val="clear" w:color="auto" w:fill="auto"/>
            <w:noWrap/>
            <w:vAlign w:val="bottom"/>
            <w:hideMark/>
          </w:tcPr>
          <w:p w:rsidR="00F43E92" w:rsidRPr="00D534CA" w:rsidRDefault="00F43E92">
            <w:pPr>
              <w:jc w:val="center"/>
              <w:rPr>
                <w:color w:val="000000"/>
              </w:rPr>
            </w:pPr>
            <w:r w:rsidRPr="00D534CA">
              <w:rPr>
                <w:color w:val="000000"/>
              </w:rPr>
              <w:t>2.89</w:t>
            </w:r>
          </w:p>
        </w:tc>
        <w:tc>
          <w:tcPr>
            <w:tcW w:w="1350" w:type="dxa"/>
            <w:tcBorders>
              <w:top w:val="nil"/>
              <w:left w:val="nil"/>
              <w:bottom w:val="single" w:sz="4" w:space="0" w:color="auto"/>
              <w:right w:val="nil"/>
            </w:tcBorders>
            <w:shd w:val="clear" w:color="auto" w:fill="auto"/>
            <w:noWrap/>
            <w:vAlign w:val="bottom"/>
            <w:hideMark/>
          </w:tcPr>
          <w:p w:rsidR="00F43E92" w:rsidRPr="00D534CA" w:rsidRDefault="00F43E92">
            <w:pPr>
              <w:jc w:val="center"/>
              <w:rPr>
                <w:color w:val="000000"/>
              </w:rPr>
            </w:pPr>
            <w:r w:rsidRPr="00D534CA">
              <w:rPr>
                <w:color w:val="000000"/>
              </w:rPr>
              <w:t>2.42</w:t>
            </w:r>
          </w:p>
        </w:tc>
        <w:tc>
          <w:tcPr>
            <w:tcW w:w="746" w:type="dxa"/>
            <w:tcBorders>
              <w:top w:val="nil"/>
              <w:left w:val="nil"/>
              <w:bottom w:val="single" w:sz="4" w:space="0" w:color="auto"/>
              <w:right w:val="nil"/>
            </w:tcBorders>
            <w:shd w:val="clear" w:color="auto" w:fill="auto"/>
            <w:noWrap/>
            <w:vAlign w:val="bottom"/>
            <w:hideMark/>
          </w:tcPr>
          <w:p w:rsidR="00F43E92" w:rsidRPr="00D534CA" w:rsidRDefault="00F43E92">
            <w:pPr>
              <w:jc w:val="center"/>
              <w:rPr>
                <w:color w:val="000000"/>
              </w:rPr>
            </w:pPr>
            <w:r w:rsidRPr="00D534CA">
              <w:rPr>
                <w:color w:val="000000"/>
              </w:rPr>
              <w:t>2.82</w:t>
            </w:r>
          </w:p>
        </w:tc>
      </w:tr>
      <w:tr w:rsidR="00F43E92" w:rsidRPr="00D534CA" w:rsidTr="004752BF">
        <w:trPr>
          <w:trHeight w:val="315"/>
        </w:trPr>
        <w:tc>
          <w:tcPr>
            <w:tcW w:w="790" w:type="dxa"/>
            <w:tcBorders>
              <w:top w:val="single" w:sz="4" w:space="0" w:color="auto"/>
              <w:left w:val="nil"/>
              <w:bottom w:val="nil"/>
              <w:right w:val="nil"/>
            </w:tcBorders>
            <w:shd w:val="clear" w:color="auto" w:fill="auto"/>
            <w:noWrap/>
            <w:vAlign w:val="center"/>
            <w:hideMark/>
          </w:tcPr>
          <w:p w:rsidR="00F43E92" w:rsidRPr="00D534CA" w:rsidRDefault="00F43E92">
            <w:pPr>
              <w:jc w:val="center"/>
              <w:rPr>
                <w:color w:val="000000"/>
              </w:rPr>
            </w:pPr>
            <w:r w:rsidRPr="00D534CA">
              <w:rPr>
                <w:color w:val="000000"/>
              </w:rPr>
              <w:t>97</w:t>
            </w:r>
          </w:p>
        </w:tc>
        <w:tc>
          <w:tcPr>
            <w:tcW w:w="5075" w:type="dxa"/>
            <w:tcBorders>
              <w:top w:val="single" w:sz="4" w:space="0" w:color="auto"/>
              <w:left w:val="nil"/>
              <w:bottom w:val="nil"/>
              <w:right w:val="nil"/>
            </w:tcBorders>
            <w:shd w:val="clear" w:color="auto" w:fill="auto"/>
            <w:hideMark/>
          </w:tcPr>
          <w:p w:rsidR="00F43E92" w:rsidRPr="00D534CA" w:rsidRDefault="00F43E92">
            <w:pPr>
              <w:jc w:val="right"/>
              <w:rPr>
                <w:color w:val="000000"/>
              </w:rPr>
            </w:pPr>
            <w:r w:rsidRPr="00D534CA">
              <w:rPr>
                <w:color w:val="000000"/>
              </w:rPr>
              <w:t>TOTALS</w:t>
            </w:r>
          </w:p>
        </w:tc>
        <w:tc>
          <w:tcPr>
            <w:tcW w:w="720" w:type="dxa"/>
            <w:tcBorders>
              <w:top w:val="single" w:sz="4" w:space="0" w:color="auto"/>
              <w:left w:val="nil"/>
              <w:bottom w:val="nil"/>
              <w:right w:val="nil"/>
            </w:tcBorders>
            <w:shd w:val="clear" w:color="auto" w:fill="auto"/>
            <w:noWrap/>
            <w:vAlign w:val="bottom"/>
            <w:hideMark/>
          </w:tcPr>
          <w:p w:rsidR="00F43E92" w:rsidRPr="00D534CA" w:rsidRDefault="00F43E92">
            <w:pPr>
              <w:jc w:val="center"/>
              <w:rPr>
                <w:color w:val="000000"/>
              </w:rPr>
            </w:pPr>
          </w:p>
        </w:tc>
        <w:tc>
          <w:tcPr>
            <w:tcW w:w="720" w:type="dxa"/>
            <w:tcBorders>
              <w:top w:val="single" w:sz="4" w:space="0" w:color="auto"/>
              <w:left w:val="nil"/>
              <w:bottom w:val="nil"/>
              <w:right w:val="nil"/>
            </w:tcBorders>
            <w:shd w:val="clear" w:color="auto" w:fill="auto"/>
            <w:noWrap/>
            <w:vAlign w:val="bottom"/>
            <w:hideMark/>
          </w:tcPr>
          <w:p w:rsidR="00F43E92" w:rsidRPr="00D534CA" w:rsidRDefault="00F43E92">
            <w:pPr>
              <w:jc w:val="center"/>
              <w:rPr>
                <w:color w:val="000000"/>
              </w:rPr>
            </w:pPr>
          </w:p>
        </w:tc>
        <w:tc>
          <w:tcPr>
            <w:tcW w:w="1350" w:type="dxa"/>
            <w:tcBorders>
              <w:top w:val="single" w:sz="4" w:space="0" w:color="auto"/>
              <w:left w:val="nil"/>
              <w:bottom w:val="nil"/>
              <w:right w:val="nil"/>
            </w:tcBorders>
            <w:shd w:val="clear" w:color="auto" w:fill="auto"/>
            <w:noWrap/>
            <w:vAlign w:val="bottom"/>
            <w:hideMark/>
          </w:tcPr>
          <w:p w:rsidR="00F43E92" w:rsidRPr="00D534CA" w:rsidRDefault="00F43E92">
            <w:pPr>
              <w:jc w:val="center"/>
              <w:rPr>
                <w:color w:val="000000"/>
              </w:rPr>
            </w:pPr>
            <w:r w:rsidRPr="00D534CA">
              <w:rPr>
                <w:color w:val="000000"/>
              </w:rPr>
              <w:t>4.60</w:t>
            </w:r>
          </w:p>
        </w:tc>
        <w:tc>
          <w:tcPr>
            <w:tcW w:w="746" w:type="dxa"/>
            <w:tcBorders>
              <w:top w:val="single" w:sz="4" w:space="0" w:color="auto"/>
              <w:left w:val="nil"/>
              <w:bottom w:val="nil"/>
              <w:right w:val="nil"/>
            </w:tcBorders>
            <w:shd w:val="clear" w:color="auto" w:fill="auto"/>
            <w:noWrap/>
            <w:vAlign w:val="bottom"/>
            <w:hideMark/>
          </w:tcPr>
          <w:p w:rsidR="00F43E92" w:rsidRPr="00D534CA" w:rsidRDefault="00F43E92">
            <w:pPr>
              <w:jc w:val="center"/>
              <w:rPr>
                <w:color w:val="000000"/>
              </w:rPr>
            </w:pPr>
            <w:r w:rsidRPr="00D534CA">
              <w:rPr>
                <w:color w:val="000000"/>
              </w:rPr>
              <w:t>3.66</w:t>
            </w:r>
          </w:p>
        </w:tc>
      </w:tr>
      <w:tr w:rsidR="00F43E92" w:rsidRPr="00D534CA" w:rsidTr="00F43E92">
        <w:trPr>
          <w:trHeight w:val="315"/>
        </w:trPr>
        <w:tc>
          <w:tcPr>
            <w:tcW w:w="9401" w:type="dxa"/>
            <w:gridSpan w:val="6"/>
            <w:tcBorders>
              <w:top w:val="single" w:sz="4" w:space="0" w:color="auto"/>
              <w:left w:val="nil"/>
              <w:bottom w:val="nil"/>
              <w:right w:val="nil"/>
            </w:tcBorders>
            <w:shd w:val="clear" w:color="auto" w:fill="auto"/>
            <w:noWrap/>
            <w:vAlign w:val="center"/>
            <w:hideMark/>
          </w:tcPr>
          <w:p w:rsidR="00F43E92" w:rsidRPr="00D534CA" w:rsidRDefault="00F43E92">
            <w:pPr>
              <w:rPr>
                <w:color w:val="000000"/>
              </w:rPr>
            </w:pPr>
            <w:r w:rsidRPr="00D534CA">
              <w:rPr>
                <w:color w:val="000000"/>
              </w:rPr>
              <w:t>Note:  (Scale: 0=none ; 10=Fully)</w:t>
            </w:r>
          </w:p>
        </w:tc>
      </w:tr>
    </w:tbl>
    <w:p w:rsidR="00801E8D" w:rsidRPr="00D534CA" w:rsidRDefault="00801E8D" w:rsidP="00801E8D">
      <w:pPr>
        <w:autoSpaceDE w:val="0"/>
        <w:autoSpaceDN w:val="0"/>
        <w:adjustRightInd w:val="0"/>
      </w:pPr>
    </w:p>
    <w:p w:rsidR="009E0905" w:rsidRPr="00D534CA" w:rsidRDefault="009E0905" w:rsidP="00023B52">
      <w:pPr>
        <w:autoSpaceDE w:val="0"/>
        <w:autoSpaceDN w:val="0"/>
        <w:adjustRightInd w:val="0"/>
        <w:spacing w:after="240"/>
        <w:rPr>
          <w:b/>
        </w:rPr>
      </w:pPr>
      <w:r w:rsidRPr="00D534CA">
        <w:rPr>
          <w:b/>
        </w:rPr>
        <w:t>Conclusions</w:t>
      </w:r>
    </w:p>
    <w:p w:rsidR="009E0905" w:rsidRPr="00D534CA" w:rsidRDefault="00B215A9" w:rsidP="00023B52">
      <w:pPr>
        <w:autoSpaceDE w:val="0"/>
        <w:autoSpaceDN w:val="0"/>
        <w:adjustRightInd w:val="0"/>
        <w:spacing w:after="240"/>
        <w:ind w:firstLine="720"/>
      </w:pPr>
      <w:r w:rsidRPr="00D534CA">
        <w:t xml:space="preserve">Teachers indicate they train their students in overall </w:t>
      </w:r>
      <w:proofErr w:type="gramStart"/>
      <w:r w:rsidRPr="00D534CA">
        <w:t>ag</w:t>
      </w:r>
      <w:proofErr w:type="gramEnd"/>
      <w:r w:rsidRPr="00D534CA">
        <w:t xml:space="preserve"> safety and health. In the areas of livestock facilities, farm buildings, chemical storage, tractor safety, and equipment &amp; machinery, students were trained much less. Crop storage was by far the lowest level of training, indicating they</w:t>
      </w:r>
      <w:r w:rsidR="00023B52" w:rsidRPr="00D534CA">
        <w:t xml:space="preserve"> are not</w:t>
      </w:r>
      <w:r w:rsidR="009E0905" w:rsidRPr="00D534CA">
        <w:t xml:space="preserve"> fully </w:t>
      </w:r>
      <w:r w:rsidRPr="00D534CA">
        <w:t>training their students</w:t>
      </w:r>
      <w:r w:rsidR="009E0905" w:rsidRPr="00D534CA">
        <w:t xml:space="preserve"> in safety and health. Further, there are very low scoring items in all seven safety areas which indicate specific needs for professional development</w:t>
      </w:r>
      <w:r w:rsidRPr="00D534CA">
        <w:t xml:space="preserve"> to best serve their students</w:t>
      </w:r>
      <w:r w:rsidR="009E0905" w:rsidRPr="00D534CA">
        <w:t xml:space="preserve">. Because none of the summated means are near the “fully” trained end of the spectrum, no item should be overlooked for professional development opportunities. </w:t>
      </w:r>
    </w:p>
    <w:p w:rsidR="009E0905" w:rsidRPr="00D534CA" w:rsidRDefault="009E0905" w:rsidP="00023B52">
      <w:pPr>
        <w:autoSpaceDE w:val="0"/>
        <w:autoSpaceDN w:val="0"/>
        <w:adjustRightInd w:val="0"/>
        <w:spacing w:after="240"/>
        <w:rPr>
          <w:b/>
        </w:rPr>
      </w:pPr>
      <w:r w:rsidRPr="00D534CA">
        <w:rPr>
          <w:b/>
        </w:rPr>
        <w:t>Implications/Recommendations/Impact on Profession</w:t>
      </w:r>
    </w:p>
    <w:p w:rsidR="009E0905" w:rsidRPr="00D534CA" w:rsidRDefault="00EA361F" w:rsidP="00A64F41">
      <w:pPr>
        <w:autoSpaceDE w:val="0"/>
        <w:autoSpaceDN w:val="0"/>
        <w:adjustRightInd w:val="0"/>
      </w:pPr>
      <w:r w:rsidRPr="00D534CA">
        <w:rPr>
          <w:b/>
        </w:rPr>
        <w:tab/>
      </w:r>
      <w:r w:rsidR="009E0905" w:rsidRPr="00D534CA">
        <w:t xml:space="preserve">Most high school agriculture programs have school farms and expansive facilities that attempt to mirror the agriculture industry. We have the opportunity to train secondary teachers to best prepare all of their students to be safe and healthy employees and business owners/operators across [state] and the west. This research is a part of a larger project to identity holes in training, while utilizing the school facilities and their very capable teachers to strengthen the experience for their students. Perhaps we can develop an agricultural safety and health certification program, similar to others across the nation (Ortega, </w:t>
      </w:r>
      <w:r w:rsidR="00023B52" w:rsidRPr="00D534CA">
        <w:t xml:space="preserve">Tormoehlen, Field, Balschweid, </w:t>
      </w:r>
      <w:r w:rsidR="00023B52" w:rsidRPr="00D534CA">
        <w:t xml:space="preserve">&amp; Machtmes, </w:t>
      </w:r>
      <w:r w:rsidR="00023B52" w:rsidRPr="00D534CA">
        <w:t>2002).</w:t>
      </w:r>
      <w:r w:rsidR="00023B52" w:rsidRPr="00D534CA">
        <w:t xml:space="preserve"> </w:t>
      </w:r>
      <w:r w:rsidR="009E0905" w:rsidRPr="00D534CA">
        <w:t>Further efforts will be made to ensure the program is effective (Carrabba</w:t>
      </w:r>
      <w:r w:rsidR="00023B52" w:rsidRPr="00D534CA">
        <w:t>, Talbert, Field, &amp; Tormoehlen</w:t>
      </w:r>
      <w:r w:rsidR="009E0905" w:rsidRPr="00D534CA">
        <w:t>, 2001).</w:t>
      </w:r>
    </w:p>
    <w:p w:rsidR="002661EE" w:rsidRPr="00D534CA" w:rsidRDefault="009E0905" w:rsidP="00A64F41">
      <w:pPr>
        <w:ind w:firstLine="720"/>
      </w:pPr>
      <w:r w:rsidRPr="00D534CA">
        <w:t>A long range goal is to not only improve safety and health practices on the school farms and laboratories, but to impact the agriculture industry by supplying safe and health conscious employees, owners, and leaders.</w:t>
      </w:r>
      <w:r w:rsidR="002661EE" w:rsidRPr="00D534CA">
        <w:rPr>
          <w:b/>
          <w:highlight w:val="yellow"/>
        </w:rPr>
        <w:br w:type="page"/>
      </w:r>
    </w:p>
    <w:p w:rsidR="009E0905" w:rsidRPr="00D534CA" w:rsidRDefault="009E0905" w:rsidP="009E0905">
      <w:pPr>
        <w:ind w:left="576" w:hanging="576"/>
        <w:jc w:val="center"/>
        <w:rPr>
          <w:b/>
        </w:rPr>
      </w:pPr>
      <w:r w:rsidRPr="00D534CA">
        <w:rPr>
          <w:b/>
        </w:rPr>
        <w:lastRenderedPageBreak/>
        <w:t>References</w:t>
      </w:r>
    </w:p>
    <w:p w:rsidR="009E0905" w:rsidRPr="00D534CA" w:rsidRDefault="009E0905" w:rsidP="009E0905">
      <w:pPr>
        <w:rPr>
          <w:rFonts w:eastAsia="Calibri"/>
          <w:b/>
        </w:rPr>
      </w:pPr>
    </w:p>
    <w:p w:rsidR="009E0905" w:rsidRPr="00D534CA" w:rsidRDefault="009E0905" w:rsidP="009E0905">
      <w:pPr>
        <w:ind w:left="720" w:hanging="720"/>
        <w:rPr>
          <w:rFonts w:eastAsia="Calibri"/>
        </w:rPr>
      </w:pPr>
      <w:r w:rsidRPr="00D534CA">
        <w:rPr>
          <w:rFonts w:eastAsia="Calibri"/>
        </w:rPr>
        <w:t>[</w:t>
      </w:r>
      <w:proofErr w:type="gramStart"/>
      <w:r w:rsidRPr="00D534CA">
        <w:rPr>
          <w:rFonts w:eastAsia="Calibri"/>
        </w:rPr>
        <w:t>blank</w:t>
      </w:r>
      <w:proofErr w:type="gramEnd"/>
      <w:r w:rsidRPr="00D534CA">
        <w:rPr>
          <w:rFonts w:eastAsia="Calibri"/>
        </w:rPr>
        <w:t>] Regional Data (2012-2013 R2 Data) Found at https://[state].edu/[blank]/</w:t>
      </w:r>
    </w:p>
    <w:p w:rsidR="009E0905" w:rsidRPr="00D534CA" w:rsidRDefault="009E0905" w:rsidP="009E0905">
      <w:pPr>
        <w:pStyle w:val="Header"/>
        <w:ind w:left="720" w:hanging="720"/>
        <w:jc w:val="center"/>
      </w:pPr>
    </w:p>
    <w:p w:rsidR="009E0905" w:rsidRPr="00D534CA" w:rsidRDefault="009E0905" w:rsidP="009E0905">
      <w:pPr>
        <w:autoSpaceDE w:val="0"/>
        <w:autoSpaceDN w:val="0"/>
        <w:adjustRightInd w:val="0"/>
        <w:ind w:left="720" w:hanging="720"/>
        <w:rPr>
          <w:bCs/>
        </w:rPr>
      </w:pPr>
      <w:r w:rsidRPr="00D534CA">
        <w:rPr>
          <w:bCs/>
          <w:iCs/>
        </w:rPr>
        <w:t>Carrabba, J.J., Talbert, B.A., Field, W.E., &amp; Tormoehlen, R</w:t>
      </w:r>
      <w:proofErr w:type="gramStart"/>
      <w:r w:rsidRPr="00D534CA">
        <w:rPr>
          <w:bCs/>
          <w:iCs/>
        </w:rPr>
        <w:t>.(</w:t>
      </w:r>
      <w:proofErr w:type="gramEnd"/>
      <w:r w:rsidRPr="00D534CA">
        <w:rPr>
          <w:bCs/>
          <w:iCs/>
        </w:rPr>
        <w:t xml:space="preserve">2001). Effectiveness of the Indiana 4-H tractor program: Alumni perceptions. </w:t>
      </w:r>
      <w:r w:rsidRPr="00D534CA">
        <w:rPr>
          <w:bCs/>
          <w:i/>
          <w:iCs/>
        </w:rPr>
        <w:t>Journal of Agricultural Education, 42</w:t>
      </w:r>
      <w:r w:rsidRPr="00D534CA">
        <w:rPr>
          <w:bCs/>
          <w:iCs/>
        </w:rPr>
        <w:t xml:space="preserve"> (3) 11-20. DOI: 10.4032/jae.20013.03011</w:t>
      </w:r>
    </w:p>
    <w:p w:rsidR="009E0905" w:rsidRPr="00D534CA" w:rsidRDefault="009E0905" w:rsidP="009E0905">
      <w:pPr>
        <w:pStyle w:val="Header"/>
        <w:ind w:left="720" w:hanging="720"/>
      </w:pPr>
    </w:p>
    <w:p w:rsidR="00EA361F" w:rsidRPr="00D534CA" w:rsidRDefault="00EA361F" w:rsidP="00EA361F">
      <w:pPr>
        <w:shd w:val="clear" w:color="auto" w:fill="FFFFFF"/>
        <w:spacing w:after="240"/>
        <w:ind w:left="720" w:hanging="720"/>
        <w:rPr>
          <w:color w:val="000000"/>
        </w:rPr>
      </w:pPr>
      <w:r w:rsidRPr="00D534CA">
        <w:rPr>
          <w:color w:val="000000"/>
        </w:rPr>
        <w:t>Center for Disease Control (2014) found at http://www.cdc.gov/niosh/topics/aginjury/</w:t>
      </w:r>
    </w:p>
    <w:p w:rsidR="00EA361F" w:rsidRPr="00D534CA" w:rsidRDefault="00EA361F" w:rsidP="00EA361F">
      <w:pPr>
        <w:spacing w:after="240"/>
        <w:ind w:left="720" w:hanging="720"/>
      </w:pPr>
      <w:proofErr w:type="gramStart"/>
      <w:r w:rsidRPr="00D534CA">
        <w:t>Darling-Hammond, L. &amp; Bransford, J. (2005).</w:t>
      </w:r>
      <w:proofErr w:type="gramEnd"/>
      <w:r w:rsidRPr="00D534CA">
        <w:t xml:space="preserve"> </w:t>
      </w:r>
      <w:proofErr w:type="gramStart"/>
      <w:r w:rsidRPr="00D534CA">
        <w:rPr>
          <w:i/>
        </w:rPr>
        <w:t>Preparing teachers for a changing world</w:t>
      </w:r>
      <w:r w:rsidRPr="00D534CA">
        <w:t>.</w:t>
      </w:r>
      <w:proofErr w:type="gramEnd"/>
      <w:r w:rsidRPr="00D534CA">
        <w:t xml:space="preserve"> San Francisco, CA: Jossey</w:t>
      </w:r>
      <w:bookmarkStart w:id="0" w:name="_GoBack"/>
      <w:bookmarkEnd w:id="0"/>
      <w:r w:rsidRPr="00D534CA">
        <w:t>-Bass.</w:t>
      </w:r>
    </w:p>
    <w:p w:rsidR="009E0905" w:rsidRPr="00D534CA" w:rsidRDefault="009E0905" w:rsidP="009E0905">
      <w:pPr>
        <w:pStyle w:val="Header"/>
        <w:ind w:left="720" w:hanging="720"/>
      </w:pPr>
      <w:r w:rsidRPr="00D534CA">
        <w:t xml:space="preserve">Dillman, D.A. (2006). Mail and internet surveys: The tailored design method – 2007 update with new internet, visual, and mixed-mode guide. </w:t>
      </w:r>
      <w:proofErr w:type="gramStart"/>
      <w:r w:rsidRPr="00D534CA">
        <w:t>John Wiley, Hoboken, NJ.</w:t>
      </w:r>
      <w:proofErr w:type="gramEnd"/>
    </w:p>
    <w:p w:rsidR="009E0905" w:rsidRPr="00D534CA" w:rsidRDefault="009E0905" w:rsidP="009E0905">
      <w:pPr>
        <w:pStyle w:val="Header"/>
        <w:ind w:left="720" w:hanging="720"/>
      </w:pPr>
    </w:p>
    <w:p w:rsidR="009E0905" w:rsidRPr="00D534CA" w:rsidRDefault="009E0905" w:rsidP="009E0905">
      <w:pPr>
        <w:autoSpaceDE w:val="0"/>
        <w:autoSpaceDN w:val="0"/>
        <w:adjustRightInd w:val="0"/>
        <w:ind w:left="720" w:hanging="720"/>
      </w:pPr>
      <w:r w:rsidRPr="00D534CA">
        <w:rPr>
          <w:bCs/>
        </w:rPr>
        <w:t>Horne, A.G. (1994) Agricultural safety and health series: On-site farm safety survey.</w:t>
      </w:r>
      <w:r w:rsidRPr="00D534CA">
        <w:t xml:space="preserve"> Found at http://nasdonline.org/static_content/documents/926/d000767.pdf on August 3rd, 2013</w:t>
      </w:r>
    </w:p>
    <w:p w:rsidR="009E0905" w:rsidRPr="00D534CA" w:rsidRDefault="009E0905" w:rsidP="009E0905">
      <w:pPr>
        <w:pStyle w:val="Header"/>
        <w:ind w:left="720" w:hanging="720"/>
      </w:pPr>
    </w:p>
    <w:p w:rsidR="00EA361F" w:rsidRPr="00D534CA" w:rsidRDefault="00EA361F" w:rsidP="00EA361F">
      <w:pPr>
        <w:spacing w:after="240"/>
        <w:ind w:left="720" w:hanging="720"/>
      </w:pPr>
      <w:proofErr w:type="gramStart"/>
      <w:r w:rsidRPr="00D534CA">
        <w:t>National Research Council of the National Academies (2014).</w:t>
      </w:r>
      <w:proofErr w:type="gramEnd"/>
      <w:r w:rsidRPr="00D534CA">
        <w:t xml:space="preserve"> Safe science: Promoting a culture of safety in academic chemical research. </w:t>
      </w:r>
      <w:proofErr w:type="gramStart"/>
      <w:r w:rsidRPr="00D534CA">
        <w:t>National Academy of Sciences.</w:t>
      </w:r>
      <w:proofErr w:type="gramEnd"/>
      <w:r w:rsidRPr="00D534CA">
        <w:t xml:space="preserve"> Washington, </w:t>
      </w:r>
      <w:proofErr w:type="gramStart"/>
      <w:r w:rsidRPr="00D534CA">
        <w:t>D.C..</w:t>
      </w:r>
      <w:proofErr w:type="gramEnd"/>
    </w:p>
    <w:p w:rsidR="00A872A2" w:rsidRPr="00D534CA" w:rsidRDefault="009E0905" w:rsidP="009E0905">
      <w:pPr>
        <w:pStyle w:val="Header"/>
        <w:ind w:left="720" w:hanging="720"/>
      </w:pPr>
      <w:proofErr w:type="gramStart"/>
      <w:r w:rsidRPr="00D534CA">
        <w:t>Ortega, R.R., Tormoehlen, R.L., Field, W.E., Balschweid, M., &amp; Machtmes, K.L. (2002).</w:t>
      </w:r>
      <w:proofErr w:type="gramEnd"/>
      <w:r w:rsidRPr="00D534CA">
        <w:t xml:space="preserve"> Determining critical subject matter content for a safety certification program for youth employed in agricultural production. </w:t>
      </w:r>
      <w:r w:rsidRPr="00D534CA">
        <w:rPr>
          <w:i/>
        </w:rPr>
        <w:t xml:space="preserve">Journal of Agricultural Education, 44 </w:t>
      </w:r>
      <w:r w:rsidRPr="00D534CA">
        <w:t>(4) 67-89.</w:t>
      </w:r>
      <w:r w:rsidRPr="00D534CA">
        <w:br/>
        <w:t xml:space="preserve"> DOI: 10.5032/jae.2003.04067</w:t>
      </w:r>
    </w:p>
    <w:p w:rsidR="00EA361F" w:rsidRPr="00D534CA" w:rsidRDefault="00EA361F" w:rsidP="009E0905">
      <w:pPr>
        <w:pStyle w:val="Header"/>
        <w:ind w:left="720" w:hanging="720"/>
      </w:pPr>
    </w:p>
    <w:p w:rsidR="00EA361F" w:rsidRPr="00D534CA" w:rsidRDefault="00EA361F" w:rsidP="00EA361F">
      <w:pPr>
        <w:spacing w:after="240"/>
        <w:ind w:left="720" w:hanging="720"/>
      </w:pPr>
      <w:proofErr w:type="gramStart"/>
      <w:r w:rsidRPr="00D534CA">
        <w:t>Supovitz, J.A. &amp; Turner, H.M. (2000).</w:t>
      </w:r>
      <w:proofErr w:type="gramEnd"/>
      <w:r w:rsidRPr="00D534CA">
        <w:t xml:space="preserve"> The effects of professional development on science </w:t>
      </w:r>
      <w:proofErr w:type="gramStart"/>
      <w:r w:rsidRPr="00D534CA">
        <w:t>teachers</w:t>
      </w:r>
      <w:proofErr w:type="gramEnd"/>
      <w:r w:rsidRPr="00D534CA">
        <w:t xml:space="preserve"> practices and classroom culture. </w:t>
      </w:r>
      <w:r w:rsidRPr="00D534CA">
        <w:rPr>
          <w:i/>
        </w:rPr>
        <w:t>Journal of Research in Science Teaching, 37</w:t>
      </w:r>
      <w:r w:rsidRPr="00D534CA">
        <w:t>(9), 963-980.</w:t>
      </w:r>
    </w:p>
    <w:sectPr w:rsidR="00EA361F" w:rsidRPr="00D534CA" w:rsidSect="00EA361F">
      <w:head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47C" w:rsidRDefault="00C8747C">
      <w:r>
        <w:separator/>
      </w:r>
    </w:p>
  </w:endnote>
  <w:endnote w:type="continuationSeparator" w:id="0">
    <w:p w:rsidR="00C8747C" w:rsidRDefault="00C87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47C" w:rsidRDefault="00C8747C">
      <w:r>
        <w:separator/>
      </w:r>
    </w:p>
  </w:footnote>
  <w:footnote w:type="continuationSeparator" w:id="0">
    <w:p w:rsidR="00C8747C" w:rsidRDefault="00C87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92064"/>
      <w:docPartObj>
        <w:docPartGallery w:val="Page Numbers (Top of Page)"/>
        <w:docPartUnique/>
      </w:docPartObj>
    </w:sdtPr>
    <w:sdtEndPr>
      <w:rPr>
        <w:noProof/>
      </w:rPr>
    </w:sdtEndPr>
    <w:sdtContent>
      <w:p w:rsidR="00C50BDB" w:rsidRDefault="00023B52" w:rsidP="00023B52">
        <w:pPr>
          <w:pStyle w:val="Header"/>
          <w:tabs>
            <w:tab w:val="clear" w:pos="8640"/>
            <w:tab w:val="right" w:pos="9360"/>
          </w:tabs>
        </w:pPr>
        <w:r>
          <w:t>Level of Instructional Practices</w:t>
        </w:r>
        <w:r>
          <w:t xml:space="preserve"> </w:t>
        </w:r>
        <w:r>
          <w:tab/>
        </w:r>
        <w:r>
          <w:tab/>
        </w:r>
        <w:r w:rsidR="00C50BDB">
          <w:fldChar w:fldCharType="begin"/>
        </w:r>
        <w:r w:rsidR="00C50BDB">
          <w:instrText xml:space="preserve"> PAGE   \* MERGEFORMAT </w:instrText>
        </w:r>
        <w:r w:rsidR="00C50BDB">
          <w:fldChar w:fldCharType="separate"/>
        </w:r>
        <w:r w:rsidR="00D534CA">
          <w:rPr>
            <w:noProof/>
          </w:rPr>
          <w:t>2</w:t>
        </w:r>
        <w:r w:rsidR="00C50BDB">
          <w:rPr>
            <w:noProof/>
          </w:rPr>
          <w:fldChar w:fldCharType="end"/>
        </w:r>
      </w:p>
    </w:sdtContent>
  </w:sdt>
  <w:p w:rsidR="00EA361F" w:rsidRDefault="00EA36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832785"/>
      <w:docPartObj>
        <w:docPartGallery w:val="Page Numbers (Top of Page)"/>
        <w:docPartUnique/>
      </w:docPartObj>
    </w:sdtPr>
    <w:sdtEndPr>
      <w:rPr>
        <w:noProof/>
      </w:rPr>
    </w:sdtEndPr>
    <w:sdtContent>
      <w:p w:rsidR="00EA361F" w:rsidRDefault="00EA361F" w:rsidP="00EA361F">
        <w:pPr>
          <w:pStyle w:val="Header"/>
          <w:tabs>
            <w:tab w:val="clear" w:pos="8640"/>
            <w:tab w:val="right" w:pos="9360"/>
          </w:tabs>
        </w:pPr>
        <w:r>
          <w:t>Running head: Level of Instructional Practices</w:t>
        </w:r>
        <w:r>
          <w:tab/>
        </w:r>
        <w:r>
          <w:fldChar w:fldCharType="begin"/>
        </w:r>
        <w:r>
          <w:instrText xml:space="preserve"> PAGE   \* MERGEFORMAT </w:instrText>
        </w:r>
        <w:r>
          <w:fldChar w:fldCharType="separate"/>
        </w:r>
        <w:r w:rsidR="00D534CA">
          <w:rPr>
            <w:noProof/>
          </w:rPr>
          <w:t>1</w:t>
        </w:r>
        <w:r>
          <w:rPr>
            <w:noProof/>
          </w:rPr>
          <w:fldChar w:fldCharType="end"/>
        </w:r>
      </w:p>
    </w:sdtContent>
  </w:sdt>
  <w:p w:rsidR="00EA361F" w:rsidRPr="00EA361F" w:rsidRDefault="00EA361F" w:rsidP="00EA361F">
    <w:pPr>
      <w:pStyle w:val="Title"/>
      <w:spacing w:after="0"/>
      <w:jc w:val="left"/>
      <w:rPr>
        <w:rFonts w:cs="Times New Roman"/>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1E3874F7"/>
    <w:multiLevelType w:val="hybridMultilevel"/>
    <w:tmpl w:val="E50A4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C6A98"/>
    <w:multiLevelType w:val="hybridMultilevel"/>
    <w:tmpl w:val="0FEE8008"/>
    <w:lvl w:ilvl="0" w:tplc="48AC82FE">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4C592F"/>
    <w:multiLevelType w:val="hybridMultilevel"/>
    <w:tmpl w:val="6382D24A"/>
    <w:lvl w:ilvl="0" w:tplc="0409000F">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72BB38BF"/>
    <w:multiLevelType w:val="hybridMultilevel"/>
    <w:tmpl w:val="F6D02614"/>
    <w:lvl w:ilvl="0" w:tplc="F176EB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23B52"/>
    <w:rsid w:val="00026047"/>
    <w:rsid w:val="000F0030"/>
    <w:rsid w:val="00101B0D"/>
    <w:rsid w:val="00122448"/>
    <w:rsid w:val="00131C94"/>
    <w:rsid w:val="001F24BF"/>
    <w:rsid w:val="001F7EA4"/>
    <w:rsid w:val="00207392"/>
    <w:rsid w:val="00241F25"/>
    <w:rsid w:val="0025135E"/>
    <w:rsid w:val="002661EE"/>
    <w:rsid w:val="002A03DE"/>
    <w:rsid w:val="002B523F"/>
    <w:rsid w:val="002D2B8F"/>
    <w:rsid w:val="002E0076"/>
    <w:rsid w:val="002E6197"/>
    <w:rsid w:val="0031341A"/>
    <w:rsid w:val="003213F9"/>
    <w:rsid w:val="00357BB1"/>
    <w:rsid w:val="003C5D19"/>
    <w:rsid w:val="003E6D4D"/>
    <w:rsid w:val="004437C0"/>
    <w:rsid w:val="004752BF"/>
    <w:rsid w:val="004B57CB"/>
    <w:rsid w:val="004E0BCD"/>
    <w:rsid w:val="00510BE4"/>
    <w:rsid w:val="0055601C"/>
    <w:rsid w:val="005C276E"/>
    <w:rsid w:val="005E7A11"/>
    <w:rsid w:val="00653149"/>
    <w:rsid w:val="006700B5"/>
    <w:rsid w:val="0067485B"/>
    <w:rsid w:val="006A4C5E"/>
    <w:rsid w:val="00714790"/>
    <w:rsid w:val="00741A36"/>
    <w:rsid w:val="00763512"/>
    <w:rsid w:val="00767F8D"/>
    <w:rsid w:val="007909F4"/>
    <w:rsid w:val="007B71B8"/>
    <w:rsid w:val="007C7F74"/>
    <w:rsid w:val="00801E8D"/>
    <w:rsid w:val="008151D8"/>
    <w:rsid w:val="0085450E"/>
    <w:rsid w:val="008602A7"/>
    <w:rsid w:val="00910CEB"/>
    <w:rsid w:val="00914468"/>
    <w:rsid w:val="0091700F"/>
    <w:rsid w:val="00931DE8"/>
    <w:rsid w:val="00950B26"/>
    <w:rsid w:val="00982AAE"/>
    <w:rsid w:val="009E0905"/>
    <w:rsid w:val="00A6292A"/>
    <w:rsid w:val="00A64F41"/>
    <w:rsid w:val="00A872A2"/>
    <w:rsid w:val="00AE6C53"/>
    <w:rsid w:val="00B215A9"/>
    <w:rsid w:val="00B742A5"/>
    <w:rsid w:val="00B75B98"/>
    <w:rsid w:val="00B929A7"/>
    <w:rsid w:val="00BB1C0B"/>
    <w:rsid w:val="00BC3A38"/>
    <w:rsid w:val="00BD76C5"/>
    <w:rsid w:val="00C50BDB"/>
    <w:rsid w:val="00C641EB"/>
    <w:rsid w:val="00C8747C"/>
    <w:rsid w:val="00D25777"/>
    <w:rsid w:val="00D32FBD"/>
    <w:rsid w:val="00D534CA"/>
    <w:rsid w:val="00DE291B"/>
    <w:rsid w:val="00DE72C7"/>
    <w:rsid w:val="00E007BF"/>
    <w:rsid w:val="00E10147"/>
    <w:rsid w:val="00E57EA2"/>
    <w:rsid w:val="00E70F89"/>
    <w:rsid w:val="00E90A24"/>
    <w:rsid w:val="00EA361F"/>
    <w:rsid w:val="00F05655"/>
    <w:rsid w:val="00F075EE"/>
    <w:rsid w:val="00F43E92"/>
    <w:rsid w:val="00F91ADA"/>
    <w:rsid w:val="00FA6B5F"/>
    <w:rsid w:val="00FD2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link w:val="HeaderChar"/>
    <w:uiPriority w:val="99"/>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character" w:customStyle="1" w:styleId="object">
    <w:name w:val="object"/>
    <w:basedOn w:val="DefaultParagraphFont"/>
    <w:rsid w:val="00131C94"/>
  </w:style>
  <w:style w:type="character" w:customStyle="1" w:styleId="apple-style-span">
    <w:name w:val="apple-style-span"/>
    <w:basedOn w:val="DefaultParagraphFont"/>
    <w:rsid w:val="00131C94"/>
  </w:style>
  <w:style w:type="paragraph" w:styleId="ListParagraph">
    <w:name w:val="List Paragraph"/>
    <w:basedOn w:val="Normal"/>
    <w:uiPriority w:val="34"/>
    <w:qFormat/>
    <w:rsid w:val="00A872A2"/>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872A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9E0905"/>
    <w:rPr>
      <w:rFonts w:cs="Arial"/>
      <w:b/>
      <w:bCs/>
      <w:kern w:val="28"/>
      <w:sz w:val="24"/>
      <w:szCs w:val="32"/>
    </w:rPr>
  </w:style>
  <w:style w:type="character" w:customStyle="1" w:styleId="HeaderChar">
    <w:name w:val="Header Char"/>
    <w:basedOn w:val="DefaultParagraphFont"/>
    <w:link w:val="Header"/>
    <w:uiPriority w:val="99"/>
    <w:rsid w:val="009E090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link w:val="HeaderChar"/>
    <w:uiPriority w:val="99"/>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character" w:customStyle="1" w:styleId="object">
    <w:name w:val="object"/>
    <w:basedOn w:val="DefaultParagraphFont"/>
    <w:rsid w:val="00131C94"/>
  </w:style>
  <w:style w:type="character" w:customStyle="1" w:styleId="apple-style-span">
    <w:name w:val="apple-style-span"/>
    <w:basedOn w:val="DefaultParagraphFont"/>
    <w:rsid w:val="00131C94"/>
  </w:style>
  <w:style w:type="paragraph" w:styleId="ListParagraph">
    <w:name w:val="List Paragraph"/>
    <w:basedOn w:val="Normal"/>
    <w:uiPriority w:val="34"/>
    <w:qFormat/>
    <w:rsid w:val="00A872A2"/>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872A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9E0905"/>
    <w:rPr>
      <w:rFonts w:cs="Arial"/>
      <w:b/>
      <w:bCs/>
      <w:kern w:val="28"/>
      <w:sz w:val="24"/>
      <w:szCs w:val="32"/>
    </w:rPr>
  </w:style>
  <w:style w:type="character" w:customStyle="1" w:styleId="HeaderChar">
    <w:name w:val="Header Char"/>
    <w:basedOn w:val="DefaultParagraphFont"/>
    <w:link w:val="Header"/>
    <w:uiPriority w:val="99"/>
    <w:rsid w:val="009E09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28730">
      <w:bodyDiv w:val="1"/>
      <w:marLeft w:val="0"/>
      <w:marRight w:val="0"/>
      <w:marTop w:val="0"/>
      <w:marBottom w:val="0"/>
      <w:divBdr>
        <w:top w:val="none" w:sz="0" w:space="0" w:color="auto"/>
        <w:left w:val="none" w:sz="0" w:space="0" w:color="auto"/>
        <w:bottom w:val="none" w:sz="0" w:space="0" w:color="auto"/>
        <w:right w:val="none" w:sz="0" w:space="0" w:color="auto"/>
      </w:divBdr>
    </w:div>
    <w:div w:id="1817449547">
      <w:bodyDiv w:val="1"/>
      <w:marLeft w:val="0"/>
      <w:marRight w:val="0"/>
      <w:marTop w:val="0"/>
      <w:marBottom w:val="0"/>
      <w:divBdr>
        <w:top w:val="none" w:sz="0" w:space="0" w:color="auto"/>
        <w:left w:val="none" w:sz="0" w:space="0" w:color="auto"/>
        <w:bottom w:val="none" w:sz="0" w:space="0" w:color="auto"/>
        <w:right w:val="none" w:sz="0" w:space="0" w:color="auto"/>
      </w:divBdr>
      <w:divsChild>
        <w:div w:id="134301207">
          <w:marLeft w:val="0"/>
          <w:marRight w:val="0"/>
          <w:marTop w:val="0"/>
          <w:marBottom w:val="0"/>
          <w:divBdr>
            <w:top w:val="none" w:sz="0" w:space="0" w:color="auto"/>
            <w:left w:val="none" w:sz="0" w:space="0" w:color="auto"/>
            <w:bottom w:val="none" w:sz="0" w:space="0" w:color="auto"/>
            <w:right w:val="none" w:sz="0" w:space="0" w:color="auto"/>
          </w:divBdr>
        </w:div>
        <w:div w:id="529683755">
          <w:marLeft w:val="0"/>
          <w:marRight w:val="0"/>
          <w:marTop w:val="0"/>
          <w:marBottom w:val="0"/>
          <w:divBdr>
            <w:top w:val="none" w:sz="0" w:space="0" w:color="auto"/>
            <w:left w:val="none" w:sz="0" w:space="0" w:color="auto"/>
            <w:bottom w:val="none" w:sz="0" w:space="0" w:color="auto"/>
            <w:right w:val="none" w:sz="0" w:space="0" w:color="auto"/>
          </w:divBdr>
        </w:div>
        <w:div w:id="915749309">
          <w:marLeft w:val="0"/>
          <w:marRight w:val="0"/>
          <w:marTop w:val="0"/>
          <w:marBottom w:val="0"/>
          <w:divBdr>
            <w:top w:val="none" w:sz="0" w:space="0" w:color="auto"/>
            <w:left w:val="none" w:sz="0" w:space="0" w:color="auto"/>
            <w:bottom w:val="none" w:sz="0" w:space="0" w:color="auto"/>
            <w:right w:val="none" w:sz="0" w:space="0" w:color="auto"/>
          </w:divBdr>
        </w:div>
        <w:div w:id="936869754">
          <w:marLeft w:val="0"/>
          <w:marRight w:val="0"/>
          <w:marTop w:val="0"/>
          <w:marBottom w:val="0"/>
          <w:divBdr>
            <w:top w:val="none" w:sz="0" w:space="0" w:color="auto"/>
            <w:left w:val="none" w:sz="0" w:space="0" w:color="auto"/>
            <w:bottom w:val="none" w:sz="0" w:space="0" w:color="auto"/>
            <w:right w:val="none" w:sz="0" w:space="0" w:color="auto"/>
          </w:divBdr>
        </w:div>
        <w:div w:id="1281182927">
          <w:marLeft w:val="0"/>
          <w:marRight w:val="0"/>
          <w:marTop w:val="0"/>
          <w:marBottom w:val="0"/>
          <w:divBdr>
            <w:top w:val="none" w:sz="0" w:space="0" w:color="auto"/>
            <w:left w:val="none" w:sz="0" w:space="0" w:color="auto"/>
            <w:bottom w:val="none" w:sz="0" w:space="0" w:color="auto"/>
            <w:right w:val="none" w:sz="0" w:space="0" w:color="auto"/>
          </w:divBdr>
        </w:div>
        <w:div w:id="1965303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584"/>
    <w:rsid w:val="007C7584"/>
    <w:rsid w:val="00E17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21E1DED6164C9E8A30D76399B2BC92">
    <w:name w:val="CC21E1DED6164C9E8A30D76399B2BC92"/>
    <w:rsid w:val="007C758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21E1DED6164C9E8A30D76399B2BC92">
    <w:name w:val="CC21E1DED6164C9E8A30D76399B2BC92"/>
    <w:rsid w:val="007C75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4</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Cafes Tech</cp:lastModifiedBy>
  <cp:revision>9</cp:revision>
  <cp:lastPrinted>2015-02-27T22:03:00Z</cp:lastPrinted>
  <dcterms:created xsi:type="dcterms:W3CDTF">2015-02-27T18:15:00Z</dcterms:created>
  <dcterms:modified xsi:type="dcterms:W3CDTF">2015-02-27T22:27:00Z</dcterms:modified>
</cp:coreProperties>
</file>