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DE2EF1" w:rsidRPr="0060351E" w:rsidRDefault="00DE2EF1" w:rsidP="00842752">
      <w:pPr>
        <w:spacing w:after="0" w:line="240" w:lineRule="auto"/>
        <w:jc w:val="center"/>
        <w:rPr>
          <w:rFonts w:ascii="Times New Roman" w:hAnsi="Times New Roman" w:cs="Times New Roman"/>
          <w:b/>
          <w:sz w:val="24"/>
          <w:szCs w:val="24"/>
        </w:rPr>
      </w:pPr>
    </w:p>
    <w:p w:rsidR="00842752" w:rsidRPr="0060351E" w:rsidRDefault="00842752" w:rsidP="00842752">
      <w:pPr>
        <w:spacing w:after="0" w:line="240" w:lineRule="auto"/>
        <w:jc w:val="center"/>
        <w:rPr>
          <w:rFonts w:ascii="Times New Roman" w:hAnsi="Times New Roman" w:cs="Times New Roman"/>
          <w:b/>
          <w:sz w:val="24"/>
          <w:szCs w:val="24"/>
        </w:rPr>
      </w:pPr>
      <w:r w:rsidRPr="0060351E">
        <w:rPr>
          <w:rFonts w:ascii="Times New Roman" w:hAnsi="Times New Roman" w:cs="Times New Roman"/>
          <w:b/>
          <w:sz w:val="24"/>
          <w:szCs w:val="24"/>
        </w:rPr>
        <w:t>Utilizing Competing Narratives to Increase Critical Thinking Abilities</w:t>
      </w:r>
    </w:p>
    <w:p w:rsidR="00842752" w:rsidRPr="0060351E" w:rsidRDefault="00842752" w:rsidP="00842752">
      <w:pPr>
        <w:spacing w:after="0" w:line="240" w:lineRule="auto"/>
        <w:jc w:val="center"/>
        <w:rPr>
          <w:rFonts w:ascii="Times New Roman" w:hAnsi="Times New Roman" w:cs="Times New Roman"/>
          <w:b/>
          <w:sz w:val="24"/>
          <w:szCs w:val="24"/>
        </w:rPr>
      </w:pPr>
    </w:p>
    <w:p w:rsidR="00842752" w:rsidRPr="0060351E" w:rsidRDefault="00842752"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Kyle Gavin</w:t>
      </w:r>
    </w:p>
    <w:p w:rsidR="00842752" w:rsidRPr="0060351E" w:rsidRDefault="00842752"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Montana State University</w:t>
      </w:r>
    </w:p>
    <w:p w:rsidR="00DE2EF1" w:rsidRPr="0060351E" w:rsidRDefault="00DE2EF1"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228 Linfield Hall</w:t>
      </w:r>
    </w:p>
    <w:p w:rsidR="00842752" w:rsidRPr="0060351E" w:rsidRDefault="00842752"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Bozeman, MT 59718</w:t>
      </w:r>
    </w:p>
    <w:p w:rsidR="00842752" w:rsidRPr="0060351E" w:rsidRDefault="00DE2EF1"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Kyle.gavin1@msu.montana.edu</w:t>
      </w:r>
    </w:p>
    <w:p w:rsidR="00DE2EF1" w:rsidRPr="0060351E" w:rsidRDefault="00DE2EF1" w:rsidP="00DE2EF1">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(406) 994 – 2132</w:t>
      </w:r>
    </w:p>
    <w:p w:rsidR="00842752" w:rsidRPr="0060351E" w:rsidRDefault="00842752" w:rsidP="00842752">
      <w:pPr>
        <w:spacing w:after="0" w:line="240" w:lineRule="auto"/>
        <w:jc w:val="center"/>
        <w:rPr>
          <w:rFonts w:ascii="Times New Roman" w:hAnsi="Times New Roman" w:cs="Times New Roman"/>
          <w:sz w:val="24"/>
          <w:szCs w:val="24"/>
        </w:rPr>
      </w:pPr>
    </w:p>
    <w:p w:rsidR="00842752" w:rsidRPr="0060351E" w:rsidRDefault="00842752"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Dustin K. Perry</w:t>
      </w:r>
    </w:p>
    <w:p w:rsidR="00DE2EF1" w:rsidRPr="0060351E" w:rsidRDefault="00DE2EF1" w:rsidP="00DE2EF1">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Montana State University</w:t>
      </w:r>
    </w:p>
    <w:p w:rsidR="00DE2EF1" w:rsidRPr="0060351E" w:rsidRDefault="00DE2EF1" w:rsidP="00DE2EF1">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230E Linfield Hall</w:t>
      </w:r>
    </w:p>
    <w:p w:rsidR="00DE2EF1" w:rsidRPr="0060351E" w:rsidRDefault="00DE2EF1" w:rsidP="00DE2EF1">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Bozeman, MT 59718</w:t>
      </w:r>
    </w:p>
    <w:p w:rsidR="00DE2EF1" w:rsidRPr="0060351E" w:rsidRDefault="00DE2EF1"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Dustin.Perry@Montana.edu</w:t>
      </w:r>
    </w:p>
    <w:p w:rsidR="00DE2EF1" w:rsidRPr="0060351E" w:rsidRDefault="00DE2EF1" w:rsidP="00842752">
      <w:pPr>
        <w:spacing w:after="0" w:line="240" w:lineRule="auto"/>
        <w:jc w:val="center"/>
        <w:rPr>
          <w:rFonts w:ascii="Times New Roman" w:hAnsi="Times New Roman" w:cs="Times New Roman"/>
          <w:sz w:val="24"/>
          <w:szCs w:val="24"/>
        </w:rPr>
      </w:pPr>
      <w:r w:rsidRPr="0060351E">
        <w:rPr>
          <w:rFonts w:ascii="Times New Roman" w:hAnsi="Times New Roman" w:cs="Times New Roman"/>
          <w:sz w:val="24"/>
          <w:szCs w:val="24"/>
        </w:rPr>
        <w:t xml:space="preserve">(406) 994 – 5773 </w:t>
      </w:r>
    </w:p>
    <w:p w:rsidR="00842752" w:rsidRPr="0060351E" w:rsidRDefault="00842752" w:rsidP="00842752">
      <w:pPr>
        <w:spacing w:after="0" w:line="240" w:lineRule="auto"/>
        <w:jc w:val="center"/>
        <w:rPr>
          <w:rFonts w:ascii="Times New Roman" w:hAnsi="Times New Roman" w:cs="Times New Roman"/>
          <w:sz w:val="24"/>
          <w:szCs w:val="24"/>
        </w:rPr>
      </w:pPr>
    </w:p>
    <w:p w:rsidR="00DE2EF1" w:rsidRPr="0060351E" w:rsidRDefault="00DE2EF1">
      <w:pPr>
        <w:rPr>
          <w:rFonts w:ascii="Times New Roman" w:hAnsi="Times New Roman" w:cs="Times New Roman"/>
          <w:b/>
          <w:sz w:val="24"/>
          <w:szCs w:val="24"/>
        </w:rPr>
      </w:pPr>
      <w:r w:rsidRPr="0060351E">
        <w:rPr>
          <w:rFonts w:ascii="Times New Roman" w:hAnsi="Times New Roman" w:cs="Times New Roman"/>
          <w:b/>
          <w:sz w:val="24"/>
          <w:szCs w:val="24"/>
        </w:rPr>
        <w:br w:type="page"/>
      </w:r>
    </w:p>
    <w:p w:rsidR="00C411E2" w:rsidRPr="0060351E" w:rsidRDefault="00C411E2" w:rsidP="00C411E2">
      <w:pPr>
        <w:spacing w:after="0" w:line="240" w:lineRule="auto"/>
        <w:jc w:val="center"/>
        <w:rPr>
          <w:rFonts w:ascii="Times New Roman" w:hAnsi="Times New Roman" w:cs="Times New Roman"/>
          <w:b/>
          <w:sz w:val="24"/>
          <w:szCs w:val="24"/>
        </w:rPr>
      </w:pPr>
      <w:r w:rsidRPr="0060351E">
        <w:rPr>
          <w:rFonts w:ascii="Times New Roman" w:hAnsi="Times New Roman" w:cs="Times New Roman"/>
          <w:b/>
          <w:sz w:val="24"/>
          <w:szCs w:val="24"/>
        </w:rPr>
        <w:lastRenderedPageBreak/>
        <w:t>Utilizing Competing Narratives to Increase Critical Thinking Abilities</w:t>
      </w:r>
    </w:p>
    <w:p w:rsidR="00C411E2" w:rsidRPr="001B54CD" w:rsidRDefault="00C411E2" w:rsidP="00842752">
      <w:pPr>
        <w:spacing w:after="0" w:line="240" w:lineRule="auto"/>
        <w:jc w:val="center"/>
        <w:rPr>
          <w:rFonts w:ascii="Times New Roman" w:hAnsi="Times New Roman" w:cs="Times New Roman"/>
          <w:b/>
          <w:sz w:val="18"/>
          <w:szCs w:val="24"/>
        </w:rPr>
      </w:pPr>
    </w:p>
    <w:p w:rsidR="00842752" w:rsidRDefault="00EC44F0" w:rsidP="00842752">
      <w:pPr>
        <w:spacing w:after="0" w:line="240" w:lineRule="auto"/>
        <w:jc w:val="center"/>
        <w:rPr>
          <w:rFonts w:ascii="Times New Roman" w:hAnsi="Times New Roman" w:cs="Times New Roman"/>
          <w:b/>
          <w:sz w:val="24"/>
          <w:szCs w:val="24"/>
        </w:rPr>
      </w:pPr>
      <w:r w:rsidRPr="0060351E">
        <w:rPr>
          <w:rFonts w:ascii="Times New Roman" w:hAnsi="Times New Roman" w:cs="Times New Roman"/>
          <w:b/>
          <w:sz w:val="24"/>
          <w:szCs w:val="24"/>
        </w:rPr>
        <w:t>Introduction</w:t>
      </w:r>
      <w:r w:rsidR="00093FA5">
        <w:rPr>
          <w:rFonts w:ascii="Times New Roman" w:hAnsi="Times New Roman" w:cs="Times New Roman"/>
          <w:b/>
          <w:sz w:val="24"/>
          <w:szCs w:val="24"/>
        </w:rPr>
        <w:t>/Theoretical Framework</w:t>
      </w:r>
    </w:p>
    <w:p w:rsidR="00093FA5" w:rsidRPr="001B54CD" w:rsidRDefault="00093FA5" w:rsidP="00842752">
      <w:pPr>
        <w:spacing w:after="0" w:line="240" w:lineRule="auto"/>
        <w:jc w:val="center"/>
        <w:rPr>
          <w:rFonts w:ascii="Times New Roman" w:hAnsi="Times New Roman" w:cs="Times New Roman"/>
          <w:b/>
          <w:sz w:val="20"/>
          <w:szCs w:val="24"/>
        </w:rPr>
      </w:pPr>
    </w:p>
    <w:p w:rsidR="00867E30" w:rsidRPr="0060351E" w:rsidRDefault="00867E30" w:rsidP="00867E30">
      <w:pPr>
        <w:pStyle w:val="NoSpacing"/>
      </w:pPr>
      <w:r w:rsidRPr="0060351E">
        <w:t>Identified by McComas (2014) as 21</w:t>
      </w:r>
      <w:r w:rsidRPr="0060351E">
        <w:rPr>
          <w:vertAlign w:val="superscript"/>
        </w:rPr>
        <w:t>st</w:t>
      </w:r>
      <w:r w:rsidRPr="0060351E">
        <w:t xml:space="preserve"> century skills, intellectual and practical skills, such as inquiry and analysis, critical and creative thinking, written and oral communication, and problem solving, have emerged as essential leaning outcomes of higher education (Association of American Colleges and Universities [AACU], 2004, 2007, 2010). These 21</w:t>
      </w:r>
      <w:r w:rsidRPr="0060351E">
        <w:rPr>
          <w:vertAlign w:val="superscript"/>
        </w:rPr>
        <w:t>st</w:t>
      </w:r>
      <w:r w:rsidRPr="0060351E">
        <w:t xml:space="preserve"> century skills have since been organized into six primary categories: life skills, workforce skills, applied skills, personal skills, interpersonal skills, and non-cognitive skills </w:t>
      </w:r>
      <w:r w:rsidRPr="0060351E">
        <w:rPr>
          <w:noProof/>
        </w:rPr>
        <w:t>(McComas, 2014)</w:t>
      </w:r>
      <w:r w:rsidRPr="0060351E">
        <w:t xml:space="preserve">. Further, Savvedra and Opfer (2012) suggest a variety of teaching </w:t>
      </w:r>
      <w:r w:rsidRPr="00C741BB">
        <w:t>approaches intended to improve 21</w:t>
      </w:r>
      <w:r w:rsidRPr="00C741BB">
        <w:rPr>
          <w:vertAlign w:val="superscript"/>
        </w:rPr>
        <w:t>st</w:t>
      </w:r>
      <w:r w:rsidRPr="00C741BB">
        <w:t xml:space="preserve"> century learning skills. Among these approaches are making content relevant to students, developing thinking skills, addressing misunderstandings directly, and fostering creativity (Savvedra &amp; Opfer, 2012). The pedagogical approach utilized in </w:t>
      </w:r>
      <w:r w:rsidR="004A79F2" w:rsidRPr="00C741BB">
        <w:t>our</w:t>
      </w:r>
      <w:r w:rsidRPr="00C741BB">
        <w:t xml:space="preserve"> study, competing narratives</w:t>
      </w:r>
      <w:r w:rsidRPr="0060351E">
        <w:t xml:space="preserve">, was geared toward developing students’ skills in the applied and personal skills categories. The applied skills category addressed accessing and analyzing information, effective communication, and determining alternative solutions to problems; whereas the personal skills category addressed curiosity, imagination, critical thinking, and problem solving </w:t>
      </w:r>
      <w:r w:rsidRPr="0060351E">
        <w:rPr>
          <w:noProof/>
        </w:rPr>
        <w:t>(McComas, 2014)</w:t>
      </w:r>
      <w:r w:rsidRPr="0060351E">
        <w:t xml:space="preserve">.  The </w:t>
      </w:r>
      <w:r w:rsidR="004C2CA1" w:rsidRPr="0060351E">
        <w:t>pedagogical</w:t>
      </w:r>
      <w:r w:rsidRPr="0060351E">
        <w:t xml:space="preserve"> approach utilized in </w:t>
      </w:r>
      <w:r w:rsidR="00C62363">
        <w:t>our</w:t>
      </w:r>
      <w:r w:rsidRPr="0060351E">
        <w:t xml:space="preserve"> study addressed the 21</w:t>
      </w:r>
      <w:r w:rsidRPr="0060351E">
        <w:rPr>
          <w:vertAlign w:val="superscript"/>
        </w:rPr>
        <w:t>st</w:t>
      </w:r>
      <w:r w:rsidRPr="0060351E">
        <w:t xml:space="preserve"> century skills presented by McComas (2014) and employed the teaching lessons suggested by Savvedra and Opfer (2012) to encourage students to analyze and evaluate claims of two book narratives with vastly opposing viewpoints on global warming. </w:t>
      </w:r>
    </w:p>
    <w:p w:rsidR="00867E30" w:rsidRPr="001B54CD" w:rsidRDefault="00867E30" w:rsidP="00842752">
      <w:pPr>
        <w:pStyle w:val="NoSpacing"/>
        <w:ind w:firstLine="0"/>
        <w:jc w:val="center"/>
        <w:rPr>
          <w:b/>
          <w:sz w:val="20"/>
        </w:rPr>
      </w:pPr>
    </w:p>
    <w:p w:rsidR="00EC44F0" w:rsidRPr="0060351E" w:rsidRDefault="00454BE2" w:rsidP="007D775C">
      <w:pPr>
        <w:pStyle w:val="NoSpacing"/>
      </w:pPr>
      <w:r w:rsidRPr="0060351E">
        <w:t xml:space="preserve">A primary tenant of constructivism states that learning should occur in authentic environments and thus, knowledge construction is enhanced when the experience is authentic (Doolittle &amp; Camp, 1999; Splan, Porr, &amp; Broyles, 2011). One role of higher education is to build on students’ previous knowledge and authentic experience while pushing them to use higher-ordered thinking </w:t>
      </w:r>
      <w:r w:rsidR="007D775C" w:rsidRPr="0060351E">
        <w:t>skills</w:t>
      </w:r>
      <w:r w:rsidRPr="0060351E">
        <w:t xml:space="preserve">, such as those expressed in Bloom’s (1956) Taxonomy. Specifically, the development of students’ critical thinking abilities is often targeted through pedagogical approaches that urge students to perform in the higher-ordered thinking levels of Bloom’s (1956) taxonomy, such as the </w:t>
      </w:r>
      <w:r w:rsidRPr="0060351E">
        <w:rPr>
          <w:i/>
        </w:rPr>
        <w:t>Analysis</w:t>
      </w:r>
      <w:r w:rsidRPr="0060351E">
        <w:t xml:space="preserve">, </w:t>
      </w:r>
      <w:r w:rsidRPr="0060351E">
        <w:rPr>
          <w:i/>
        </w:rPr>
        <w:t>Synthesis</w:t>
      </w:r>
      <w:r w:rsidRPr="0060351E">
        <w:t xml:space="preserve">, and </w:t>
      </w:r>
      <w:r w:rsidRPr="0060351E">
        <w:rPr>
          <w:i/>
        </w:rPr>
        <w:t>Evaluation</w:t>
      </w:r>
      <w:r w:rsidRPr="0060351E">
        <w:t xml:space="preserve"> levels (Duron, Limbach, &amp; Waugh, 2006). The pedagogical approach utilized in this study remained consistent with the constructivist approach by encouraging students to </w:t>
      </w:r>
      <w:r w:rsidR="007D775C" w:rsidRPr="0060351E">
        <w:t xml:space="preserve">incorporate their personal experiences in the </w:t>
      </w:r>
      <w:r w:rsidRPr="0060351E">
        <w:t>analy</w:t>
      </w:r>
      <w:r w:rsidR="007D775C" w:rsidRPr="0060351E">
        <w:t>sis</w:t>
      </w:r>
      <w:r w:rsidRPr="0060351E">
        <w:t xml:space="preserve">, </w:t>
      </w:r>
      <w:r w:rsidR="007D775C" w:rsidRPr="0060351E">
        <w:t>synthesis</w:t>
      </w:r>
      <w:r w:rsidRPr="0060351E">
        <w:t>, and evaluat</w:t>
      </w:r>
      <w:r w:rsidR="007D775C" w:rsidRPr="0060351E">
        <w:t>ion of</w:t>
      </w:r>
      <w:r w:rsidRPr="0060351E">
        <w:t xml:space="preserve"> two distinctly different global warming viewpoints expressed in two separate </w:t>
      </w:r>
      <w:r w:rsidR="0020655A" w:rsidRPr="0060351E">
        <w:t>book narratives</w:t>
      </w:r>
      <w:r w:rsidRPr="0060351E">
        <w:t>.</w:t>
      </w:r>
    </w:p>
    <w:p w:rsidR="00454BE2" w:rsidRPr="001B54CD" w:rsidRDefault="00454BE2" w:rsidP="00842752">
      <w:pPr>
        <w:pStyle w:val="NoSpacing"/>
        <w:ind w:firstLine="0"/>
        <w:rPr>
          <w:sz w:val="18"/>
        </w:rPr>
      </w:pPr>
    </w:p>
    <w:p w:rsidR="00F11AE6" w:rsidRPr="0060351E" w:rsidRDefault="004808B4" w:rsidP="00842752">
      <w:pPr>
        <w:spacing w:after="0" w:line="240" w:lineRule="auto"/>
        <w:jc w:val="center"/>
        <w:rPr>
          <w:rFonts w:ascii="Times New Roman" w:hAnsi="Times New Roman" w:cs="Times New Roman"/>
          <w:b/>
          <w:sz w:val="24"/>
          <w:szCs w:val="24"/>
        </w:rPr>
      </w:pPr>
      <w:r w:rsidRPr="0060351E">
        <w:rPr>
          <w:rFonts w:ascii="Times New Roman" w:hAnsi="Times New Roman" w:cs="Times New Roman"/>
          <w:b/>
          <w:sz w:val="24"/>
          <w:szCs w:val="24"/>
        </w:rPr>
        <w:t>Methodology</w:t>
      </w:r>
    </w:p>
    <w:p w:rsidR="004C2CA1" w:rsidRPr="001B54CD" w:rsidRDefault="004C2CA1" w:rsidP="004C2CA1">
      <w:pPr>
        <w:spacing w:after="0" w:line="240" w:lineRule="auto"/>
        <w:rPr>
          <w:rFonts w:ascii="Times New Roman" w:hAnsi="Times New Roman" w:cs="Times New Roman"/>
          <w:b/>
          <w:sz w:val="18"/>
          <w:szCs w:val="24"/>
        </w:rPr>
      </w:pPr>
    </w:p>
    <w:p w:rsidR="0073596C" w:rsidRPr="0060351E" w:rsidRDefault="0088224C" w:rsidP="0060351E">
      <w:pPr>
        <w:spacing w:after="0" w:line="240" w:lineRule="auto"/>
        <w:ind w:firstLine="720"/>
        <w:rPr>
          <w:rFonts w:ascii="Times New Roman" w:hAnsi="Times New Roman" w:cs="Times New Roman"/>
          <w:sz w:val="24"/>
          <w:szCs w:val="24"/>
        </w:rPr>
      </w:pPr>
      <w:r w:rsidRPr="0060351E">
        <w:rPr>
          <w:rFonts w:ascii="Times New Roman" w:hAnsi="Times New Roman" w:cs="Times New Roman"/>
          <w:sz w:val="24"/>
          <w:szCs w:val="24"/>
        </w:rPr>
        <w:t>Our</w:t>
      </w:r>
      <w:r w:rsidR="004C2CA1" w:rsidRPr="0060351E">
        <w:rPr>
          <w:rFonts w:ascii="Times New Roman" w:hAnsi="Times New Roman" w:cs="Times New Roman"/>
          <w:sz w:val="24"/>
          <w:szCs w:val="24"/>
        </w:rPr>
        <w:t xml:space="preserve"> study was designed to explore the impact of </w:t>
      </w:r>
      <w:r w:rsidR="00CA5B96">
        <w:rPr>
          <w:rFonts w:ascii="Times New Roman" w:hAnsi="Times New Roman" w:cs="Times New Roman"/>
          <w:sz w:val="24"/>
          <w:szCs w:val="24"/>
        </w:rPr>
        <w:t xml:space="preserve">utilizing a competing book narratives pedagogical </w:t>
      </w:r>
      <w:r w:rsidR="004C2CA1" w:rsidRPr="0060351E">
        <w:rPr>
          <w:rFonts w:ascii="Times New Roman" w:hAnsi="Times New Roman" w:cs="Times New Roman"/>
          <w:sz w:val="24"/>
          <w:szCs w:val="24"/>
        </w:rPr>
        <w:t xml:space="preserve">approach in </w:t>
      </w:r>
      <w:r w:rsidR="00CA5B96">
        <w:rPr>
          <w:rFonts w:ascii="Times New Roman" w:hAnsi="Times New Roman" w:cs="Times New Roman"/>
          <w:sz w:val="24"/>
          <w:szCs w:val="24"/>
        </w:rPr>
        <w:t>an</w:t>
      </w:r>
      <w:r w:rsidR="004C2CA1" w:rsidRPr="0060351E">
        <w:rPr>
          <w:rFonts w:ascii="Times New Roman" w:hAnsi="Times New Roman" w:cs="Times New Roman"/>
          <w:sz w:val="24"/>
          <w:szCs w:val="24"/>
        </w:rPr>
        <w:t xml:space="preserve"> entry level, semester-long natural resource management course on the development of students’ critical thinking abilities. The purpose of </w:t>
      </w:r>
      <w:r w:rsidRPr="0060351E">
        <w:rPr>
          <w:rFonts w:ascii="Times New Roman" w:hAnsi="Times New Roman" w:cs="Times New Roman"/>
          <w:sz w:val="24"/>
          <w:szCs w:val="24"/>
        </w:rPr>
        <w:t>our</w:t>
      </w:r>
      <w:r w:rsidR="004C2CA1" w:rsidRPr="0060351E">
        <w:rPr>
          <w:rFonts w:ascii="Times New Roman" w:hAnsi="Times New Roman" w:cs="Times New Roman"/>
          <w:sz w:val="24"/>
          <w:szCs w:val="24"/>
        </w:rPr>
        <w:t xml:space="preserve"> study aligns with the American Association for Agricultural Education’s National Research Agenda Research Priority Area </w:t>
      </w:r>
      <w:r w:rsidR="002305BB" w:rsidRPr="0060351E">
        <w:rPr>
          <w:rFonts w:ascii="Times New Roman" w:hAnsi="Times New Roman" w:cs="Times New Roman"/>
          <w:sz w:val="24"/>
          <w:szCs w:val="24"/>
        </w:rPr>
        <w:t>Four</w:t>
      </w:r>
      <w:r w:rsidR="004C2CA1" w:rsidRPr="0060351E">
        <w:rPr>
          <w:rFonts w:ascii="Times New Roman" w:hAnsi="Times New Roman" w:cs="Times New Roman"/>
          <w:sz w:val="24"/>
          <w:szCs w:val="24"/>
        </w:rPr>
        <w:t>: Meaningful, Engaged Learning in All Environments (Doerfert, 2011).</w:t>
      </w:r>
      <w:r w:rsidR="002305BB" w:rsidRPr="0060351E">
        <w:rPr>
          <w:rFonts w:ascii="Times New Roman" w:hAnsi="Times New Roman" w:cs="Times New Roman"/>
          <w:sz w:val="24"/>
          <w:szCs w:val="24"/>
        </w:rPr>
        <w:t xml:space="preserve"> </w:t>
      </w:r>
      <w:r w:rsidR="0073596C" w:rsidRPr="0060351E">
        <w:rPr>
          <w:rFonts w:ascii="Times New Roman" w:hAnsi="Times New Roman" w:cs="Times New Roman"/>
          <w:sz w:val="24"/>
          <w:szCs w:val="24"/>
        </w:rPr>
        <w:t xml:space="preserve">The population for </w:t>
      </w:r>
      <w:r w:rsidRPr="0060351E">
        <w:rPr>
          <w:rFonts w:ascii="Times New Roman" w:hAnsi="Times New Roman" w:cs="Times New Roman"/>
          <w:sz w:val="24"/>
          <w:szCs w:val="24"/>
        </w:rPr>
        <w:t>our</w:t>
      </w:r>
      <w:r w:rsidR="0073596C" w:rsidRPr="0060351E">
        <w:rPr>
          <w:rFonts w:ascii="Times New Roman" w:hAnsi="Times New Roman" w:cs="Times New Roman"/>
          <w:sz w:val="24"/>
          <w:szCs w:val="24"/>
        </w:rPr>
        <w:t xml:space="preserve"> study was all undergraduate students enrolled in a freshman level natural resource management course in the fall </w:t>
      </w:r>
      <w:r w:rsidR="0073596C" w:rsidRPr="00CA5B96">
        <w:rPr>
          <w:rFonts w:ascii="Times New Roman" w:hAnsi="Times New Roman" w:cs="Times New Roman"/>
          <w:sz w:val="24"/>
          <w:szCs w:val="24"/>
        </w:rPr>
        <w:t>semester of 2014 (</w:t>
      </w:r>
      <w:r w:rsidR="0073596C" w:rsidRPr="00CA5B96">
        <w:rPr>
          <w:rFonts w:ascii="Times New Roman" w:hAnsi="Times New Roman" w:cs="Times New Roman"/>
          <w:i/>
          <w:sz w:val="24"/>
          <w:szCs w:val="24"/>
        </w:rPr>
        <w:t xml:space="preserve">N </w:t>
      </w:r>
      <w:r w:rsidR="00CA5B96" w:rsidRPr="00CA5B96">
        <w:rPr>
          <w:rFonts w:ascii="Times New Roman" w:hAnsi="Times New Roman" w:cs="Times New Roman"/>
          <w:sz w:val="24"/>
          <w:szCs w:val="24"/>
        </w:rPr>
        <w:t>= 209</w:t>
      </w:r>
      <w:r w:rsidR="0073596C" w:rsidRPr="00CA5B96">
        <w:rPr>
          <w:rFonts w:ascii="Times New Roman" w:hAnsi="Times New Roman" w:cs="Times New Roman"/>
          <w:sz w:val="24"/>
          <w:szCs w:val="24"/>
        </w:rPr>
        <w:t xml:space="preserve">). Due to utilization of open-ended responses, as well as national reference norms, critical thinking abilities were assessed using the Critical Thinking Assessment Test (CAT) (Perry, Retallick, &amp; Paulsen, 2014).  The CAT includes 15 short answer questions based on real-world situations developed to accurately assess </w:t>
      </w:r>
      <w:r w:rsidR="0073596C" w:rsidRPr="00CA5B96">
        <w:rPr>
          <w:rFonts w:ascii="Times New Roman" w:hAnsi="Times New Roman" w:cs="Times New Roman"/>
          <w:sz w:val="24"/>
          <w:szCs w:val="24"/>
        </w:rPr>
        <w:lastRenderedPageBreak/>
        <w:t>15 important components of critical thinking (</w:t>
      </w:r>
      <w:r w:rsidR="005D71FC" w:rsidRPr="00CA5B96">
        <w:rPr>
          <w:rFonts w:ascii="Times New Roman" w:hAnsi="Times New Roman" w:cs="Times New Roman"/>
          <w:sz w:val="24"/>
          <w:szCs w:val="24"/>
        </w:rPr>
        <w:t>Center for Assessment and Improvement of Learning</w:t>
      </w:r>
      <w:r w:rsidR="005D71FC" w:rsidRPr="00CA5B96">
        <w:rPr>
          <w:rFonts w:ascii="Times New Roman" w:hAnsi="Times New Roman" w:cs="Times New Roman"/>
          <w:sz w:val="24"/>
          <w:szCs w:val="24"/>
        </w:rPr>
        <w:t xml:space="preserve"> </w:t>
      </w:r>
      <w:r w:rsidR="005D71FC">
        <w:rPr>
          <w:rFonts w:ascii="Times New Roman" w:hAnsi="Times New Roman" w:cs="Times New Roman"/>
          <w:sz w:val="24"/>
          <w:szCs w:val="24"/>
        </w:rPr>
        <w:t>[</w:t>
      </w:r>
      <w:r w:rsidR="0073596C" w:rsidRPr="00CA5B96">
        <w:rPr>
          <w:rFonts w:ascii="Times New Roman" w:hAnsi="Times New Roman" w:cs="Times New Roman"/>
          <w:sz w:val="24"/>
          <w:szCs w:val="24"/>
        </w:rPr>
        <w:t>CAIL</w:t>
      </w:r>
      <w:r w:rsidR="005D71FC">
        <w:rPr>
          <w:rFonts w:ascii="Times New Roman" w:hAnsi="Times New Roman" w:cs="Times New Roman"/>
          <w:sz w:val="24"/>
          <w:szCs w:val="24"/>
        </w:rPr>
        <w:t>]</w:t>
      </w:r>
      <w:r w:rsidR="0073596C" w:rsidRPr="00CA5B96">
        <w:rPr>
          <w:rFonts w:ascii="Times New Roman" w:hAnsi="Times New Roman" w:cs="Times New Roman"/>
          <w:sz w:val="24"/>
          <w:szCs w:val="24"/>
        </w:rPr>
        <w:t xml:space="preserve">, 2010). Each question addresses at least one broad component of </w:t>
      </w:r>
      <w:r w:rsidRPr="00CA5B96">
        <w:rPr>
          <w:rFonts w:ascii="Times New Roman" w:hAnsi="Times New Roman" w:cs="Times New Roman"/>
          <w:sz w:val="24"/>
          <w:szCs w:val="24"/>
        </w:rPr>
        <w:t>critical</w:t>
      </w:r>
      <w:r w:rsidR="0073596C" w:rsidRPr="00CA5B96">
        <w:rPr>
          <w:rFonts w:ascii="Times New Roman" w:hAnsi="Times New Roman" w:cs="Times New Roman"/>
          <w:sz w:val="24"/>
          <w:szCs w:val="24"/>
        </w:rPr>
        <w:t xml:space="preserve"> thinking</w:t>
      </w:r>
      <w:r w:rsidRPr="00CA5B96">
        <w:rPr>
          <w:rFonts w:ascii="Times New Roman" w:hAnsi="Times New Roman" w:cs="Times New Roman"/>
          <w:sz w:val="24"/>
          <w:szCs w:val="24"/>
        </w:rPr>
        <w:t>,</w:t>
      </w:r>
      <w:r w:rsidR="0073596C" w:rsidRPr="00CA5B96">
        <w:rPr>
          <w:rFonts w:ascii="Times New Roman" w:hAnsi="Times New Roman" w:cs="Times New Roman"/>
          <w:sz w:val="24"/>
          <w:szCs w:val="24"/>
        </w:rPr>
        <w:t xml:space="preserve"> including students’ abilit</w:t>
      </w:r>
      <w:r w:rsidRPr="00CA5B96">
        <w:rPr>
          <w:rFonts w:ascii="Times New Roman" w:hAnsi="Times New Roman" w:cs="Times New Roman"/>
          <w:sz w:val="24"/>
          <w:szCs w:val="24"/>
        </w:rPr>
        <w:t>ies</w:t>
      </w:r>
      <w:r w:rsidR="0073596C" w:rsidRPr="00CA5B96">
        <w:rPr>
          <w:rFonts w:ascii="Times New Roman" w:hAnsi="Times New Roman" w:cs="Times New Roman"/>
          <w:sz w:val="24"/>
          <w:szCs w:val="24"/>
        </w:rPr>
        <w:t xml:space="preserve"> to evaluate and interpret information, solve problems, think creatively, and communicate effectively (CAIL, 2012). All students enrolled in NRSM 101 </w:t>
      </w:r>
      <w:r w:rsidR="00CA5B96" w:rsidRPr="00CA5B96">
        <w:rPr>
          <w:rFonts w:ascii="Times New Roman" w:hAnsi="Times New Roman" w:cs="Times New Roman"/>
          <w:sz w:val="24"/>
          <w:szCs w:val="24"/>
        </w:rPr>
        <w:t>(N = 209</w:t>
      </w:r>
      <w:r w:rsidR="0073596C" w:rsidRPr="00CA5B96">
        <w:rPr>
          <w:rFonts w:ascii="Times New Roman" w:hAnsi="Times New Roman" w:cs="Times New Roman"/>
          <w:sz w:val="24"/>
          <w:szCs w:val="24"/>
        </w:rPr>
        <w:t>) were administered the CAT instrument in a pre-test/post-test design. Due to the limited availability of</w:t>
      </w:r>
      <w:r w:rsidR="0073596C" w:rsidRPr="0060351E">
        <w:rPr>
          <w:rFonts w:ascii="Times New Roman" w:hAnsi="Times New Roman" w:cs="Times New Roman"/>
          <w:sz w:val="24"/>
          <w:szCs w:val="24"/>
        </w:rPr>
        <w:t xml:space="preserve"> resources, primarily faculty scorers’ time, and CAIL’s (2012) recommendation of using a minimum of ten matched pairs, </w:t>
      </w:r>
      <w:r w:rsidR="005D71FC">
        <w:rPr>
          <w:rFonts w:ascii="Times New Roman" w:hAnsi="Times New Roman" w:cs="Times New Roman"/>
          <w:sz w:val="24"/>
          <w:szCs w:val="24"/>
        </w:rPr>
        <w:t>40</w:t>
      </w:r>
      <w:r w:rsidR="0073596C" w:rsidRPr="0060351E">
        <w:rPr>
          <w:rFonts w:ascii="Times New Roman" w:hAnsi="Times New Roman" w:cs="Times New Roman"/>
          <w:sz w:val="24"/>
          <w:szCs w:val="24"/>
        </w:rPr>
        <w:t xml:space="preserve"> matched pairs were randomly selected to be scored</w:t>
      </w:r>
      <w:r w:rsidR="005D71FC">
        <w:rPr>
          <w:rFonts w:ascii="Times New Roman" w:hAnsi="Times New Roman" w:cs="Times New Roman"/>
          <w:sz w:val="24"/>
          <w:szCs w:val="24"/>
        </w:rPr>
        <w:t xml:space="preserve"> and 37</w:t>
      </w:r>
      <w:r w:rsidR="005D71FC" w:rsidRPr="005D71FC">
        <w:rPr>
          <w:rFonts w:ascii="Times New Roman" w:hAnsi="Times New Roman" w:cs="Times New Roman"/>
          <w:sz w:val="24"/>
          <w:szCs w:val="24"/>
        </w:rPr>
        <w:t xml:space="preserve"> </w:t>
      </w:r>
      <w:r w:rsidR="005D71FC">
        <w:rPr>
          <w:rFonts w:ascii="Times New Roman" w:hAnsi="Times New Roman" w:cs="Times New Roman"/>
          <w:sz w:val="24"/>
          <w:szCs w:val="24"/>
        </w:rPr>
        <w:t>(</w:t>
      </w:r>
      <w:r w:rsidR="005D71FC">
        <w:rPr>
          <w:rFonts w:ascii="Times New Roman" w:hAnsi="Times New Roman" w:cs="Times New Roman"/>
          <w:i/>
          <w:sz w:val="24"/>
          <w:szCs w:val="24"/>
        </w:rPr>
        <w:t xml:space="preserve">n </w:t>
      </w:r>
      <w:r w:rsidR="005D71FC" w:rsidRPr="005D71FC">
        <w:rPr>
          <w:rFonts w:ascii="Times New Roman" w:hAnsi="Times New Roman" w:cs="Times New Roman"/>
          <w:sz w:val="24"/>
          <w:szCs w:val="24"/>
        </w:rPr>
        <w:t>=</w:t>
      </w:r>
      <w:r w:rsidR="005D71FC">
        <w:rPr>
          <w:rFonts w:ascii="Times New Roman" w:hAnsi="Times New Roman" w:cs="Times New Roman"/>
          <w:i/>
          <w:sz w:val="24"/>
          <w:szCs w:val="24"/>
        </w:rPr>
        <w:t xml:space="preserve"> </w:t>
      </w:r>
      <w:r w:rsidR="005D71FC">
        <w:rPr>
          <w:rFonts w:ascii="Times New Roman" w:hAnsi="Times New Roman" w:cs="Times New Roman"/>
          <w:sz w:val="24"/>
          <w:szCs w:val="24"/>
        </w:rPr>
        <w:t xml:space="preserve">37)were deemed useable. </w:t>
      </w:r>
    </w:p>
    <w:p w:rsidR="0073596C" w:rsidRPr="001B54CD" w:rsidRDefault="0073596C" w:rsidP="002305BB">
      <w:pPr>
        <w:spacing w:after="0" w:line="240" w:lineRule="auto"/>
        <w:ind w:firstLine="720"/>
        <w:rPr>
          <w:rFonts w:ascii="Times New Roman" w:hAnsi="Times New Roman" w:cs="Times New Roman"/>
          <w:sz w:val="16"/>
          <w:szCs w:val="24"/>
        </w:rPr>
      </w:pPr>
    </w:p>
    <w:p w:rsidR="00F11AE6" w:rsidRPr="0060351E" w:rsidRDefault="00F11AE6" w:rsidP="00842752">
      <w:pPr>
        <w:spacing w:after="0" w:line="240" w:lineRule="auto"/>
        <w:jc w:val="center"/>
        <w:rPr>
          <w:rFonts w:ascii="Times New Roman" w:hAnsi="Times New Roman" w:cs="Times New Roman"/>
          <w:b/>
          <w:sz w:val="24"/>
          <w:szCs w:val="24"/>
        </w:rPr>
      </w:pPr>
      <w:r w:rsidRPr="0060351E">
        <w:rPr>
          <w:rFonts w:ascii="Times New Roman" w:hAnsi="Times New Roman" w:cs="Times New Roman"/>
          <w:b/>
          <w:sz w:val="24"/>
          <w:szCs w:val="24"/>
        </w:rPr>
        <w:t>Results</w:t>
      </w:r>
    </w:p>
    <w:p w:rsidR="00842752" w:rsidRPr="001B54CD" w:rsidRDefault="00842752" w:rsidP="00842752">
      <w:pPr>
        <w:spacing w:after="0" w:line="240" w:lineRule="auto"/>
        <w:jc w:val="center"/>
        <w:rPr>
          <w:rFonts w:ascii="Times New Roman" w:hAnsi="Times New Roman" w:cs="Times New Roman"/>
          <w:b/>
          <w:sz w:val="16"/>
          <w:szCs w:val="24"/>
        </w:rPr>
      </w:pPr>
    </w:p>
    <w:p w:rsidR="00093FA5" w:rsidRPr="005D71FC" w:rsidRDefault="0060351E" w:rsidP="00842752">
      <w:pPr>
        <w:pStyle w:val="NoSpacing"/>
      </w:pPr>
      <w:r w:rsidRPr="0060351E">
        <w:t xml:space="preserve">The sample was primarily composed of females (62.2%) </w:t>
      </w:r>
      <w:r w:rsidR="00C34908" w:rsidRPr="0060351E">
        <w:t>less than o</w:t>
      </w:r>
      <w:r w:rsidRPr="0060351E">
        <w:t xml:space="preserve">r equal to </w:t>
      </w:r>
      <w:r>
        <w:t>20</w:t>
      </w:r>
      <w:r w:rsidRPr="0060351E">
        <w:t xml:space="preserve"> years of age (67.6%). Nearly the entire sample (91.9%) self-identified themselves as white. </w:t>
      </w:r>
      <w:r w:rsidR="00093FA5" w:rsidRPr="00B214E3">
        <w:t>Multiple paired</w:t>
      </w:r>
      <w:r w:rsidR="00093FA5">
        <w:t>-</w:t>
      </w:r>
      <w:r w:rsidR="00093FA5" w:rsidRPr="00B214E3">
        <w:t xml:space="preserve">samples </w:t>
      </w:r>
      <w:r w:rsidR="00093FA5" w:rsidRPr="00B214E3">
        <w:rPr>
          <w:i/>
        </w:rPr>
        <w:t>t</w:t>
      </w:r>
      <w:r w:rsidR="005D71FC">
        <w:t>-</w:t>
      </w:r>
      <w:r w:rsidR="00093FA5" w:rsidRPr="00B214E3">
        <w:t>tests were conducted to compare pre-course and post-course critical thinking abilities according to the 15 specific skill areas assessed by the CAT</w:t>
      </w:r>
      <w:r w:rsidR="005D71FC">
        <w:t xml:space="preserve"> (Table 1)</w:t>
      </w:r>
      <w:r w:rsidR="00FA1447">
        <w:t xml:space="preserve">. </w:t>
      </w:r>
      <w:r w:rsidR="005D71FC">
        <w:t>Students’ post-test scores were statistically (</w:t>
      </w:r>
      <w:r w:rsidR="005D71FC">
        <w:rPr>
          <w:i/>
        </w:rPr>
        <w:t xml:space="preserve">p </w:t>
      </w:r>
      <w:r w:rsidR="005D71FC">
        <w:t xml:space="preserve">&lt; .05) higher than their pre-test scores on five of the 15 specific skill areas and on their overall CAT total score. </w:t>
      </w:r>
    </w:p>
    <w:p w:rsidR="00EC1295" w:rsidRPr="001B54CD" w:rsidRDefault="00EC1295" w:rsidP="00EC1295">
      <w:pPr>
        <w:pStyle w:val="NoSpacing"/>
        <w:ind w:firstLine="0"/>
        <w:rPr>
          <w:sz w:val="16"/>
        </w:rPr>
      </w:pPr>
    </w:p>
    <w:p w:rsidR="00EC1295" w:rsidRPr="00093FA5" w:rsidRDefault="00EC1295" w:rsidP="00EC1295">
      <w:pPr>
        <w:spacing w:after="0" w:line="240" w:lineRule="auto"/>
        <w:rPr>
          <w:rFonts w:ascii="Times New Roman" w:hAnsi="Times New Roman" w:cs="Times New Roman"/>
          <w:sz w:val="24"/>
        </w:rPr>
      </w:pPr>
      <w:r w:rsidRPr="00093FA5">
        <w:rPr>
          <w:rFonts w:ascii="Times New Roman" w:hAnsi="Times New Roman" w:cs="Times New Roman"/>
          <w:sz w:val="24"/>
        </w:rPr>
        <w:t>Table 1</w:t>
      </w:r>
    </w:p>
    <w:p w:rsidR="00EC1295" w:rsidRPr="00093FA5" w:rsidRDefault="00EC1295" w:rsidP="00EC1295">
      <w:pPr>
        <w:spacing w:after="0" w:line="240" w:lineRule="auto"/>
        <w:rPr>
          <w:rFonts w:ascii="Times New Roman" w:hAnsi="Times New Roman" w:cs="Times New Roman"/>
          <w:sz w:val="24"/>
        </w:rPr>
      </w:pPr>
      <w:r w:rsidRPr="00093FA5">
        <w:rPr>
          <w:rFonts w:ascii="Times New Roman" w:hAnsi="Times New Roman" w:cs="Times New Roman"/>
          <w:i/>
          <w:sz w:val="24"/>
        </w:rPr>
        <w:t xml:space="preserve">Results of Paired Samples t Test of Students Enrolled in </w:t>
      </w:r>
      <w:r w:rsidR="001C7B3C" w:rsidRPr="00093FA5">
        <w:rPr>
          <w:rFonts w:ascii="Times New Roman" w:hAnsi="Times New Roman" w:cs="Times New Roman"/>
          <w:i/>
          <w:sz w:val="24"/>
        </w:rPr>
        <w:t>NRSM 101</w:t>
      </w:r>
      <w:r w:rsidRPr="00093FA5">
        <w:rPr>
          <w:rFonts w:ascii="Times New Roman" w:hAnsi="Times New Roman" w:cs="Times New Roman"/>
          <w:i/>
          <w:sz w:val="24"/>
        </w:rPr>
        <w:t xml:space="preserve"> (n = </w:t>
      </w:r>
      <w:r w:rsidR="001C7B3C" w:rsidRPr="00093FA5">
        <w:rPr>
          <w:rFonts w:ascii="Times New Roman" w:hAnsi="Times New Roman" w:cs="Times New Roman"/>
          <w:i/>
          <w:sz w:val="24"/>
        </w:rPr>
        <w:t>37</w:t>
      </w:r>
      <w:r w:rsidRPr="00093FA5">
        <w:rPr>
          <w:rFonts w:ascii="Times New Roman" w:hAnsi="Times New Roman" w:cs="Times New Roman"/>
          <w:i/>
          <w:sz w:val="24"/>
        </w:rPr>
        <w:t>)</w:t>
      </w:r>
    </w:p>
    <w:tbl>
      <w:tblPr>
        <w:tblStyle w:val="TableGrid"/>
        <w:tblW w:w="9355" w:type="dxa"/>
        <w:tblLook w:val="04A0" w:firstRow="1" w:lastRow="0" w:firstColumn="1" w:lastColumn="0" w:noHBand="0" w:noVBand="1"/>
      </w:tblPr>
      <w:tblGrid>
        <w:gridCol w:w="5940"/>
        <w:gridCol w:w="900"/>
        <w:gridCol w:w="990"/>
        <w:gridCol w:w="450"/>
        <w:gridCol w:w="1075"/>
      </w:tblGrid>
      <w:tr w:rsidR="00EC1295" w:rsidTr="00D03202">
        <w:tc>
          <w:tcPr>
            <w:tcW w:w="5940" w:type="dxa"/>
            <w:tcBorders>
              <w:left w:val="nil"/>
              <w:right w:val="nil"/>
            </w:tcBorders>
            <w:vAlign w:val="center"/>
          </w:tcPr>
          <w:p w:rsidR="00EC1295" w:rsidRPr="005D71FC" w:rsidRDefault="001C7B3C" w:rsidP="00EC1295">
            <w:pPr>
              <w:ind w:left="67" w:hanging="180"/>
              <w:rPr>
                <w:rFonts w:cs="Times New Roman"/>
                <w:color w:val="000000"/>
                <w:sz w:val="22"/>
              </w:rPr>
            </w:pPr>
            <w:r w:rsidRPr="005D71FC">
              <w:rPr>
                <w:rFonts w:cs="Times New Roman"/>
                <w:color w:val="000000"/>
                <w:sz w:val="22"/>
              </w:rPr>
              <w:t>Skill area a</w:t>
            </w:r>
            <w:r w:rsidR="00EC1295" w:rsidRPr="005D71FC">
              <w:rPr>
                <w:rFonts w:cs="Times New Roman"/>
                <w:color w:val="000000"/>
                <w:sz w:val="22"/>
              </w:rPr>
              <w:t>ssessed</w:t>
            </w:r>
          </w:p>
        </w:tc>
        <w:tc>
          <w:tcPr>
            <w:tcW w:w="900" w:type="dxa"/>
            <w:tcBorders>
              <w:left w:val="nil"/>
              <w:right w:val="nil"/>
            </w:tcBorders>
          </w:tcPr>
          <w:p w:rsidR="00EC1295" w:rsidRPr="005D71FC" w:rsidRDefault="00EC1295" w:rsidP="001C7B3C">
            <w:pPr>
              <w:jc w:val="center"/>
              <w:rPr>
                <w:rFonts w:cs="Times New Roman"/>
                <w:sz w:val="22"/>
              </w:rPr>
            </w:pPr>
            <w:r w:rsidRPr="005D71FC">
              <w:rPr>
                <w:rFonts w:cs="Times New Roman"/>
                <w:sz w:val="22"/>
              </w:rPr>
              <w:t>Pre-test</w:t>
            </w:r>
          </w:p>
        </w:tc>
        <w:tc>
          <w:tcPr>
            <w:tcW w:w="990" w:type="dxa"/>
            <w:tcBorders>
              <w:left w:val="nil"/>
              <w:right w:val="nil"/>
            </w:tcBorders>
          </w:tcPr>
          <w:p w:rsidR="00EC1295" w:rsidRPr="005D71FC" w:rsidRDefault="00EC1295" w:rsidP="001C7B3C">
            <w:pPr>
              <w:jc w:val="center"/>
              <w:rPr>
                <w:rFonts w:cs="Times New Roman"/>
                <w:sz w:val="22"/>
              </w:rPr>
            </w:pPr>
            <w:r w:rsidRPr="005D71FC">
              <w:rPr>
                <w:rFonts w:cs="Times New Roman"/>
                <w:sz w:val="22"/>
              </w:rPr>
              <w:t>Post-test</w:t>
            </w:r>
          </w:p>
        </w:tc>
        <w:tc>
          <w:tcPr>
            <w:tcW w:w="450" w:type="dxa"/>
            <w:tcBorders>
              <w:left w:val="nil"/>
              <w:right w:val="nil"/>
            </w:tcBorders>
          </w:tcPr>
          <w:p w:rsidR="00EC1295" w:rsidRPr="005D71FC" w:rsidRDefault="001C7B3C" w:rsidP="001C7B3C">
            <w:pPr>
              <w:jc w:val="center"/>
              <w:rPr>
                <w:rFonts w:cs="Times New Roman"/>
                <w:sz w:val="22"/>
              </w:rPr>
            </w:pPr>
            <w:r w:rsidRPr="005D71FC">
              <w:rPr>
                <w:rFonts w:cs="Times New Roman"/>
                <w:i/>
                <w:sz w:val="22"/>
              </w:rPr>
              <w:t>p</w:t>
            </w:r>
            <w:r w:rsidR="00EC1295" w:rsidRPr="005D71FC">
              <w:rPr>
                <w:rFonts w:cs="Times New Roman"/>
                <w:sz w:val="22"/>
                <w:vertAlign w:val="superscript"/>
              </w:rPr>
              <w:t>a</w:t>
            </w:r>
          </w:p>
        </w:tc>
        <w:tc>
          <w:tcPr>
            <w:tcW w:w="1075" w:type="dxa"/>
            <w:tcBorders>
              <w:left w:val="nil"/>
              <w:right w:val="nil"/>
            </w:tcBorders>
          </w:tcPr>
          <w:p w:rsidR="00EC1295" w:rsidRPr="005D71FC" w:rsidRDefault="00EC1295" w:rsidP="00D03202">
            <w:pPr>
              <w:jc w:val="center"/>
              <w:rPr>
                <w:rFonts w:cs="Times New Roman"/>
                <w:sz w:val="22"/>
              </w:rPr>
            </w:pPr>
            <w:r w:rsidRPr="005D71FC">
              <w:rPr>
                <w:rFonts w:cs="Times New Roman"/>
                <w:sz w:val="22"/>
              </w:rPr>
              <w:t>Eff</w:t>
            </w:r>
            <w:r w:rsidR="00D03202">
              <w:rPr>
                <w:rFonts w:cs="Times New Roman"/>
                <w:sz w:val="22"/>
              </w:rPr>
              <w:t xml:space="preserve">. </w:t>
            </w:r>
            <w:proofErr w:type="spellStart"/>
            <w:r w:rsidRPr="005D71FC">
              <w:rPr>
                <w:rFonts w:cs="Times New Roman"/>
                <w:sz w:val="22"/>
              </w:rPr>
              <w:t>Size</w:t>
            </w:r>
            <w:r w:rsidRPr="005D71FC">
              <w:rPr>
                <w:rFonts w:cs="Times New Roman"/>
                <w:sz w:val="22"/>
                <w:vertAlign w:val="superscript"/>
              </w:rPr>
              <w:t>b</w:t>
            </w:r>
            <w:proofErr w:type="spellEnd"/>
          </w:p>
        </w:tc>
      </w:tr>
      <w:tr w:rsidR="00093FA5" w:rsidTr="00D03202">
        <w:tc>
          <w:tcPr>
            <w:tcW w:w="5940" w:type="dxa"/>
            <w:tcBorders>
              <w:left w:val="nil"/>
              <w:bottom w:val="nil"/>
              <w:right w:val="nil"/>
            </w:tcBorders>
            <w:vAlign w:val="center"/>
          </w:tcPr>
          <w:p w:rsidR="00093FA5" w:rsidRPr="005D71FC" w:rsidRDefault="00093FA5" w:rsidP="00093FA5">
            <w:pPr>
              <w:ind w:left="67" w:hanging="180"/>
              <w:rPr>
                <w:rFonts w:cs="Times New Roman"/>
                <w:color w:val="000000"/>
                <w:sz w:val="22"/>
              </w:rPr>
            </w:pPr>
            <w:r w:rsidRPr="005D71FC">
              <w:rPr>
                <w:rFonts w:cs="Times New Roman"/>
                <w:color w:val="000000"/>
                <w:sz w:val="22"/>
              </w:rPr>
              <w:t>Evaluate strength of correlational-type data.</w:t>
            </w:r>
          </w:p>
        </w:tc>
        <w:tc>
          <w:tcPr>
            <w:tcW w:w="900" w:type="dxa"/>
            <w:tcBorders>
              <w:left w:val="nil"/>
              <w:bottom w:val="nil"/>
              <w:right w:val="nil"/>
            </w:tcBorders>
          </w:tcPr>
          <w:p w:rsidR="00093FA5" w:rsidRPr="005D71FC" w:rsidRDefault="00093FA5" w:rsidP="00093FA5">
            <w:pPr>
              <w:jc w:val="center"/>
              <w:rPr>
                <w:rFonts w:cs="Times New Roman"/>
                <w:sz w:val="22"/>
              </w:rPr>
            </w:pPr>
            <w:r w:rsidRPr="005D71FC">
              <w:rPr>
                <w:rFonts w:cs="Times New Roman"/>
                <w:sz w:val="22"/>
              </w:rPr>
              <w:t>0.81</w:t>
            </w:r>
          </w:p>
        </w:tc>
        <w:tc>
          <w:tcPr>
            <w:tcW w:w="990" w:type="dxa"/>
            <w:tcBorders>
              <w:left w:val="nil"/>
              <w:bottom w:val="nil"/>
              <w:right w:val="nil"/>
            </w:tcBorders>
          </w:tcPr>
          <w:p w:rsidR="00093FA5" w:rsidRPr="005D71FC" w:rsidRDefault="00093FA5" w:rsidP="00093FA5">
            <w:pPr>
              <w:jc w:val="center"/>
              <w:rPr>
                <w:rFonts w:cs="Times New Roman"/>
                <w:sz w:val="22"/>
              </w:rPr>
            </w:pPr>
            <w:r w:rsidRPr="005D71FC">
              <w:rPr>
                <w:rFonts w:cs="Times New Roman"/>
                <w:sz w:val="22"/>
              </w:rPr>
              <w:t>1.78</w:t>
            </w:r>
          </w:p>
        </w:tc>
        <w:tc>
          <w:tcPr>
            <w:tcW w:w="450" w:type="dxa"/>
            <w:tcBorders>
              <w:left w:val="nil"/>
              <w:bottom w:val="nil"/>
              <w:right w:val="nil"/>
            </w:tcBorders>
          </w:tcPr>
          <w:p w:rsidR="00093FA5" w:rsidRPr="005D71FC" w:rsidRDefault="00093FA5" w:rsidP="00093FA5">
            <w:pPr>
              <w:jc w:val="center"/>
              <w:rPr>
                <w:rFonts w:cs="Times New Roman"/>
                <w:sz w:val="22"/>
              </w:rPr>
            </w:pPr>
            <w:r w:rsidRPr="005D71FC">
              <w:rPr>
                <w:rFonts w:cs="Times New Roman"/>
                <w:sz w:val="22"/>
              </w:rPr>
              <w:t>**</w:t>
            </w:r>
          </w:p>
        </w:tc>
        <w:tc>
          <w:tcPr>
            <w:tcW w:w="1075" w:type="dxa"/>
            <w:tcBorders>
              <w:left w:val="nil"/>
              <w:bottom w:val="nil"/>
              <w:right w:val="nil"/>
            </w:tcBorders>
          </w:tcPr>
          <w:p w:rsidR="00093FA5" w:rsidRPr="005D71FC" w:rsidRDefault="00093FA5" w:rsidP="00093FA5">
            <w:pPr>
              <w:jc w:val="center"/>
              <w:rPr>
                <w:rFonts w:cs="Times New Roman"/>
                <w:sz w:val="22"/>
              </w:rPr>
            </w:pPr>
            <w:r w:rsidRPr="005D71FC">
              <w:rPr>
                <w:rFonts w:cs="Times New Roman"/>
                <w:sz w:val="22"/>
              </w:rPr>
              <w:t>+ .78</w:t>
            </w:r>
          </w:p>
        </w:tc>
      </w:tr>
      <w:tr w:rsidR="00093FA5" w:rsidTr="00D03202">
        <w:tc>
          <w:tcPr>
            <w:tcW w:w="5940" w:type="dxa"/>
            <w:tcBorders>
              <w:top w:val="nil"/>
              <w:left w:val="nil"/>
              <w:bottom w:val="nil"/>
              <w:right w:val="nil"/>
            </w:tcBorders>
            <w:vAlign w:val="center"/>
          </w:tcPr>
          <w:p w:rsidR="00093FA5" w:rsidRPr="005D71FC" w:rsidRDefault="00093FA5" w:rsidP="00093FA5">
            <w:pPr>
              <w:ind w:left="67" w:hanging="180"/>
              <w:rPr>
                <w:rFonts w:cs="Times New Roman"/>
                <w:color w:val="000000"/>
                <w:sz w:val="22"/>
              </w:rPr>
            </w:pPr>
            <w:r w:rsidRPr="005D71FC">
              <w:rPr>
                <w:rFonts w:cs="Times New Roman"/>
                <w:color w:val="000000"/>
                <w:sz w:val="22"/>
              </w:rPr>
              <w:t xml:space="preserve">Identify additional info. </w:t>
            </w:r>
            <w:proofErr w:type="gramStart"/>
            <w:r w:rsidRPr="005D71FC">
              <w:rPr>
                <w:rFonts w:cs="Times New Roman"/>
                <w:color w:val="000000"/>
                <w:sz w:val="22"/>
              </w:rPr>
              <w:t>needed</w:t>
            </w:r>
            <w:proofErr w:type="gramEnd"/>
            <w:r w:rsidRPr="005D71FC">
              <w:rPr>
                <w:rFonts w:cs="Times New Roman"/>
                <w:color w:val="000000"/>
                <w:sz w:val="22"/>
              </w:rPr>
              <w:t xml:space="preserve"> to evaluate a hypothesis.</w:t>
            </w:r>
          </w:p>
        </w:tc>
        <w:tc>
          <w:tcPr>
            <w:tcW w:w="90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1.32</w:t>
            </w:r>
          </w:p>
        </w:tc>
        <w:tc>
          <w:tcPr>
            <w:tcW w:w="99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0.62</w:t>
            </w:r>
          </w:p>
        </w:tc>
        <w:tc>
          <w:tcPr>
            <w:tcW w:w="45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w:t>
            </w:r>
          </w:p>
        </w:tc>
        <w:tc>
          <w:tcPr>
            <w:tcW w:w="1075"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 .68</w:t>
            </w:r>
          </w:p>
        </w:tc>
      </w:tr>
      <w:tr w:rsidR="00093FA5" w:rsidTr="00D03202">
        <w:tc>
          <w:tcPr>
            <w:tcW w:w="5940" w:type="dxa"/>
            <w:tcBorders>
              <w:top w:val="nil"/>
              <w:left w:val="nil"/>
              <w:bottom w:val="nil"/>
              <w:right w:val="nil"/>
            </w:tcBorders>
            <w:vAlign w:val="center"/>
          </w:tcPr>
          <w:p w:rsidR="00093FA5" w:rsidRPr="005D71FC" w:rsidRDefault="00093FA5" w:rsidP="00093FA5">
            <w:pPr>
              <w:ind w:left="67" w:hanging="180"/>
              <w:rPr>
                <w:rFonts w:cs="Times New Roman"/>
                <w:color w:val="000000"/>
                <w:sz w:val="22"/>
              </w:rPr>
            </w:pPr>
            <w:r w:rsidRPr="005D71FC">
              <w:rPr>
                <w:rFonts w:cs="Times New Roman"/>
                <w:color w:val="000000"/>
                <w:sz w:val="22"/>
              </w:rPr>
              <w:t>Summarize pattern of results in a graph.</w:t>
            </w:r>
          </w:p>
        </w:tc>
        <w:tc>
          <w:tcPr>
            <w:tcW w:w="90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0.57</w:t>
            </w:r>
          </w:p>
        </w:tc>
        <w:tc>
          <w:tcPr>
            <w:tcW w:w="99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0.84</w:t>
            </w:r>
          </w:p>
        </w:tc>
        <w:tc>
          <w:tcPr>
            <w:tcW w:w="45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w:t>
            </w:r>
          </w:p>
        </w:tc>
        <w:tc>
          <w:tcPr>
            <w:tcW w:w="1075"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 .61</w:t>
            </w:r>
          </w:p>
        </w:tc>
      </w:tr>
      <w:tr w:rsidR="00093FA5" w:rsidTr="00D03202">
        <w:tc>
          <w:tcPr>
            <w:tcW w:w="5940" w:type="dxa"/>
            <w:tcBorders>
              <w:top w:val="nil"/>
              <w:left w:val="nil"/>
              <w:bottom w:val="nil"/>
              <w:right w:val="nil"/>
            </w:tcBorders>
            <w:vAlign w:val="center"/>
          </w:tcPr>
          <w:p w:rsidR="00093FA5" w:rsidRPr="005D71FC" w:rsidRDefault="00093FA5" w:rsidP="00D03202">
            <w:pPr>
              <w:ind w:left="67" w:hanging="180"/>
              <w:rPr>
                <w:rFonts w:cs="Times New Roman"/>
                <w:color w:val="000000"/>
                <w:sz w:val="22"/>
              </w:rPr>
            </w:pPr>
            <w:r w:rsidRPr="005D71FC">
              <w:rPr>
                <w:rFonts w:cs="Times New Roman"/>
                <w:color w:val="000000"/>
                <w:sz w:val="22"/>
              </w:rPr>
              <w:t xml:space="preserve">Identify and explain the best solution </w:t>
            </w:r>
            <w:r w:rsidRPr="005D71FC">
              <w:rPr>
                <w:rFonts w:cs="Times New Roman"/>
                <w:sz w:val="22"/>
              </w:rPr>
              <w:t xml:space="preserve">for a real-world problem </w:t>
            </w:r>
          </w:p>
        </w:tc>
        <w:tc>
          <w:tcPr>
            <w:tcW w:w="90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1.49</w:t>
            </w:r>
          </w:p>
        </w:tc>
        <w:tc>
          <w:tcPr>
            <w:tcW w:w="99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2.59</w:t>
            </w:r>
          </w:p>
        </w:tc>
        <w:tc>
          <w:tcPr>
            <w:tcW w:w="45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w:t>
            </w:r>
          </w:p>
        </w:tc>
        <w:tc>
          <w:tcPr>
            <w:tcW w:w="1075"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 .59</w:t>
            </w:r>
          </w:p>
        </w:tc>
      </w:tr>
      <w:tr w:rsidR="00093FA5" w:rsidTr="00D03202">
        <w:tc>
          <w:tcPr>
            <w:tcW w:w="5940" w:type="dxa"/>
            <w:tcBorders>
              <w:top w:val="nil"/>
              <w:left w:val="nil"/>
              <w:bottom w:val="nil"/>
              <w:right w:val="nil"/>
            </w:tcBorders>
            <w:vAlign w:val="center"/>
          </w:tcPr>
          <w:p w:rsidR="00093FA5" w:rsidRPr="005D71FC" w:rsidRDefault="00093FA5" w:rsidP="00093FA5">
            <w:pPr>
              <w:ind w:left="67" w:hanging="180"/>
              <w:rPr>
                <w:rFonts w:cs="Times New Roman"/>
                <w:color w:val="000000"/>
                <w:sz w:val="22"/>
              </w:rPr>
            </w:pPr>
            <w:r w:rsidRPr="005D71FC">
              <w:rPr>
                <w:rFonts w:cs="Times New Roman"/>
                <w:color w:val="000000"/>
                <w:sz w:val="22"/>
              </w:rPr>
              <w:t>Use/apply relevant information.</w:t>
            </w:r>
          </w:p>
        </w:tc>
        <w:tc>
          <w:tcPr>
            <w:tcW w:w="90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1.03</w:t>
            </w:r>
          </w:p>
        </w:tc>
        <w:tc>
          <w:tcPr>
            <w:tcW w:w="99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1.38</w:t>
            </w:r>
          </w:p>
        </w:tc>
        <w:tc>
          <w:tcPr>
            <w:tcW w:w="45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w:t>
            </w:r>
          </w:p>
        </w:tc>
        <w:tc>
          <w:tcPr>
            <w:tcW w:w="1075"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 .51</w:t>
            </w:r>
          </w:p>
        </w:tc>
      </w:tr>
      <w:tr w:rsidR="00093FA5" w:rsidTr="00D03202">
        <w:tc>
          <w:tcPr>
            <w:tcW w:w="5940" w:type="dxa"/>
            <w:tcBorders>
              <w:top w:val="nil"/>
              <w:left w:val="nil"/>
              <w:bottom w:val="nil"/>
              <w:right w:val="nil"/>
            </w:tcBorders>
            <w:vAlign w:val="center"/>
          </w:tcPr>
          <w:p w:rsidR="00093FA5" w:rsidRPr="005D71FC" w:rsidRDefault="00093FA5" w:rsidP="00D03202">
            <w:pPr>
              <w:ind w:left="67" w:hanging="180"/>
              <w:rPr>
                <w:rFonts w:cs="Times New Roman"/>
                <w:color w:val="000000"/>
                <w:sz w:val="22"/>
              </w:rPr>
            </w:pPr>
            <w:r w:rsidRPr="005D71FC">
              <w:rPr>
                <w:rFonts w:cs="Times New Roman"/>
                <w:color w:val="000000"/>
                <w:sz w:val="22"/>
              </w:rPr>
              <w:t xml:space="preserve">Identify suitable solutions for a real-world problem </w:t>
            </w:r>
          </w:p>
        </w:tc>
        <w:tc>
          <w:tcPr>
            <w:tcW w:w="90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0.65</w:t>
            </w:r>
          </w:p>
        </w:tc>
        <w:tc>
          <w:tcPr>
            <w:tcW w:w="99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1.03</w:t>
            </w:r>
          </w:p>
        </w:tc>
        <w:tc>
          <w:tcPr>
            <w:tcW w:w="450"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w:t>
            </w:r>
          </w:p>
        </w:tc>
        <w:tc>
          <w:tcPr>
            <w:tcW w:w="1075" w:type="dxa"/>
            <w:tcBorders>
              <w:top w:val="nil"/>
              <w:left w:val="nil"/>
              <w:bottom w:val="nil"/>
              <w:right w:val="nil"/>
            </w:tcBorders>
          </w:tcPr>
          <w:p w:rsidR="00093FA5" w:rsidRPr="005D71FC" w:rsidRDefault="00093FA5" w:rsidP="00093FA5">
            <w:pPr>
              <w:jc w:val="center"/>
              <w:rPr>
                <w:rFonts w:cs="Times New Roman"/>
                <w:sz w:val="22"/>
              </w:rPr>
            </w:pPr>
            <w:r w:rsidRPr="005D71FC">
              <w:rPr>
                <w:rFonts w:cs="Times New Roman"/>
                <w:sz w:val="22"/>
              </w:rPr>
              <w:t>+ .40</w:t>
            </w:r>
          </w:p>
        </w:tc>
      </w:tr>
      <w:tr w:rsidR="00093FA5" w:rsidTr="00D03202">
        <w:tc>
          <w:tcPr>
            <w:tcW w:w="5940" w:type="dxa"/>
            <w:tcBorders>
              <w:top w:val="nil"/>
              <w:left w:val="nil"/>
              <w:right w:val="nil"/>
            </w:tcBorders>
            <w:vAlign w:val="center"/>
          </w:tcPr>
          <w:p w:rsidR="00093FA5" w:rsidRPr="005D71FC" w:rsidRDefault="00093FA5" w:rsidP="00093FA5">
            <w:pPr>
              <w:ind w:left="67" w:hanging="180"/>
              <w:rPr>
                <w:rFonts w:cs="Times New Roman"/>
                <w:color w:val="000000"/>
                <w:sz w:val="22"/>
              </w:rPr>
            </w:pPr>
            <w:r w:rsidRPr="005D71FC">
              <w:rPr>
                <w:rFonts w:cs="Times New Roman"/>
                <w:color w:val="000000"/>
                <w:sz w:val="22"/>
              </w:rPr>
              <w:t>CAT total score</w:t>
            </w:r>
          </w:p>
        </w:tc>
        <w:tc>
          <w:tcPr>
            <w:tcW w:w="900" w:type="dxa"/>
            <w:tcBorders>
              <w:top w:val="nil"/>
              <w:left w:val="nil"/>
              <w:right w:val="nil"/>
            </w:tcBorders>
          </w:tcPr>
          <w:p w:rsidR="00093FA5" w:rsidRPr="005D71FC" w:rsidRDefault="00093FA5" w:rsidP="00093FA5">
            <w:pPr>
              <w:jc w:val="center"/>
              <w:rPr>
                <w:rFonts w:cs="Times New Roman"/>
                <w:sz w:val="22"/>
              </w:rPr>
            </w:pPr>
            <w:r w:rsidRPr="005D71FC">
              <w:rPr>
                <w:rFonts w:cs="Times New Roman"/>
                <w:sz w:val="22"/>
              </w:rPr>
              <w:t>15.25</w:t>
            </w:r>
          </w:p>
        </w:tc>
        <w:tc>
          <w:tcPr>
            <w:tcW w:w="990" w:type="dxa"/>
            <w:tcBorders>
              <w:top w:val="nil"/>
              <w:left w:val="nil"/>
              <w:right w:val="nil"/>
            </w:tcBorders>
          </w:tcPr>
          <w:p w:rsidR="00093FA5" w:rsidRPr="005D71FC" w:rsidRDefault="00093FA5" w:rsidP="00093FA5">
            <w:pPr>
              <w:jc w:val="center"/>
              <w:rPr>
                <w:rFonts w:cs="Times New Roman"/>
                <w:sz w:val="22"/>
              </w:rPr>
            </w:pPr>
            <w:r w:rsidRPr="005D71FC">
              <w:rPr>
                <w:rFonts w:cs="Times New Roman"/>
                <w:sz w:val="22"/>
              </w:rPr>
              <w:t>18.05</w:t>
            </w:r>
          </w:p>
        </w:tc>
        <w:tc>
          <w:tcPr>
            <w:tcW w:w="450" w:type="dxa"/>
            <w:tcBorders>
              <w:top w:val="nil"/>
              <w:left w:val="nil"/>
              <w:right w:val="nil"/>
            </w:tcBorders>
          </w:tcPr>
          <w:p w:rsidR="00093FA5" w:rsidRPr="005D71FC" w:rsidRDefault="00093FA5" w:rsidP="00093FA5">
            <w:pPr>
              <w:jc w:val="center"/>
              <w:rPr>
                <w:rFonts w:cs="Times New Roman"/>
                <w:sz w:val="22"/>
              </w:rPr>
            </w:pPr>
            <w:r w:rsidRPr="005D71FC">
              <w:rPr>
                <w:rFonts w:cs="Times New Roman"/>
                <w:sz w:val="22"/>
              </w:rPr>
              <w:t>**</w:t>
            </w:r>
          </w:p>
        </w:tc>
        <w:tc>
          <w:tcPr>
            <w:tcW w:w="1075" w:type="dxa"/>
            <w:tcBorders>
              <w:top w:val="nil"/>
              <w:left w:val="nil"/>
              <w:right w:val="nil"/>
            </w:tcBorders>
          </w:tcPr>
          <w:p w:rsidR="00093FA5" w:rsidRPr="005D71FC" w:rsidRDefault="00093FA5" w:rsidP="00093FA5">
            <w:pPr>
              <w:jc w:val="center"/>
              <w:rPr>
                <w:rFonts w:cs="Times New Roman"/>
                <w:sz w:val="22"/>
              </w:rPr>
            </w:pPr>
            <w:r w:rsidRPr="005D71FC">
              <w:rPr>
                <w:rFonts w:cs="Times New Roman"/>
                <w:sz w:val="22"/>
              </w:rPr>
              <w:t>+ .52</w:t>
            </w:r>
          </w:p>
        </w:tc>
      </w:tr>
    </w:tbl>
    <w:p w:rsidR="00EC1295" w:rsidRPr="00093FA5" w:rsidRDefault="00EC1295" w:rsidP="00EC1295">
      <w:pPr>
        <w:spacing w:after="0" w:line="240" w:lineRule="auto"/>
        <w:rPr>
          <w:rFonts w:ascii="Times New Roman" w:hAnsi="Times New Roman" w:cs="Times New Roman"/>
          <w:sz w:val="24"/>
        </w:rPr>
      </w:pPr>
      <w:proofErr w:type="spellStart"/>
      <w:proofErr w:type="gramStart"/>
      <w:r w:rsidRPr="00093FA5">
        <w:rPr>
          <w:rFonts w:ascii="Times New Roman" w:hAnsi="Times New Roman" w:cs="Times New Roman"/>
          <w:sz w:val="24"/>
          <w:vertAlign w:val="superscript"/>
        </w:rPr>
        <w:t>a</w:t>
      </w:r>
      <w:r w:rsidRPr="00093FA5">
        <w:rPr>
          <w:rFonts w:ascii="Times New Roman" w:hAnsi="Times New Roman" w:cs="Times New Roman"/>
          <w:sz w:val="24"/>
        </w:rPr>
        <w:t>Probability</w:t>
      </w:r>
      <w:proofErr w:type="spellEnd"/>
      <w:proofErr w:type="gramEnd"/>
      <w:r w:rsidRPr="00093FA5">
        <w:rPr>
          <w:rFonts w:ascii="Times New Roman" w:hAnsi="Times New Roman" w:cs="Times New Roman"/>
          <w:sz w:val="24"/>
        </w:rPr>
        <w:t xml:space="preserve"> of difference; </w:t>
      </w:r>
      <w:proofErr w:type="spellStart"/>
      <w:r w:rsidR="001C7B3C" w:rsidRPr="00093FA5">
        <w:rPr>
          <w:rFonts w:ascii="Times New Roman" w:hAnsi="Times New Roman" w:cs="Times New Roman"/>
          <w:sz w:val="24"/>
          <w:vertAlign w:val="superscript"/>
        </w:rPr>
        <w:t>b</w:t>
      </w:r>
      <w:r w:rsidRPr="00093FA5">
        <w:rPr>
          <w:rFonts w:ascii="Times New Roman" w:hAnsi="Times New Roman" w:cs="Times New Roman"/>
          <w:sz w:val="24"/>
        </w:rPr>
        <w:t>Mean</w:t>
      </w:r>
      <w:proofErr w:type="spellEnd"/>
      <w:r w:rsidRPr="00093FA5">
        <w:rPr>
          <w:rFonts w:ascii="Times New Roman" w:hAnsi="Times New Roman" w:cs="Times New Roman"/>
          <w:sz w:val="24"/>
        </w:rPr>
        <w:t xml:space="preserve"> difference divided by pooled group </w:t>
      </w:r>
      <w:r w:rsidRPr="00093FA5">
        <w:rPr>
          <w:rFonts w:ascii="Times New Roman" w:hAnsi="Times New Roman" w:cs="Times New Roman"/>
          <w:i/>
          <w:sz w:val="24"/>
        </w:rPr>
        <w:t>SD</w:t>
      </w:r>
      <w:r w:rsidRPr="00093FA5">
        <w:rPr>
          <w:rFonts w:ascii="Times New Roman" w:hAnsi="Times New Roman" w:cs="Times New Roman"/>
          <w:sz w:val="24"/>
        </w:rPr>
        <w:t xml:space="preserve"> (0.02 = small; 0.3 – 0.15 = moderate; &gt; 0.35 = large). * </w:t>
      </w:r>
      <w:proofErr w:type="gramStart"/>
      <w:r w:rsidRPr="00093FA5">
        <w:rPr>
          <w:rFonts w:ascii="Times New Roman" w:hAnsi="Times New Roman" w:cs="Times New Roman"/>
          <w:i/>
          <w:sz w:val="24"/>
        </w:rPr>
        <w:t>p</w:t>
      </w:r>
      <w:proofErr w:type="gramEnd"/>
      <w:r w:rsidRPr="00093FA5">
        <w:rPr>
          <w:rFonts w:ascii="Times New Roman" w:hAnsi="Times New Roman" w:cs="Times New Roman"/>
          <w:sz w:val="24"/>
        </w:rPr>
        <w:t xml:space="preserve"> &lt; .05. </w:t>
      </w:r>
      <w:r w:rsidR="001C7B3C" w:rsidRPr="00093FA5">
        <w:rPr>
          <w:rFonts w:ascii="Times New Roman" w:hAnsi="Times New Roman" w:cs="Times New Roman"/>
          <w:sz w:val="24"/>
        </w:rPr>
        <w:t>**</w:t>
      </w:r>
      <w:r w:rsidR="00093FA5" w:rsidRPr="00093FA5">
        <w:rPr>
          <w:rFonts w:ascii="Times New Roman" w:hAnsi="Times New Roman" w:cs="Times New Roman"/>
          <w:sz w:val="24"/>
        </w:rPr>
        <w:t xml:space="preserve"> </w:t>
      </w:r>
      <w:proofErr w:type="gramStart"/>
      <w:r w:rsidR="001C7B3C" w:rsidRPr="00093FA5">
        <w:rPr>
          <w:rFonts w:ascii="Times New Roman" w:hAnsi="Times New Roman" w:cs="Times New Roman"/>
          <w:i/>
          <w:sz w:val="24"/>
        </w:rPr>
        <w:t>p</w:t>
      </w:r>
      <w:proofErr w:type="gramEnd"/>
      <w:r w:rsidR="00093FA5" w:rsidRPr="00093FA5">
        <w:rPr>
          <w:rFonts w:ascii="Times New Roman" w:hAnsi="Times New Roman" w:cs="Times New Roman"/>
          <w:i/>
          <w:sz w:val="24"/>
        </w:rPr>
        <w:t xml:space="preserve"> </w:t>
      </w:r>
      <w:r w:rsidR="001C7B3C" w:rsidRPr="00093FA5">
        <w:rPr>
          <w:rFonts w:ascii="Times New Roman" w:hAnsi="Times New Roman" w:cs="Times New Roman"/>
          <w:sz w:val="24"/>
        </w:rPr>
        <w:t>&lt;</w:t>
      </w:r>
      <w:r w:rsidR="00093FA5" w:rsidRPr="00093FA5">
        <w:rPr>
          <w:rFonts w:ascii="Times New Roman" w:hAnsi="Times New Roman" w:cs="Times New Roman"/>
          <w:sz w:val="24"/>
        </w:rPr>
        <w:t xml:space="preserve"> </w:t>
      </w:r>
      <w:r w:rsidR="001C7B3C" w:rsidRPr="00093FA5">
        <w:rPr>
          <w:rFonts w:ascii="Times New Roman" w:hAnsi="Times New Roman" w:cs="Times New Roman"/>
          <w:sz w:val="24"/>
        </w:rPr>
        <w:t>.01</w:t>
      </w:r>
      <w:r w:rsidR="00093FA5" w:rsidRPr="00093FA5">
        <w:rPr>
          <w:rFonts w:ascii="Times New Roman" w:hAnsi="Times New Roman" w:cs="Times New Roman"/>
          <w:sz w:val="24"/>
        </w:rPr>
        <w:t>.</w:t>
      </w:r>
      <w:r w:rsidR="001C7B3C" w:rsidRPr="00093FA5">
        <w:rPr>
          <w:rFonts w:ascii="Times New Roman" w:hAnsi="Times New Roman" w:cs="Times New Roman"/>
          <w:sz w:val="24"/>
        </w:rPr>
        <w:t xml:space="preserve"> </w:t>
      </w:r>
    </w:p>
    <w:p w:rsidR="00EC44F0" w:rsidRPr="001B54CD" w:rsidRDefault="00EC44F0" w:rsidP="00842752">
      <w:pPr>
        <w:pStyle w:val="NoSpacing"/>
        <w:rPr>
          <w:sz w:val="18"/>
        </w:rPr>
      </w:pPr>
    </w:p>
    <w:p w:rsidR="00F1537E" w:rsidRPr="0060351E" w:rsidRDefault="00F1537E" w:rsidP="00842752">
      <w:pPr>
        <w:spacing w:after="0" w:line="240" w:lineRule="auto"/>
        <w:jc w:val="center"/>
        <w:rPr>
          <w:rFonts w:ascii="Times New Roman" w:hAnsi="Times New Roman" w:cs="Times New Roman"/>
          <w:b/>
          <w:sz w:val="24"/>
          <w:szCs w:val="24"/>
        </w:rPr>
      </w:pPr>
      <w:r w:rsidRPr="00D03202">
        <w:rPr>
          <w:rFonts w:ascii="Times New Roman" w:hAnsi="Times New Roman" w:cs="Times New Roman"/>
          <w:b/>
          <w:sz w:val="24"/>
          <w:szCs w:val="24"/>
        </w:rPr>
        <w:t>Conclusions</w:t>
      </w:r>
      <w:r w:rsidR="008C37FA" w:rsidRPr="00D03202">
        <w:rPr>
          <w:rFonts w:ascii="Times New Roman" w:hAnsi="Times New Roman" w:cs="Times New Roman"/>
          <w:b/>
          <w:sz w:val="24"/>
          <w:szCs w:val="24"/>
        </w:rPr>
        <w:t>/Implications/R</w:t>
      </w:r>
      <w:r w:rsidR="004808B4" w:rsidRPr="00D03202">
        <w:rPr>
          <w:rFonts w:ascii="Times New Roman" w:hAnsi="Times New Roman" w:cs="Times New Roman"/>
          <w:b/>
          <w:sz w:val="24"/>
          <w:szCs w:val="24"/>
        </w:rPr>
        <w:t>ecommendations</w:t>
      </w:r>
    </w:p>
    <w:p w:rsidR="00842752" w:rsidRPr="001B54CD" w:rsidRDefault="00842752" w:rsidP="00842752">
      <w:pPr>
        <w:spacing w:after="0" w:line="240" w:lineRule="auto"/>
        <w:jc w:val="center"/>
        <w:rPr>
          <w:rFonts w:ascii="Times New Roman" w:hAnsi="Times New Roman" w:cs="Times New Roman"/>
          <w:b/>
          <w:sz w:val="18"/>
          <w:szCs w:val="24"/>
        </w:rPr>
      </w:pPr>
    </w:p>
    <w:p w:rsidR="00D03202" w:rsidRDefault="008C37FA" w:rsidP="001B54CD">
      <w:pPr>
        <w:pStyle w:val="NoSpacing"/>
        <w:rPr>
          <w:b/>
        </w:rPr>
      </w:pPr>
      <w:r>
        <w:t>Reflective of McComa’s (2014) 21</w:t>
      </w:r>
      <w:r w:rsidRPr="004E1ABE">
        <w:rPr>
          <w:vertAlign w:val="superscript"/>
        </w:rPr>
        <w:t>st</w:t>
      </w:r>
      <w:r>
        <w:t xml:space="preserve"> century skills and </w:t>
      </w:r>
      <w:r w:rsidRPr="0060351E">
        <w:t>Savvedra and Opfer</w:t>
      </w:r>
      <w:r>
        <w:t xml:space="preserve">’s (2012) </w:t>
      </w:r>
      <w:r w:rsidRPr="0060351E">
        <w:t>teaching lessons</w:t>
      </w:r>
      <w:r>
        <w:t xml:space="preserve">, our primary conclusion from this study is that enrollment in a semester-long natural resource management course that utilizes a comparative book analysis approach to </w:t>
      </w:r>
      <w:r w:rsidRPr="0060351E">
        <w:t xml:space="preserve">encourage students to analyze and evaluate claims </w:t>
      </w:r>
      <w:r>
        <w:t xml:space="preserve">can positively influence students’ overall critical thinking abilities. Abiding by the tenant of constructivism wherein </w:t>
      </w:r>
      <w:r w:rsidRPr="0060351E">
        <w:t>learning should occur in authentic environments</w:t>
      </w:r>
      <w:r>
        <w:t xml:space="preserve"> and be enhanced by personal experience</w:t>
      </w:r>
      <w:r w:rsidRPr="0060351E">
        <w:t xml:space="preserve"> (Doolittle &amp; Camp, 1999</w:t>
      </w:r>
      <w:r>
        <w:t>; Splan, Porr, &amp; Broyles, 2011), t</w:t>
      </w:r>
      <w:r w:rsidRPr="0060351E">
        <w:t xml:space="preserve">he comparative book </w:t>
      </w:r>
      <w:r>
        <w:t>analysis approach impelled</w:t>
      </w:r>
      <w:r w:rsidRPr="0060351E">
        <w:t xml:space="preserve"> students to </w:t>
      </w:r>
      <w:r>
        <w:t>construct new knowledge from inspecting</w:t>
      </w:r>
      <w:r w:rsidRPr="0060351E">
        <w:t xml:space="preserve"> </w:t>
      </w:r>
      <w:r>
        <w:t xml:space="preserve">their own </w:t>
      </w:r>
      <w:r w:rsidRPr="0060351E">
        <w:t xml:space="preserve">previous </w:t>
      </w:r>
      <w:r>
        <w:t>experiences</w:t>
      </w:r>
      <w:r w:rsidRPr="0060351E">
        <w:t xml:space="preserve"> and opinions of </w:t>
      </w:r>
      <w:r>
        <w:t xml:space="preserve">global warming and strive </w:t>
      </w:r>
      <w:r w:rsidRPr="0060351E">
        <w:t xml:space="preserve">for the higher levels of Bloom’s (1956) taxonomy. </w:t>
      </w:r>
      <w:r w:rsidR="005D71FC">
        <w:t xml:space="preserve">Implications for </w:t>
      </w:r>
      <w:r w:rsidR="00D03202">
        <w:t xml:space="preserve">curriculum development stem from the conclusion that the comparative book analysis approach possessed a positive influence on students’ </w:t>
      </w:r>
      <w:r w:rsidR="001B0B3D">
        <w:t xml:space="preserve">overall </w:t>
      </w:r>
      <w:r w:rsidR="00D03202">
        <w:t xml:space="preserve">critical thinking abilities. Therefore, the comparative book analysis approach should be considered by instructors who are </w:t>
      </w:r>
      <w:r w:rsidR="001B54CD">
        <w:t>seeking</w:t>
      </w:r>
      <w:r w:rsidR="00D03202">
        <w:t xml:space="preserve"> alternative approaches to increasing students’ </w:t>
      </w:r>
      <w:bookmarkStart w:id="0" w:name="_GoBack"/>
      <w:bookmarkEnd w:id="0"/>
      <w:r w:rsidR="00D03202">
        <w:t xml:space="preserve">critical thinking abilities. </w:t>
      </w:r>
      <w:r w:rsidR="005D71FC">
        <w:t>Recommendations for future studies include utilizing a control group</w:t>
      </w:r>
      <w:r w:rsidR="00D03202">
        <w:t xml:space="preserve"> to explore more definitive causal relationships and incorporating a qualitative approach to explore the role student experience played in forming opinions on, and analyzing, issues related to global warming. </w:t>
      </w:r>
      <w:r w:rsidR="00D03202">
        <w:rPr>
          <w:b/>
        </w:rPr>
        <w:br w:type="page"/>
      </w:r>
    </w:p>
    <w:p w:rsidR="005F0E85" w:rsidRPr="0060351E" w:rsidRDefault="005F0E85" w:rsidP="00842752">
      <w:pPr>
        <w:spacing w:after="0" w:line="240" w:lineRule="auto"/>
        <w:jc w:val="center"/>
        <w:rPr>
          <w:rFonts w:ascii="Times New Roman" w:hAnsi="Times New Roman" w:cs="Times New Roman"/>
          <w:b/>
          <w:sz w:val="24"/>
          <w:szCs w:val="24"/>
        </w:rPr>
      </w:pPr>
      <w:r w:rsidRPr="0060351E">
        <w:rPr>
          <w:rFonts w:ascii="Times New Roman" w:hAnsi="Times New Roman" w:cs="Times New Roman"/>
          <w:b/>
          <w:sz w:val="24"/>
          <w:szCs w:val="24"/>
        </w:rPr>
        <w:lastRenderedPageBreak/>
        <w:t>References</w:t>
      </w:r>
    </w:p>
    <w:p w:rsidR="00E13B82" w:rsidRPr="0060351E" w:rsidRDefault="00E13B82" w:rsidP="00842752">
      <w:pPr>
        <w:pStyle w:val="Bibliography"/>
        <w:spacing w:after="0" w:line="240" w:lineRule="auto"/>
        <w:ind w:left="720" w:hanging="720"/>
        <w:rPr>
          <w:rFonts w:ascii="Times New Roman" w:hAnsi="Times New Roman" w:cs="Times New Roman"/>
          <w:noProof/>
          <w:sz w:val="24"/>
          <w:szCs w:val="24"/>
        </w:rPr>
      </w:pPr>
      <w:r w:rsidRPr="0060351E">
        <w:rPr>
          <w:rFonts w:ascii="Times New Roman" w:hAnsi="Times New Roman" w:cs="Times New Roman"/>
          <w:sz w:val="24"/>
          <w:szCs w:val="24"/>
        </w:rPr>
        <w:fldChar w:fldCharType="begin"/>
      </w:r>
      <w:r w:rsidRPr="0060351E">
        <w:rPr>
          <w:rFonts w:ascii="Times New Roman" w:hAnsi="Times New Roman" w:cs="Times New Roman"/>
          <w:sz w:val="24"/>
          <w:szCs w:val="24"/>
        </w:rPr>
        <w:instrText xml:space="preserve"> BIBLIOGRAPHY </w:instrText>
      </w:r>
      <w:r w:rsidRPr="0060351E">
        <w:rPr>
          <w:rFonts w:ascii="Times New Roman" w:hAnsi="Times New Roman" w:cs="Times New Roman"/>
          <w:sz w:val="24"/>
          <w:szCs w:val="24"/>
        </w:rPr>
        <w:fldChar w:fldCharType="separate"/>
      </w:r>
    </w:p>
    <w:p w:rsidR="00AD7447" w:rsidRDefault="00E13B82" w:rsidP="00FA1447">
      <w:pPr>
        <w:spacing w:after="0" w:line="240" w:lineRule="auto"/>
        <w:ind w:left="720" w:hanging="720"/>
        <w:rPr>
          <w:rFonts w:ascii="Times New Roman" w:hAnsi="Times New Roman" w:cs="Times New Roman"/>
          <w:noProof/>
          <w:sz w:val="24"/>
          <w:szCs w:val="24"/>
        </w:rPr>
      </w:pPr>
      <w:r w:rsidRPr="0060351E">
        <w:rPr>
          <w:rFonts w:ascii="Times New Roman" w:hAnsi="Times New Roman" w:cs="Times New Roman"/>
          <w:b/>
          <w:bCs/>
          <w:sz w:val="24"/>
          <w:szCs w:val="24"/>
        </w:rPr>
        <w:fldChar w:fldCharType="end"/>
      </w:r>
      <w:r w:rsidR="00AD7447" w:rsidRPr="0060351E">
        <w:rPr>
          <w:rFonts w:ascii="Times New Roman" w:hAnsi="Times New Roman" w:cs="Times New Roman"/>
          <w:noProof/>
          <w:sz w:val="24"/>
          <w:szCs w:val="24"/>
        </w:rPr>
        <w:t>Association of American Colleges and Universities. (2010</w:t>
      </w:r>
      <w:r w:rsidR="00AD7447" w:rsidRPr="0060351E">
        <w:rPr>
          <w:rFonts w:ascii="Times New Roman" w:hAnsi="Times New Roman" w:cs="Times New Roman"/>
          <w:i/>
          <w:noProof/>
          <w:sz w:val="24"/>
          <w:szCs w:val="24"/>
        </w:rPr>
        <w:t>). Raising the bar: Employers’ views on college learning in the wake of the economic downturn</w:t>
      </w:r>
      <w:r w:rsidR="00AD7447" w:rsidRPr="0060351E">
        <w:rPr>
          <w:rFonts w:ascii="Times New Roman" w:hAnsi="Times New Roman" w:cs="Times New Roman"/>
          <w:noProof/>
          <w:sz w:val="24"/>
          <w:szCs w:val="24"/>
        </w:rPr>
        <w:t>. AACU Liberal Education and America’s Promise (LEAP) initiative. Washington, DC: AACU.</w:t>
      </w:r>
    </w:p>
    <w:p w:rsidR="00FA1447" w:rsidRPr="0060351E" w:rsidRDefault="00FA1447" w:rsidP="00FA1447">
      <w:pPr>
        <w:spacing w:after="0" w:line="240" w:lineRule="auto"/>
        <w:ind w:left="720" w:hanging="720"/>
        <w:rPr>
          <w:rFonts w:ascii="Times New Roman" w:hAnsi="Times New Roman" w:cs="Times New Roman"/>
          <w:noProof/>
          <w:sz w:val="24"/>
          <w:szCs w:val="24"/>
        </w:rPr>
      </w:pPr>
    </w:p>
    <w:p w:rsidR="00FA1447" w:rsidRDefault="00AD7447" w:rsidP="00FA1447">
      <w:pPr>
        <w:pStyle w:val="Bibliography"/>
        <w:spacing w:after="0" w:line="240" w:lineRule="auto"/>
        <w:ind w:left="720" w:hanging="720"/>
        <w:rPr>
          <w:rFonts w:ascii="Times New Roman" w:hAnsi="Times New Roman" w:cs="Times New Roman"/>
          <w:noProof/>
          <w:sz w:val="24"/>
          <w:szCs w:val="24"/>
        </w:rPr>
      </w:pPr>
      <w:r w:rsidRPr="0060351E">
        <w:rPr>
          <w:rFonts w:ascii="Times New Roman" w:hAnsi="Times New Roman" w:cs="Times New Roman"/>
          <w:noProof/>
          <w:sz w:val="24"/>
          <w:szCs w:val="24"/>
        </w:rPr>
        <w:t>Association of American Colleges and Universities. (2007</w:t>
      </w:r>
      <w:r w:rsidRPr="0060351E">
        <w:rPr>
          <w:rFonts w:ascii="Times New Roman" w:hAnsi="Times New Roman" w:cs="Times New Roman"/>
          <w:i/>
          <w:noProof/>
          <w:sz w:val="24"/>
          <w:szCs w:val="24"/>
        </w:rPr>
        <w:t>). How should colleges prepare students to succeed in today’s global economy?</w:t>
      </w:r>
      <w:r w:rsidRPr="0060351E">
        <w:rPr>
          <w:rFonts w:ascii="Times New Roman" w:hAnsi="Times New Roman" w:cs="Times New Roman"/>
          <w:noProof/>
          <w:sz w:val="24"/>
          <w:szCs w:val="24"/>
        </w:rPr>
        <w:t xml:space="preserve"> AACU Liberal Education and America’s Promise (LEAP) initiative. Washington, DC: AACU. </w:t>
      </w:r>
    </w:p>
    <w:p w:rsidR="00FA1447" w:rsidRPr="00FA1447" w:rsidRDefault="00FA1447" w:rsidP="00FA1447">
      <w:pPr>
        <w:spacing w:after="0" w:line="240" w:lineRule="auto"/>
        <w:ind w:hanging="720"/>
      </w:pPr>
    </w:p>
    <w:p w:rsidR="00AD7447" w:rsidRDefault="00AD7447" w:rsidP="00FA1447">
      <w:pPr>
        <w:pStyle w:val="Bibliography"/>
        <w:spacing w:after="0" w:line="240" w:lineRule="auto"/>
        <w:ind w:left="720" w:hanging="720"/>
        <w:rPr>
          <w:rFonts w:ascii="Times New Roman" w:hAnsi="Times New Roman" w:cs="Times New Roman"/>
          <w:noProof/>
          <w:sz w:val="24"/>
          <w:szCs w:val="24"/>
        </w:rPr>
      </w:pPr>
      <w:r w:rsidRPr="0060351E">
        <w:rPr>
          <w:rFonts w:ascii="Times New Roman" w:hAnsi="Times New Roman" w:cs="Times New Roman"/>
          <w:noProof/>
          <w:sz w:val="24"/>
          <w:szCs w:val="24"/>
        </w:rPr>
        <w:t xml:space="preserve">Association of American Colleges and Universities (2004) </w:t>
      </w:r>
      <w:r w:rsidRPr="0060351E">
        <w:rPr>
          <w:rFonts w:ascii="Times New Roman" w:hAnsi="Times New Roman" w:cs="Times New Roman"/>
          <w:i/>
          <w:noProof/>
          <w:sz w:val="24"/>
          <w:szCs w:val="24"/>
        </w:rPr>
        <w:t>Liberal education outcomes: A preliminary report on student achievement in college.</w:t>
      </w:r>
      <w:r w:rsidRPr="0060351E">
        <w:rPr>
          <w:rFonts w:ascii="Times New Roman" w:hAnsi="Times New Roman" w:cs="Times New Roman"/>
          <w:noProof/>
          <w:sz w:val="24"/>
          <w:szCs w:val="24"/>
        </w:rPr>
        <w:t xml:space="preserve"> AACU Liberal Education and America’s Promise (LEAP) initiative Washington, DC: AACU</w:t>
      </w:r>
    </w:p>
    <w:p w:rsidR="00FA1447" w:rsidRPr="00FA1447" w:rsidRDefault="00FA1447" w:rsidP="00FA1447">
      <w:pPr>
        <w:spacing w:after="0" w:line="240" w:lineRule="auto"/>
        <w:ind w:hanging="720"/>
      </w:pPr>
    </w:p>
    <w:p w:rsidR="007B4913" w:rsidRDefault="007B4913" w:rsidP="00FA1447">
      <w:pPr>
        <w:pStyle w:val="Bibliography"/>
        <w:spacing w:after="0" w:line="240" w:lineRule="auto"/>
        <w:ind w:left="720" w:hanging="720"/>
        <w:rPr>
          <w:rFonts w:ascii="Times New Roman" w:hAnsi="Times New Roman" w:cs="Times New Roman"/>
          <w:noProof/>
          <w:sz w:val="24"/>
          <w:szCs w:val="24"/>
        </w:rPr>
      </w:pPr>
      <w:r w:rsidRPr="0060351E">
        <w:rPr>
          <w:rFonts w:ascii="Times New Roman" w:hAnsi="Times New Roman" w:cs="Times New Roman"/>
          <w:noProof/>
          <w:sz w:val="24"/>
          <w:szCs w:val="24"/>
        </w:rPr>
        <w:t xml:space="preserve">Bloom, B. (1956). </w:t>
      </w:r>
      <w:r w:rsidRPr="0060351E">
        <w:rPr>
          <w:rFonts w:ascii="Times New Roman" w:hAnsi="Times New Roman" w:cs="Times New Roman"/>
          <w:i/>
          <w:iCs/>
          <w:noProof/>
          <w:sz w:val="24"/>
          <w:szCs w:val="24"/>
        </w:rPr>
        <w:t>A taxonomy if educational objectives. Hnadbook 1: cognitive domain.</w:t>
      </w:r>
      <w:r w:rsidRPr="0060351E">
        <w:rPr>
          <w:rFonts w:ascii="Times New Roman" w:hAnsi="Times New Roman" w:cs="Times New Roman"/>
          <w:noProof/>
          <w:sz w:val="24"/>
          <w:szCs w:val="24"/>
        </w:rPr>
        <w:t xml:space="preserve"> New York: McKay.</w:t>
      </w:r>
    </w:p>
    <w:p w:rsidR="00FA1447" w:rsidRPr="00FA1447" w:rsidRDefault="00FA1447" w:rsidP="00FA1447">
      <w:pPr>
        <w:spacing w:after="0" w:line="240" w:lineRule="auto"/>
        <w:ind w:hanging="720"/>
      </w:pPr>
    </w:p>
    <w:p w:rsidR="004A79F2" w:rsidRDefault="004A79F2" w:rsidP="00FA1447">
      <w:pPr>
        <w:spacing w:after="0" w:line="240" w:lineRule="auto"/>
        <w:ind w:left="720" w:hanging="720"/>
        <w:rPr>
          <w:rFonts w:ascii="Times New Roman" w:hAnsi="Times New Roman" w:cs="Times New Roman"/>
          <w:sz w:val="24"/>
          <w:szCs w:val="24"/>
        </w:rPr>
      </w:pPr>
      <w:r w:rsidRPr="004A79F2">
        <w:rPr>
          <w:rFonts w:ascii="Times New Roman" w:hAnsi="Times New Roman" w:cs="Times New Roman"/>
          <w:sz w:val="24"/>
          <w:szCs w:val="24"/>
        </w:rPr>
        <w:t xml:space="preserve">Center for Assessment and Improvement of Learning, Tennessee Tech University. (2010). </w:t>
      </w:r>
      <w:r w:rsidRPr="004A79F2">
        <w:rPr>
          <w:rFonts w:ascii="Times New Roman" w:hAnsi="Times New Roman" w:cs="Times New Roman"/>
          <w:i/>
          <w:sz w:val="24"/>
          <w:szCs w:val="24"/>
        </w:rPr>
        <w:t>CAT instrument technical information</w:t>
      </w:r>
      <w:r w:rsidRPr="004A79F2">
        <w:rPr>
          <w:rFonts w:ascii="Times New Roman" w:hAnsi="Times New Roman" w:cs="Times New Roman"/>
          <w:sz w:val="24"/>
          <w:szCs w:val="24"/>
        </w:rPr>
        <w:t>. Retrieved from http://www.tntech.edu/files/cat/reports/ CAT_Technical_Information_V7.pdf</w:t>
      </w:r>
    </w:p>
    <w:p w:rsidR="00FA1447" w:rsidRPr="004A79F2" w:rsidRDefault="00FA1447" w:rsidP="00FA1447">
      <w:pPr>
        <w:spacing w:after="0" w:line="240" w:lineRule="auto"/>
        <w:ind w:left="720" w:hanging="720"/>
        <w:rPr>
          <w:rFonts w:ascii="Times New Roman" w:hAnsi="Times New Roman" w:cs="Times New Roman"/>
          <w:sz w:val="24"/>
          <w:szCs w:val="24"/>
        </w:rPr>
      </w:pPr>
    </w:p>
    <w:p w:rsidR="004A79F2" w:rsidRDefault="004A79F2" w:rsidP="00FA1447">
      <w:pPr>
        <w:spacing w:after="0" w:line="240" w:lineRule="auto"/>
        <w:ind w:left="720" w:hanging="720"/>
        <w:rPr>
          <w:rFonts w:ascii="Times New Roman" w:hAnsi="Times New Roman" w:cs="Times New Roman"/>
          <w:sz w:val="24"/>
          <w:szCs w:val="24"/>
        </w:rPr>
      </w:pPr>
      <w:r w:rsidRPr="004A79F2">
        <w:rPr>
          <w:rFonts w:ascii="Times New Roman" w:hAnsi="Times New Roman" w:cs="Times New Roman"/>
          <w:sz w:val="24"/>
          <w:szCs w:val="24"/>
        </w:rPr>
        <w:t xml:space="preserve">Center for Assessment and Improvement of Learning, Tennessee Tech University. (2012). </w:t>
      </w:r>
      <w:r w:rsidRPr="004A79F2">
        <w:rPr>
          <w:rFonts w:ascii="Times New Roman" w:hAnsi="Times New Roman" w:cs="Times New Roman"/>
          <w:i/>
          <w:sz w:val="24"/>
          <w:szCs w:val="24"/>
        </w:rPr>
        <w:t>CAT institutional report</w:t>
      </w:r>
      <w:r w:rsidRPr="004A79F2">
        <w:rPr>
          <w:rFonts w:ascii="Times New Roman" w:hAnsi="Times New Roman" w:cs="Times New Roman"/>
          <w:sz w:val="24"/>
          <w:szCs w:val="24"/>
        </w:rPr>
        <w:t>.</w:t>
      </w:r>
    </w:p>
    <w:p w:rsidR="00FA1447" w:rsidRPr="004A79F2" w:rsidRDefault="00FA1447" w:rsidP="00FA1447">
      <w:pPr>
        <w:spacing w:after="0" w:line="240" w:lineRule="auto"/>
        <w:ind w:left="720" w:hanging="720"/>
        <w:rPr>
          <w:rFonts w:ascii="Times New Roman" w:hAnsi="Times New Roman" w:cs="Times New Roman"/>
          <w:sz w:val="24"/>
          <w:szCs w:val="24"/>
        </w:rPr>
      </w:pPr>
    </w:p>
    <w:p w:rsidR="004C2CA1" w:rsidRDefault="004C2CA1" w:rsidP="00FA1447">
      <w:pPr>
        <w:spacing w:after="0" w:line="240" w:lineRule="auto"/>
        <w:ind w:left="720" w:hanging="720"/>
        <w:rPr>
          <w:rFonts w:ascii="Times New Roman" w:hAnsi="Times New Roman" w:cs="Times New Roman"/>
          <w:sz w:val="24"/>
          <w:szCs w:val="24"/>
        </w:rPr>
      </w:pPr>
      <w:r w:rsidRPr="0060351E">
        <w:rPr>
          <w:rFonts w:ascii="Times New Roman" w:hAnsi="Times New Roman" w:cs="Times New Roman"/>
          <w:sz w:val="24"/>
          <w:szCs w:val="24"/>
        </w:rPr>
        <w:t xml:space="preserve">Doerfert, D. L. (Ed.). (2011). </w:t>
      </w:r>
      <w:r w:rsidRPr="0060351E">
        <w:rPr>
          <w:rFonts w:ascii="Times New Roman" w:hAnsi="Times New Roman" w:cs="Times New Roman"/>
          <w:i/>
          <w:sz w:val="24"/>
          <w:szCs w:val="24"/>
        </w:rPr>
        <w:t>National research agenda: American Association for Agricultural Education’s research priority areas for 2011-2015</w:t>
      </w:r>
      <w:r w:rsidRPr="0060351E">
        <w:rPr>
          <w:rFonts w:ascii="Times New Roman" w:hAnsi="Times New Roman" w:cs="Times New Roman"/>
          <w:sz w:val="24"/>
          <w:szCs w:val="24"/>
        </w:rPr>
        <w:t>. Lubbock, TX: Texas Tech University, Department of Agricultural Education and Communications.</w:t>
      </w:r>
    </w:p>
    <w:p w:rsidR="00FA1447" w:rsidRPr="0060351E" w:rsidRDefault="00FA1447" w:rsidP="00FA1447">
      <w:pPr>
        <w:spacing w:after="0" w:line="240" w:lineRule="auto"/>
        <w:ind w:left="720" w:hanging="720"/>
        <w:rPr>
          <w:rFonts w:ascii="Times New Roman" w:hAnsi="Times New Roman" w:cs="Times New Roman"/>
          <w:sz w:val="24"/>
          <w:szCs w:val="24"/>
        </w:rPr>
      </w:pPr>
    </w:p>
    <w:p w:rsidR="007B4913" w:rsidRDefault="007B4913" w:rsidP="00FA1447">
      <w:pPr>
        <w:spacing w:after="0" w:line="240" w:lineRule="auto"/>
        <w:ind w:left="720" w:hanging="720"/>
        <w:rPr>
          <w:rFonts w:ascii="Times New Roman" w:hAnsi="Times New Roman" w:cs="Times New Roman"/>
          <w:sz w:val="24"/>
          <w:szCs w:val="24"/>
        </w:rPr>
      </w:pPr>
      <w:r w:rsidRPr="0060351E">
        <w:rPr>
          <w:rFonts w:ascii="Times New Roman" w:hAnsi="Times New Roman" w:cs="Times New Roman"/>
          <w:sz w:val="24"/>
          <w:szCs w:val="24"/>
        </w:rPr>
        <w:t xml:space="preserve">Doolittle, P. E., &amp; Camp, W. G. (1999). Constructivism: The career and technical education perspective. Journal of Vocational and Technical Education. 16(1) [Online version.] </w:t>
      </w:r>
      <w:r w:rsidR="004C2CA1" w:rsidRPr="0060351E">
        <w:rPr>
          <w:rFonts w:ascii="Times New Roman" w:hAnsi="Times New Roman" w:cs="Times New Roman"/>
          <w:sz w:val="24"/>
          <w:szCs w:val="24"/>
        </w:rPr>
        <w:t>R</w:t>
      </w:r>
      <w:r w:rsidRPr="0060351E">
        <w:rPr>
          <w:rFonts w:ascii="Times New Roman" w:hAnsi="Times New Roman" w:cs="Times New Roman"/>
          <w:sz w:val="24"/>
          <w:szCs w:val="24"/>
        </w:rPr>
        <w:t>etrieved from http://scholar.lib.vt.edu/ejournals/JVTE/v16n1/doolittle.html</w:t>
      </w:r>
    </w:p>
    <w:p w:rsidR="00570608" w:rsidRDefault="00570608" w:rsidP="00570608">
      <w:pPr>
        <w:spacing w:after="0" w:line="240" w:lineRule="auto"/>
        <w:ind w:left="720" w:hanging="720"/>
        <w:rPr>
          <w:rFonts w:ascii="Times New Roman" w:hAnsi="Times New Roman" w:cs="Times New Roman"/>
          <w:sz w:val="24"/>
          <w:szCs w:val="24"/>
        </w:rPr>
      </w:pPr>
    </w:p>
    <w:p w:rsidR="00570608" w:rsidRPr="00570608" w:rsidRDefault="00570608" w:rsidP="00570608">
      <w:pPr>
        <w:spacing w:after="0" w:line="240" w:lineRule="auto"/>
        <w:ind w:left="720" w:hanging="720"/>
        <w:rPr>
          <w:rFonts w:ascii="Times New Roman" w:hAnsi="Times New Roman" w:cs="Times New Roman"/>
          <w:sz w:val="24"/>
          <w:szCs w:val="24"/>
        </w:rPr>
      </w:pPr>
      <w:r w:rsidRPr="00570608">
        <w:rPr>
          <w:rFonts w:ascii="Times New Roman" w:hAnsi="Times New Roman" w:cs="Times New Roman"/>
          <w:sz w:val="24"/>
          <w:szCs w:val="24"/>
        </w:rPr>
        <w:t xml:space="preserve">Duron, R., Limbach, B., &amp; Waugh, W. (2006). Critical thinking framework for any discipline. </w:t>
      </w:r>
      <w:r w:rsidRPr="00570608">
        <w:rPr>
          <w:rFonts w:ascii="Times New Roman" w:hAnsi="Times New Roman" w:cs="Times New Roman"/>
          <w:i/>
          <w:sz w:val="24"/>
          <w:szCs w:val="24"/>
        </w:rPr>
        <w:t>International Journal of Teaching and Learning in Higher Education, 17</w:t>
      </w:r>
      <w:r w:rsidRPr="00570608">
        <w:rPr>
          <w:rFonts w:ascii="Times New Roman" w:hAnsi="Times New Roman" w:cs="Times New Roman"/>
          <w:sz w:val="24"/>
          <w:szCs w:val="24"/>
        </w:rPr>
        <w:t>(2), 160–166.</w:t>
      </w:r>
    </w:p>
    <w:p w:rsidR="00570608" w:rsidRDefault="00570608" w:rsidP="00FA1447">
      <w:pPr>
        <w:pStyle w:val="Bibliography"/>
        <w:spacing w:after="0" w:line="240" w:lineRule="auto"/>
        <w:ind w:left="720" w:hanging="720"/>
        <w:rPr>
          <w:rFonts w:ascii="Times New Roman" w:hAnsi="Times New Roman" w:cs="Times New Roman"/>
          <w:noProof/>
          <w:sz w:val="24"/>
          <w:szCs w:val="24"/>
        </w:rPr>
      </w:pPr>
    </w:p>
    <w:p w:rsidR="004A79F2" w:rsidRDefault="004A79F2" w:rsidP="00FA1447">
      <w:pPr>
        <w:pStyle w:val="Bibliography"/>
        <w:spacing w:after="0" w:line="240" w:lineRule="auto"/>
        <w:ind w:left="720" w:hanging="720"/>
        <w:rPr>
          <w:rFonts w:ascii="Times New Roman" w:hAnsi="Times New Roman" w:cs="Times New Roman"/>
          <w:noProof/>
          <w:sz w:val="24"/>
          <w:szCs w:val="24"/>
        </w:rPr>
      </w:pPr>
      <w:r w:rsidRPr="004A79F2">
        <w:rPr>
          <w:rFonts w:ascii="Times New Roman" w:hAnsi="Times New Roman" w:cs="Times New Roman"/>
          <w:noProof/>
          <w:sz w:val="24"/>
          <w:szCs w:val="24"/>
        </w:rPr>
        <w:t xml:space="preserve">McComas, W. F. (2014). </w:t>
      </w:r>
      <w:r w:rsidRPr="004A79F2">
        <w:rPr>
          <w:rFonts w:ascii="Times New Roman" w:hAnsi="Times New Roman" w:cs="Times New Roman"/>
          <w:i/>
          <w:iCs/>
          <w:noProof/>
          <w:sz w:val="24"/>
          <w:szCs w:val="24"/>
        </w:rPr>
        <w:t>The Language of Science Education.</w:t>
      </w:r>
      <w:r w:rsidRPr="004A79F2">
        <w:rPr>
          <w:rFonts w:ascii="Times New Roman" w:hAnsi="Times New Roman" w:cs="Times New Roman"/>
          <w:noProof/>
          <w:sz w:val="24"/>
          <w:szCs w:val="24"/>
        </w:rPr>
        <w:t xml:space="preserve"> Boston: Sense Publishers.</w:t>
      </w:r>
    </w:p>
    <w:p w:rsidR="00FA1447" w:rsidRPr="00FA1447" w:rsidRDefault="00FA1447" w:rsidP="00FA1447">
      <w:pPr>
        <w:spacing w:after="0" w:line="240" w:lineRule="auto"/>
        <w:ind w:hanging="720"/>
      </w:pPr>
    </w:p>
    <w:p w:rsidR="004A79F2" w:rsidRDefault="004A79F2" w:rsidP="00FA1447">
      <w:pPr>
        <w:spacing w:after="0" w:line="240" w:lineRule="auto"/>
        <w:ind w:left="720" w:hanging="720"/>
        <w:rPr>
          <w:rFonts w:ascii="Times New Roman" w:hAnsi="Times New Roman" w:cs="Times New Roman"/>
          <w:sz w:val="24"/>
        </w:rPr>
      </w:pPr>
      <w:r w:rsidRPr="004A79F2">
        <w:rPr>
          <w:rFonts w:ascii="Times New Roman" w:hAnsi="Times New Roman" w:cs="Times New Roman"/>
          <w:sz w:val="24"/>
        </w:rPr>
        <w:t xml:space="preserve">Perry, D. K., Retallick, M. S., &amp; Paulsen, T. H. (2014). A critical thinking benchmark for a department of agricultural education and studies. </w:t>
      </w:r>
      <w:r w:rsidRPr="004A79F2">
        <w:rPr>
          <w:rFonts w:ascii="Times New Roman" w:hAnsi="Times New Roman" w:cs="Times New Roman"/>
          <w:i/>
          <w:sz w:val="24"/>
        </w:rPr>
        <w:t>Journal of Agricultural Education, 55</w:t>
      </w:r>
      <w:r w:rsidRPr="004A79F2">
        <w:rPr>
          <w:rFonts w:ascii="Times New Roman" w:hAnsi="Times New Roman" w:cs="Times New Roman"/>
          <w:sz w:val="24"/>
        </w:rPr>
        <w:t xml:space="preserve">(5), 207-221. </w:t>
      </w:r>
      <w:proofErr w:type="spellStart"/>
      <w:proofErr w:type="gramStart"/>
      <w:r w:rsidRPr="004A79F2">
        <w:rPr>
          <w:rFonts w:ascii="Times New Roman" w:hAnsi="Times New Roman" w:cs="Times New Roman"/>
          <w:sz w:val="24"/>
        </w:rPr>
        <w:t>doi</w:t>
      </w:r>
      <w:proofErr w:type="spellEnd"/>
      <w:proofErr w:type="gramEnd"/>
      <w:r w:rsidRPr="004A79F2">
        <w:rPr>
          <w:rFonts w:ascii="Times New Roman" w:hAnsi="Times New Roman" w:cs="Times New Roman"/>
          <w:sz w:val="24"/>
        </w:rPr>
        <w:t>: 10.5032/jae.2014.05207</w:t>
      </w:r>
    </w:p>
    <w:p w:rsidR="00FA1447" w:rsidRPr="004A79F2" w:rsidRDefault="00FA1447" w:rsidP="00FA1447">
      <w:pPr>
        <w:spacing w:after="0" w:line="240" w:lineRule="auto"/>
        <w:ind w:left="720" w:hanging="720"/>
        <w:rPr>
          <w:rFonts w:ascii="Times New Roman" w:hAnsi="Times New Roman" w:cs="Times New Roman"/>
          <w:sz w:val="24"/>
        </w:rPr>
      </w:pPr>
    </w:p>
    <w:p w:rsidR="008A0E47" w:rsidRDefault="008A0E47" w:rsidP="00FA1447">
      <w:pPr>
        <w:pStyle w:val="Bibliography"/>
        <w:spacing w:after="0" w:line="240" w:lineRule="auto"/>
        <w:ind w:left="720" w:hanging="720"/>
        <w:rPr>
          <w:rFonts w:ascii="Times New Roman" w:hAnsi="Times New Roman" w:cs="Times New Roman"/>
          <w:bCs/>
          <w:noProof/>
          <w:sz w:val="24"/>
          <w:szCs w:val="24"/>
        </w:rPr>
      </w:pPr>
      <w:r w:rsidRPr="0060351E">
        <w:rPr>
          <w:rFonts w:ascii="Times New Roman" w:hAnsi="Times New Roman" w:cs="Times New Roman"/>
          <w:noProof/>
          <w:sz w:val="24"/>
          <w:szCs w:val="24"/>
        </w:rPr>
        <w:t>Saavedra, A. R. &amp; Opfer, V. D. (2012). Learning 21</w:t>
      </w:r>
      <w:r w:rsidRPr="0060351E">
        <w:rPr>
          <w:rFonts w:ascii="Times New Roman" w:hAnsi="Times New Roman" w:cs="Times New Roman"/>
          <w:noProof/>
          <w:sz w:val="24"/>
          <w:szCs w:val="24"/>
          <w:vertAlign w:val="superscript"/>
        </w:rPr>
        <w:t>st</w:t>
      </w:r>
      <w:r w:rsidRPr="0060351E">
        <w:rPr>
          <w:rFonts w:ascii="Times New Roman" w:hAnsi="Times New Roman" w:cs="Times New Roman"/>
          <w:noProof/>
          <w:sz w:val="24"/>
          <w:szCs w:val="24"/>
        </w:rPr>
        <w:t xml:space="preserve"> century skills requires 21</w:t>
      </w:r>
      <w:r w:rsidRPr="0060351E">
        <w:rPr>
          <w:rFonts w:ascii="Times New Roman" w:hAnsi="Times New Roman" w:cs="Times New Roman"/>
          <w:noProof/>
          <w:sz w:val="24"/>
          <w:szCs w:val="24"/>
          <w:vertAlign w:val="superscript"/>
        </w:rPr>
        <w:t>st</w:t>
      </w:r>
      <w:r w:rsidRPr="0060351E">
        <w:rPr>
          <w:rFonts w:ascii="Times New Roman" w:hAnsi="Times New Roman" w:cs="Times New Roman"/>
          <w:noProof/>
          <w:sz w:val="24"/>
          <w:szCs w:val="24"/>
        </w:rPr>
        <w:t xml:space="preserve"> century teaching. </w:t>
      </w:r>
      <w:r w:rsidRPr="0060351E">
        <w:rPr>
          <w:rFonts w:ascii="Times New Roman" w:hAnsi="Times New Roman" w:cs="Times New Roman"/>
          <w:i/>
          <w:iCs/>
          <w:noProof/>
          <w:sz w:val="24"/>
          <w:szCs w:val="24"/>
        </w:rPr>
        <w:t>Phi Delta Kappan</w:t>
      </w:r>
      <w:r w:rsidRPr="0060351E">
        <w:rPr>
          <w:rFonts w:ascii="Times New Roman" w:hAnsi="Times New Roman" w:cs="Times New Roman"/>
          <w:noProof/>
          <w:sz w:val="24"/>
          <w:szCs w:val="24"/>
        </w:rPr>
        <w:t xml:space="preserve">, 94(2), 8-13. </w:t>
      </w:r>
      <w:r w:rsidRPr="0060351E">
        <w:rPr>
          <w:rFonts w:ascii="Times New Roman" w:hAnsi="Times New Roman" w:cs="Times New Roman"/>
          <w:bCs/>
          <w:noProof/>
          <w:sz w:val="24"/>
          <w:szCs w:val="24"/>
        </w:rPr>
        <w:t>doi: 10.1177/003172171209400203</w:t>
      </w:r>
    </w:p>
    <w:p w:rsidR="00FA1447" w:rsidRPr="00FA1447" w:rsidRDefault="00FA1447" w:rsidP="00FA1447">
      <w:pPr>
        <w:spacing w:after="0" w:line="240" w:lineRule="auto"/>
        <w:ind w:hanging="720"/>
      </w:pPr>
    </w:p>
    <w:p w:rsidR="005F0E85" w:rsidRPr="0060351E" w:rsidRDefault="007B4913" w:rsidP="00570608">
      <w:pPr>
        <w:spacing w:after="0" w:line="240" w:lineRule="auto"/>
        <w:ind w:left="720" w:hanging="720"/>
        <w:rPr>
          <w:rFonts w:ascii="Times New Roman" w:hAnsi="Times New Roman" w:cs="Times New Roman"/>
          <w:sz w:val="24"/>
          <w:szCs w:val="24"/>
        </w:rPr>
      </w:pPr>
      <w:r w:rsidRPr="0060351E">
        <w:rPr>
          <w:rFonts w:ascii="Times New Roman" w:hAnsi="Times New Roman" w:cs="Times New Roman"/>
          <w:bCs/>
          <w:sz w:val="24"/>
          <w:szCs w:val="24"/>
        </w:rPr>
        <w:t xml:space="preserve">Splan, R. K., Porr, S. C, &amp; Broyles, T. W. (2011). Undergraduate research in agriculture: constructivism and the scholarship of discovery. </w:t>
      </w:r>
      <w:r w:rsidRPr="0060351E">
        <w:rPr>
          <w:rFonts w:ascii="Times New Roman" w:hAnsi="Times New Roman" w:cs="Times New Roman"/>
          <w:bCs/>
          <w:i/>
          <w:sz w:val="24"/>
          <w:szCs w:val="24"/>
        </w:rPr>
        <w:t>Journal of Agricultural Education, 52</w:t>
      </w:r>
      <w:r w:rsidRPr="0060351E">
        <w:rPr>
          <w:rFonts w:ascii="Times New Roman" w:hAnsi="Times New Roman" w:cs="Times New Roman"/>
          <w:bCs/>
          <w:sz w:val="24"/>
          <w:szCs w:val="24"/>
        </w:rPr>
        <w:t xml:space="preserve">(4), 56-64. </w:t>
      </w:r>
      <w:proofErr w:type="spellStart"/>
      <w:proofErr w:type="gramStart"/>
      <w:r w:rsidRPr="0060351E">
        <w:rPr>
          <w:rFonts w:ascii="Times New Roman" w:hAnsi="Times New Roman" w:cs="Times New Roman"/>
          <w:bCs/>
          <w:sz w:val="24"/>
          <w:szCs w:val="24"/>
        </w:rPr>
        <w:t>doi</w:t>
      </w:r>
      <w:proofErr w:type="spellEnd"/>
      <w:proofErr w:type="gramEnd"/>
      <w:r w:rsidRPr="0060351E">
        <w:rPr>
          <w:rFonts w:ascii="Times New Roman" w:hAnsi="Times New Roman" w:cs="Times New Roman"/>
          <w:bCs/>
          <w:sz w:val="24"/>
          <w:szCs w:val="24"/>
        </w:rPr>
        <w:t>: 10.5032/jae.2011.04056</w:t>
      </w:r>
    </w:p>
    <w:sectPr w:rsidR="005F0E85" w:rsidRPr="0060351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752" w:rsidRDefault="00842752" w:rsidP="00842752">
      <w:pPr>
        <w:spacing w:after="0" w:line="240" w:lineRule="auto"/>
      </w:pPr>
      <w:r>
        <w:separator/>
      </w:r>
    </w:p>
  </w:endnote>
  <w:endnote w:type="continuationSeparator" w:id="0">
    <w:p w:rsidR="00842752" w:rsidRDefault="00842752" w:rsidP="00842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B79" w:rsidRDefault="00070B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B79" w:rsidRDefault="00070B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B79" w:rsidRDefault="00070B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752" w:rsidRDefault="00842752" w:rsidP="00842752">
      <w:pPr>
        <w:spacing w:after="0" w:line="240" w:lineRule="auto"/>
      </w:pPr>
      <w:r>
        <w:separator/>
      </w:r>
    </w:p>
  </w:footnote>
  <w:footnote w:type="continuationSeparator" w:id="0">
    <w:p w:rsidR="00842752" w:rsidRDefault="00842752" w:rsidP="008427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B79" w:rsidRDefault="00070B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752" w:rsidRPr="00842752" w:rsidRDefault="00842752" w:rsidP="00842752">
    <w:pPr>
      <w:pStyle w:val="Header"/>
      <w:jc w:val="right"/>
      <w:rPr>
        <w:rFonts w:ascii="Times New Roman" w:hAnsi="Times New Roman" w:cs="Times New Roman"/>
        <w:sz w:val="24"/>
        <w:szCs w:val="24"/>
      </w:rPr>
    </w:pPr>
    <w:r w:rsidRPr="00842752">
      <w:rPr>
        <w:rFonts w:ascii="Times New Roman" w:hAnsi="Times New Roman" w:cs="Times New Roman"/>
        <w:sz w:val="24"/>
        <w:szCs w:val="24"/>
      </w:rPr>
      <w:t xml:space="preserve">Research Poster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B79" w:rsidRDefault="00070B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224F92"/>
    <w:multiLevelType w:val="hybridMultilevel"/>
    <w:tmpl w:val="8132C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E4D"/>
    <w:rsid w:val="00070B79"/>
    <w:rsid w:val="00093FA5"/>
    <w:rsid w:val="00106E4D"/>
    <w:rsid w:val="00114C94"/>
    <w:rsid w:val="00114FC5"/>
    <w:rsid w:val="00115449"/>
    <w:rsid w:val="001B0B3D"/>
    <w:rsid w:val="001B54CD"/>
    <w:rsid w:val="001C7B3C"/>
    <w:rsid w:val="0020375F"/>
    <w:rsid w:val="0020655A"/>
    <w:rsid w:val="002305BB"/>
    <w:rsid w:val="0023140D"/>
    <w:rsid w:val="0025798D"/>
    <w:rsid w:val="00316B0E"/>
    <w:rsid w:val="00332627"/>
    <w:rsid w:val="00337530"/>
    <w:rsid w:val="0033767A"/>
    <w:rsid w:val="003915FF"/>
    <w:rsid w:val="003E15DD"/>
    <w:rsid w:val="003F2573"/>
    <w:rsid w:val="00454BE2"/>
    <w:rsid w:val="004808B4"/>
    <w:rsid w:val="004871FE"/>
    <w:rsid w:val="004A79F2"/>
    <w:rsid w:val="004C2CA1"/>
    <w:rsid w:val="004D3D27"/>
    <w:rsid w:val="004D560A"/>
    <w:rsid w:val="0050165B"/>
    <w:rsid w:val="00510419"/>
    <w:rsid w:val="00527EE7"/>
    <w:rsid w:val="00553B1C"/>
    <w:rsid w:val="00563D1B"/>
    <w:rsid w:val="00570608"/>
    <w:rsid w:val="005874DB"/>
    <w:rsid w:val="005D71FC"/>
    <w:rsid w:val="005D7314"/>
    <w:rsid w:val="005E5C8D"/>
    <w:rsid w:val="005F0E85"/>
    <w:rsid w:val="0060351E"/>
    <w:rsid w:val="006455EA"/>
    <w:rsid w:val="00690A53"/>
    <w:rsid w:val="006E6A1E"/>
    <w:rsid w:val="007248F5"/>
    <w:rsid w:val="00730A10"/>
    <w:rsid w:val="0073596C"/>
    <w:rsid w:val="0075694C"/>
    <w:rsid w:val="007B4913"/>
    <w:rsid w:val="007B7FA0"/>
    <w:rsid w:val="007D775C"/>
    <w:rsid w:val="007E73A6"/>
    <w:rsid w:val="00842752"/>
    <w:rsid w:val="0086520A"/>
    <w:rsid w:val="00867E30"/>
    <w:rsid w:val="00872E05"/>
    <w:rsid w:val="0088224C"/>
    <w:rsid w:val="008A0657"/>
    <w:rsid w:val="008A0E47"/>
    <w:rsid w:val="008C37FA"/>
    <w:rsid w:val="00913DC6"/>
    <w:rsid w:val="00984688"/>
    <w:rsid w:val="00986217"/>
    <w:rsid w:val="00A74C58"/>
    <w:rsid w:val="00AC6417"/>
    <w:rsid w:val="00AD7447"/>
    <w:rsid w:val="00B32918"/>
    <w:rsid w:val="00BF7DB7"/>
    <w:rsid w:val="00C34908"/>
    <w:rsid w:val="00C411E2"/>
    <w:rsid w:val="00C461B7"/>
    <w:rsid w:val="00C51071"/>
    <w:rsid w:val="00C62363"/>
    <w:rsid w:val="00C728F2"/>
    <w:rsid w:val="00C741BB"/>
    <w:rsid w:val="00CA5B96"/>
    <w:rsid w:val="00CE0FB6"/>
    <w:rsid w:val="00D01D42"/>
    <w:rsid w:val="00D03202"/>
    <w:rsid w:val="00D20857"/>
    <w:rsid w:val="00D26CDF"/>
    <w:rsid w:val="00D65658"/>
    <w:rsid w:val="00D7717D"/>
    <w:rsid w:val="00D82AC4"/>
    <w:rsid w:val="00DE2EF1"/>
    <w:rsid w:val="00E13B82"/>
    <w:rsid w:val="00EA3158"/>
    <w:rsid w:val="00EC1295"/>
    <w:rsid w:val="00EC44F0"/>
    <w:rsid w:val="00EF3E66"/>
    <w:rsid w:val="00F11AE6"/>
    <w:rsid w:val="00F1537E"/>
    <w:rsid w:val="00FA1447"/>
    <w:rsid w:val="00FF6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uiPriority w:val="9"/>
    <w:qFormat/>
    <w:rsid w:val="00F11AE6"/>
    <w:pPr>
      <w:jc w:val="center"/>
      <w:outlineLvl w:val="0"/>
    </w:pPr>
    <w:rPr>
      <w:b/>
    </w:rPr>
  </w:style>
  <w:style w:type="paragraph" w:styleId="Heading2">
    <w:name w:val="heading 2"/>
    <w:basedOn w:val="NoSpacing"/>
    <w:next w:val="Normal"/>
    <w:link w:val="Heading2Char"/>
    <w:uiPriority w:val="9"/>
    <w:unhideWhenUsed/>
    <w:qFormat/>
    <w:rsid w:val="00D01D42"/>
    <w:pPr>
      <w:ind w:firstLine="0"/>
      <w:outlineLvl w:val="1"/>
    </w:pPr>
    <w:rPr>
      <w:b/>
    </w:rPr>
  </w:style>
  <w:style w:type="paragraph" w:styleId="Heading3">
    <w:name w:val="heading 3"/>
    <w:basedOn w:val="Normal"/>
    <w:next w:val="Normal"/>
    <w:link w:val="Heading3Char"/>
    <w:uiPriority w:val="9"/>
    <w:unhideWhenUsed/>
    <w:qFormat/>
    <w:rsid w:val="00F11AE6"/>
    <w:pPr>
      <w:ind w:firstLine="720"/>
      <w:outlineLvl w:val="2"/>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6CDF"/>
    <w:pPr>
      <w:spacing w:after="0" w:line="240" w:lineRule="auto"/>
      <w:ind w:firstLine="720"/>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E1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5DD"/>
    <w:rPr>
      <w:rFonts w:ascii="Tahoma" w:hAnsi="Tahoma" w:cs="Tahoma"/>
      <w:sz w:val="16"/>
      <w:szCs w:val="16"/>
    </w:rPr>
  </w:style>
  <w:style w:type="character" w:customStyle="1" w:styleId="Heading1Char">
    <w:name w:val="Heading 1 Char"/>
    <w:basedOn w:val="DefaultParagraphFont"/>
    <w:link w:val="Heading1"/>
    <w:uiPriority w:val="9"/>
    <w:rsid w:val="00F11AE6"/>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D01D42"/>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F11AE6"/>
    <w:rPr>
      <w:rFonts w:ascii="Times New Roman" w:hAnsi="Times New Roman" w:cs="Times New Roman"/>
      <w:b/>
      <w:sz w:val="24"/>
      <w:szCs w:val="24"/>
    </w:rPr>
  </w:style>
  <w:style w:type="paragraph" w:styleId="Bibliography">
    <w:name w:val="Bibliography"/>
    <w:basedOn w:val="Normal"/>
    <w:next w:val="Normal"/>
    <w:uiPriority w:val="37"/>
    <w:unhideWhenUsed/>
    <w:rsid w:val="005F0E85"/>
  </w:style>
  <w:style w:type="paragraph" w:styleId="Header">
    <w:name w:val="header"/>
    <w:basedOn w:val="Normal"/>
    <w:link w:val="HeaderChar"/>
    <w:uiPriority w:val="99"/>
    <w:unhideWhenUsed/>
    <w:rsid w:val="00842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752"/>
  </w:style>
  <w:style w:type="paragraph" w:styleId="Footer">
    <w:name w:val="footer"/>
    <w:basedOn w:val="Normal"/>
    <w:link w:val="FooterChar"/>
    <w:uiPriority w:val="99"/>
    <w:unhideWhenUsed/>
    <w:rsid w:val="00842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752"/>
  </w:style>
  <w:style w:type="character" w:styleId="Hyperlink">
    <w:name w:val="Hyperlink"/>
    <w:basedOn w:val="DefaultParagraphFont"/>
    <w:uiPriority w:val="99"/>
    <w:unhideWhenUsed/>
    <w:rsid w:val="00DE2EF1"/>
    <w:rPr>
      <w:color w:val="0000FF" w:themeColor="hyperlink"/>
      <w:u w:val="single"/>
    </w:rPr>
  </w:style>
  <w:style w:type="table" w:styleId="TableGrid">
    <w:name w:val="Table Grid"/>
    <w:basedOn w:val="TableNormal"/>
    <w:uiPriority w:val="59"/>
    <w:rsid w:val="00EC129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7B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60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McC14</b:Tag>
    <b:SourceType>Book</b:SourceType>
    <b:Guid>{137A870E-2481-4AC0-BA13-88E836564EE1}</b:Guid>
    <b:Title>The Language of Science Education</b:Title>
    <b:Year>2014</b:Year>
    <b:Author>
      <b:Author>
        <b:NameList>
          <b:Person>
            <b:Last>McComas</b:Last>
            <b:First>William</b:First>
            <b:Middle>F</b:Middle>
          </b:Person>
        </b:NameList>
      </b:Author>
    </b:Author>
    <b:City>Boston</b:City>
    <b:Publisher>Sense Publishers</b:Publisher>
    <b:RefOrder>1</b:RefOrder>
  </b:Source>
  <b:Source>
    <b:Tag>Saa12</b:Tag>
    <b:SourceType>JournalArticle</b:SourceType>
    <b:Guid>{9F8D2427-E355-4AF1-AE1D-256D73974272}</b:Guid>
    <b:Title>Learning 21st century skills requires 21st century teaching</b:Title>
    <b:Year>2012</b:Year>
    <b:Author>
      <b:Author>
        <b:NameList>
          <b:Person>
            <b:Last>Saavedra</b:Last>
            <b:First>A.</b:First>
            <b:Middle>R.</b:Middle>
          </b:Person>
          <b:Person>
            <b:Last>Opfer</b:Last>
            <b:First>V.</b:First>
            <b:Middle>D.</b:Middle>
          </b:Person>
        </b:NameList>
      </b:Author>
    </b:Author>
    <b:JournalName>Phi Delta Kappan</b:JournalName>
    <b:Pages>8-13</b:Pages>
    <b:RefOrder>4</b:RefOrder>
  </b:Source>
  <b:Source>
    <b:Tag>Cen12</b:Tag>
    <b:SourceType>Report</b:SourceType>
    <b:Guid>{FC12C471-A45B-405F-9FDF-9D0E611CB5B9}</b:Guid>
    <b:Title>CAT Institutional Report</b:Title>
    <b:Year>2012</b:Year>
    <b:Author>
      <b:Author>
        <b:NameList>
          <b:Person>
            <b:Last>Learning</b:Last>
            <b:First>Center</b:First>
            <b:Middle>for Assessment and Improvement of</b:Middle>
          </b:Person>
        </b:NameList>
      </b:Author>
    </b:Author>
    <b:Publisher>Tennessee Tech University</b:Publisher>
    <b:RefOrder>5</b:RefOrder>
  </b:Source>
  <b:Source>
    <b:Tag>Blo56</b:Tag>
    <b:SourceType>Book</b:SourceType>
    <b:Guid>{C56A0E25-5FAA-431D-B77E-0127C1450305}</b:Guid>
    <b:Title>A taxonomy if educational objectives. Hnadbook 1: cognitive domain</b:Title>
    <b:Year>1956</b:Year>
    <b:Publisher>McKay</b:Publisher>
    <b:City>New York</b:City>
    <b:Author>
      <b:Author>
        <b:NameList>
          <b:Person>
            <b:Last>Bloom</b:Last>
            <b:First>B.</b:First>
          </b:Person>
        </b:NameList>
      </b:Author>
    </b:Author>
    <b:RefOrder>2</b:RefOrder>
  </b:Source>
  <b:Source>
    <b:Tag>Ass07</b:Tag>
    <b:SourceType>Report</b:SourceType>
    <b:Guid>{0376421B-4FC2-4AEA-AABC-582C4FB530DF}</b:Guid>
    <b:Title>College Learning for the New Global Century: A Report from the National Leadership Council for Liberal Education &amp; America's Promise</b:Title>
    <b:Year>2007</b:Year>
    <b:City>Washington, DC</b:City>
    <b:Author>
      <b:Author>
        <b:NameList>
          <b:Person>
            <b:Last>Universities</b:Last>
            <b:First>Association</b:First>
            <b:Middle>of American Colleges and</b:Middle>
          </b:Person>
        </b:NameList>
      </b:Author>
    </b:Author>
    <b:RefOrder>6</b:RefOrder>
  </b:Source>
  <b:Source>
    <b:Tag>Per14</b:Tag>
    <b:SourceType>JournalArticle</b:SourceType>
    <b:Guid>{1285DB4C-B1B5-4F93-B464-41827398DE06}</b:Guid>
    <b:Author>
      <b:Author>
        <b:NameList>
          <b:Person>
            <b:Last>Perry</b:Last>
            <b:First>Dustin</b:First>
            <b:Middle>K.</b:Middle>
          </b:Person>
          <b:Person>
            <b:Last>Paulsen</b:Last>
            <b:First>Thomas</b:First>
            <b:Middle>H.</b:Middle>
          </b:Person>
          <b:Person>
            <b:Last>Retallick</b:Last>
            <b:First>Michael</b:First>
            <b:Middle>S.</b:Middle>
          </b:Person>
        </b:NameList>
      </b:Author>
    </b:Author>
    <b:Title>The Impact of a Capstone Farm Management Course</b:Title>
    <b:Year>2014</b:Year>
    <b:RefOrder>3</b:RefOrder>
  </b:Source>
</b:Sources>
</file>

<file path=customXml/itemProps1.xml><?xml version="1.0" encoding="utf-8"?>
<ds:datastoreItem xmlns:ds="http://schemas.openxmlformats.org/officeDocument/2006/customXml" ds:itemID="{252C16A3-6AFC-4040-B5E3-460C289F8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1492</Words>
  <Characters>8507</Characters>
  <Application>Microsoft Office Word</Application>
  <DocSecurity>0</DocSecurity>
  <Lines>70</Lines>
  <Paragraphs>19</Paragraphs>
  <ScaleCrop>false</ScaleCrop>
  <Company/>
  <LinksUpToDate>false</LinksUpToDate>
  <CharactersWithSpaces>9980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2015-02-28T01:25:00Z</dcterms:created>
  <dcterms:modified xsi:type="dcterms:W3CDTF">2015-02-28T01:25:00Z</dcterms:modified>
</cp:coreProperties>
</file>