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0F8E" w:rsidRPr="00EE49C6" w:rsidRDefault="00570F8E" w:rsidP="00EF2AF9">
      <w:pPr>
        <w:pStyle w:val="nospacing1"/>
        <w:spacing w:before="0" w:beforeAutospacing="0" w:after="0" w:afterAutospacing="0"/>
        <w:rPr>
          <w:rFonts w:eastAsia="Symbol"/>
        </w:rPr>
      </w:pPr>
      <w:r w:rsidRPr="00EE49C6">
        <w:rPr>
          <w:rFonts w:eastAsia="Symbol"/>
        </w:rPr>
        <w:tab/>
      </w:r>
      <w:r w:rsidRPr="00EE49C6">
        <w:rPr>
          <w:rFonts w:eastAsia="Symbol"/>
        </w:rPr>
        <w:tab/>
      </w:r>
      <w:r w:rsidRPr="00EE49C6">
        <w:rPr>
          <w:rFonts w:eastAsia="Symbol"/>
        </w:rPr>
        <w:tab/>
      </w:r>
      <w:r w:rsidRPr="00EE49C6">
        <w:rPr>
          <w:rFonts w:eastAsia="Symbol"/>
        </w:rPr>
        <w:tab/>
      </w:r>
      <w:r w:rsidRPr="00EE49C6">
        <w:rPr>
          <w:rFonts w:eastAsia="Symbol"/>
        </w:rPr>
        <w:tab/>
      </w:r>
      <w:r w:rsidRPr="00EE49C6">
        <w:rPr>
          <w:rFonts w:eastAsia="Symbol"/>
        </w:rPr>
        <w:tab/>
      </w:r>
      <w:r w:rsidRPr="00EE49C6">
        <w:rPr>
          <w:rFonts w:eastAsia="Symbol"/>
        </w:rPr>
        <w:tab/>
      </w:r>
      <w:r w:rsidRPr="00EE49C6">
        <w:rPr>
          <w:rFonts w:eastAsia="Symbol"/>
        </w:rPr>
        <w:tab/>
      </w:r>
      <w:r w:rsidRPr="00EE49C6">
        <w:rPr>
          <w:rFonts w:eastAsia="Symbol"/>
        </w:rPr>
        <w:tab/>
      </w:r>
    </w:p>
    <w:p w:rsidR="00570F8E" w:rsidRPr="00EE49C6" w:rsidRDefault="00570F8E" w:rsidP="00EF2AF9">
      <w:pPr>
        <w:pStyle w:val="nospacing1"/>
        <w:spacing w:before="0" w:beforeAutospacing="0" w:after="0" w:afterAutospacing="0"/>
        <w:rPr>
          <w:rFonts w:eastAsia="Symbol"/>
        </w:rPr>
      </w:pPr>
    </w:p>
    <w:p w:rsidR="00570F8E" w:rsidRPr="00EE49C6" w:rsidRDefault="00570F8E" w:rsidP="00570F8E">
      <w:pPr>
        <w:pStyle w:val="nospacing1"/>
        <w:spacing w:before="0" w:beforeAutospacing="0" w:after="0" w:afterAutospacing="0"/>
        <w:jc w:val="center"/>
        <w:rPr>
          <w:rFonts w:eastAsia="Symbol"/>
        </w:rPr>
      </w:pPr>
    </w:p>
    <w:p w:rsidR="00863E43" w:rsidRDefault="00863E43" w:rsidP="00863E43">
      <w:pPr>
        <w:pStyle w:val="nospacing1"/>
        <w:spacing w:before="0" w:beforeAutospacing="0" w:after="0" w:afterAutospacing="0"/>
        <w:jc w:val="center"/>
        <w:rPr>
          <w:rFonts w:eastAsia="Symbol"/>
          <w:b/>
        </w:rPr>
      </w:pPr>
      <w:r>
        <w:rPr>
          <w:rFonts w:eastAsia="Symbol"/>
          <w:b/>
        </w:rPr>
        <w:t>Plant Science Graduate Students’ Teaching Self-Efficacy to Engage K-12 Students</w:t>
      </w:r>
    </w:p>
    <w:p w:rsidR="00B867CD" w:rsidRPr="00EE49C6" w:rsidRDefault="00B867CD" w:rsidP="00570F8E">
      <w:pPr>
        <w:jc w:val="center"/>
        <w:rPr>
          <w:rFonts w:eastAsia="Symbol"/>
          <w:b/>
          <w:szCs w:val="24"/>
        </w:rPr>
      </w:pPr>
    </w:p>
    <w:p w:rsidR="00863E43" w:rsidRDefault="00863E43" w:rsidP="00570F8E">
      <w:pPr>
        <w:jc w:val="center"/>
        <w:rPr>
          <w:rFonts w:eastAsia="Symbol"/>
          <w:szCs w:val="24"/>
        </w:rPr>
      </w:pPr>
    </w:p>
    <w:p w:rsidR="00863E43" w:rsidRPr="00863E43" w:rsidRDefault="00863E43" w:rsidP="00863E43">
      <w:pPr>
        <w:jc w:val="center"/>
        <w:rPr>
          <w:rFonts w:eastAsia="Symbol"/>
          <w:szCs w:val="24"/>
        </w:rPr>
      </w:pPr>
      <w:r w:rsidRPr="00863E43">
        <w:rPr>
          <w:rFonts w:eastAsia="Symbol"/>
          <w:szCs w:val="24"/>
        </w:rPr>
        <w:t xml:space="preserve">Melissa </w:t>
      </w:r>
      <w:r>
        <w:rPr>
          <w:rFonts w:eastAsia="Symbol"/>
          <w:szCs w:val="24"/>
        </w:rPr>
        <w:t>Leiden Welsh, Ph.D</w:t>
      </w:r>
      <w:proofErr w:type="gramStart"/>
      <w:r>
        <w:rPr>
          <w:rFonts w:eastAsia="Symbol"/>
          <w:szCs w:val="24"/>
        </w:rPr>
        <w:t>.</w:t>
      </w:r>
      <w:proofErr w:type="gramEnd"/>
      <w:r w:rsidRPr="00863E43">
        <w:rPr>
          <w:rFonts w:eastAsia="Symbol"/>
          <w:szCs w:val="24"/>
        </w:rPr>
        <w:br/>
        <w:t>University of Maryland Extension</w:t>
      </w:r>
      <w:r w:rsidRPr="00863E43">
        <w:rPr>
          <w:rFonts w:eastAsia="Symbol"/>
          <w:szCs w:val="24"/>
        </w:rPr>
        <w:br/>
        <w:t>9194 Legion Road, Suite 4</w:t>
      </w:r>
      <w:r w:rsidRPr="00863E43">
        <w:rPr>
          <w:rFonts w:eastAsia="Symbol"/>
          <w:szCs w:val="24"/>
        </w:rPr>
        <w:br/>
        <w:t xml:space="preserve">Denton, MD 21629 </w:t>
      </w:r>
    </w:p>
    <w:p w:rsidR="00863E43" w:rsidRPr="00863E43" w:rsidRDefault="00863E43" w:rsidP="00863E43">
      <w:pPr>
        <w:jc w:val="center"/>
        <w:rPr>
          <w:rFonts w:eastAsia="Symbol"/>
          <w:szCs w:val="24"/>
        </w:rPr>
      </w:pPr>
      <w:r w:rsidRPr="00863E43">
        <w:rPr>
          <w:rFonts w:eastAsia="Symbol"/>
          <w:szCs w:val="24"/>
        </w:rPr>
        <w:t>(410)</w:t>
      </w:r>
      <w:r>
        <w:rPr>
          <w:rFonts w:eastAsia="Symbol"/>
          <w:szCs w:val="24"/>
        </w:rPr>
        <w:t xml:space="preserve"> </w:t>
      </w:r>
      <w:r w:rsidRPr="00863E43">
        <w:rPr>
          <w:rFonts w:eastAsia="Symbol"/>
          <w:szCs w:val="24"/>
        </w:rPr>
        <w:t xml:space="preserve">479-4030 </w:t>
      </w:r>
      <w:proofErr w:type="gramStart"/>
      <w:r w:rsidRPr="00863E43">
        <w:rPr>
          <w:rFonts w:eastAsia="Symbol"/>
          <w:szCs w:val="24"/>
        </w:rPr>
        <w:t>Office</w:t>
      </w:r>
      <w:proofErr w:type="gramEnd"/>
      <w:r w:rsidRPr="00863E43">
        <w:rPr>
          <w:rFonts w:eastAsia="Symbol"/>
          <w:szCs w:val="24"/>
        </w:rPr>
        <w:br/>
        <w:t>(724)</w:t>
      </w:r>
      <w:r>
        <w:rPr>
          <w:rFonts w:eastAsia="Symbol"/>
          <w:szCs w:val="24"/>
        </w:rPr>
        <w:t xml:space="preserve"> </w:t>
      </w:r>
      <w:r w:rsidRPr="00863E43">
        <w:rPr>
          <w:rFonts w:eastAsia="Symbol"/>
          <w:szCs w:val="24"/>
        </w:rPr>
        <w:t>388-6000 Cell</w:t>
      </w:r>
      <w:r>
        <w:rPr>
          <w:rFonts w:eastAsia="Symbol"/>
          <w:szCs w:val="24"/>
        </w:rPr>
        <w:br/>
      </w:r>
      <w:hyperlink r:id="rId7" w:history="1">
        <w:r w:rsidRPr="00495953">
          <w:rPr>
            <w:rStyle w:val="Hyperlink"/>
          </w:rPr>
          <w:t>drmwelsh@umd.edu</w:t>
        </w:r>
      </w:hyperlink>
    </w:p>
    <w:p w:rsidR="00863E43" w:rsidRDefault="00863E43" w:rsidP="00863E43">
      <w:pPr>
        <w:rPr>
          <w:rFonts w:eastAsia="Symbol"/>
          <w:szCs w:val="24"/>
        </w:rPr>
      </w:pPr>
    </w:p>
    <w:p w:rsidR="00863E43" w:rsidRPr="00EE49C6" w:rsidRDefault="00863E43" w:rsidP="00863E43">
      <w:pPr>
        <w:rPr>
          <w:rFonts w:eastAsia="Symbol"/>
          <w:szCs w:val="24"/>
        </w:rPr>
      </w:pPr>
    </w:p>
    <w:p w:rsidR="00570F8E" w:rsidRPr="00EE49C6" w:rsidRDefault="00863E43" w:rsidP="00570F8E">
      <w:pPr>
        <w:jc w:val="center"/>
        <w:rPr>
          <w:rFonts w:eastAsia="Symbol"/>
          <w:szCs w:val="24"/>
        </w:rPr>
      </w:pPr>
      <w:r>
        <w:rPr>
          <w:rFonts w:eastAsia="Symbol"/>
          <w:szCs w:val="24"/>
        </w:rPr>
        <w:t>Neil Knobloch, Ph.D.</w:t>
      </w:r>
    </w:p>
    <w:p w:rsidR="00B867CD" w:rsidRPr="00EE49C6" w:rsidRDefault="00B867CD" w:rsidP="00570F8E">
      <w:pPr>
        <w:jc w:val="center"/>
        <w:rPr>
          <w:rFonts w:eastAsia="Symbol"/>
          <w:szCs w:val="24"/>
        </w:rPr>
      </w:pPr>
      <w:r w:rsidRPr="00EE49C6">
        <w:rPr>
          <w:rFonts w:eastAsia="Symbol"/>
          <w:szCs w:val="24"/>
        </w:rPr>
        <w:t>Purdue University</w:t>
      </w:r>
    </w:p>
    <w:p w:rsidR="00570F8E" w:rsidRPr="00EE49C6" w:rsidRDefault="00863E43" w:rsidP="00570F8E">
      <w:pPr>
        <w:jc w:val="center"/>
        <w:rPr>
          <w:rFonts w:eastAsia="Symbol"/>
          <w:szCs w:val="24"/>
        </w:rPr>
      </w:pPr>
      <w:r>
        <w:rPr>
          <w:rFonts w:eastAsia="Symbol"/>
          <w:szCs w:val="24"/>
        </w:rPr>
        <w:t>615 W. State Street, AGAD 225</w:t>
      </w:r>
    </w:p>
    <w:p w:rsidR="00570F8E" w:rsidRPr="00EE49C6" w:rsidRDefault="00570F8E" w:rsidP="00570F8E">
      <w:pPr>
        <w:jc w:val="center"/>
        <w:rPr>
          <w:rFonts w:eastAsia="Symbol"/>
          <w:szCs w:val="24"/>
        </w:rPr>
      </w:pPr>
      <w:r w:rsidRPr="00EE49C6">
        <w:rPr>
          <w:rFonts w:eastAsia="Symbol"/>
          <w:szCs w:val="24"/>
        </w:rPr>
        <w:t xml:space="preserve">West Lafayette, IN 47907-2053 </w:t>
      </w:r>
    </w:p>
    <w:p w:rsidR="00570F8E" w:rsidRPr="00EE49C6" w:rsidRDefault="00863E43" w:rsidP="00570F8E">
      <w:pPr>
        <w:jc w:val="center"/>
        <w:rPr>
          <w:rFonts w:eastAsia="Symbol"/>
          <w:szCs w:val="24"/>
        </w:rPr>
      </w:pPr>
      <w:r>
        <w:rPr>
          <w:rFonts w:eastAsia="Symbol"/>
          <w:szCs w:val="24"/>
        </w:rPr>
        <w:t>765-494-8439</w:t>
      </w:r>
    </w:p>
    <w:p w:rsidR="00B867CD" w:rsidRPr="00EE49C6" w:rsidRDefault="00863E43" w:rsidP="00570F8E">
      <w:pPr>
        <w:jc w:val="center"/>
        <w:rPr>
          <w:rFonts w:eastAsia="Symbol"/>
          <w:szCs w:val="24"/>
        </w:rPr>
      </w:pPr>
      <w:hyperlink r:id="rId8" w:history="1">
        <w:r w:rsidRPr="00495953">
          <w:rPr>
            <w:rStyle w:val="Hyperlink"/>
            <w:rFonts w:eastAsia="Symbol"/>
            <w:szCs w:val="24"/>
          </w:rPr>
          <w:t>nknobloc@purdue.edu</w:t>
        </w:r>
      </w:hyperlink>
    </w:p>
    <w:p w:rsidR="00863E43" w:rsidRDefault="00863E43" w:rsidP="00570F8E">
      <w:pPr>
        <w:jc w:val="center"/>
        <w:rPr>
          <w:rFonts w:eastAsia="Symbol"/>
          <w:szCs w:val="24"/>
        </w:rPr>
      </w:pPr>
    </w:p>
    <w:p w:rsidR="00863E43" w:rsidRDefault="00863E43" w:rsidP="00570F8E">
      <w:pPr>
        <w:jc w:val="center"/>
        <w:rPr>
          <w:rFonts w:eastAsia="Symbol"/>
          <w:szCs w:val="24"/>
        </w:rPr>
      </w:pPr>
    </w:p>
    <w:p w:rsidR="00863E43" w:rsidRDefault="00863E43" w:rsidP="00570F8E">
      <w:pPr>
        <w:jc w:val="center"/>
        <w:rPr>
          <w:rFonts w:eastAsia="Symbol"/>
          <w:szCs w:val="24"/>
        </w:rPr>
      </w:pPr>
      <w:r>
        <w:rPr>
          <w:rFonts w:eastAsia="Symbol"/>
          <w:szCs w:val="24"/>
        </w:rPr>
        <w:t>Kathryn Orvis, Ph.D.</w:t>
      </w:r>
    </w:p>
    <w:p w:rsidR="00863E43" w:rsidRDefault="00863E43" w:rsidP="00570F8E">
      <w:pPr>
        <w:jc w:val="center"/>
        <w:rPr>
          <w:rFonts w:eastAsia="Symbol"/>
          <w:szCs w:val="24"/>
        </w:rPr>
      </w:pPr>
      <w:r w:rsidRPr="00EE49C6">
        <w:rPr>
          <w:rFonts w:eastAsia="Symbol"/>
          <w:szCs w:val="24"/>
        </w:rPr>
        <w:t>Purdue University</w:t>
      </w:r>
      <w:r w:rsidRPr="00EE49C6">
        <w:rPr>
          <w:rFonts w:eastAsia="Symbol"/>
          <w:szCs w:val="24"/>
        </w:rPr>
        <w:t xml:space="preserve"> </w:t>
      </w:r>
    </w:p>
    <w:p w:rsidR="00863E43" w:rsidRDefault="00863E43" w:rsidP="00570F8E">
      <w:pPr>
        <w:jc w:val="center"/>
        <w:rPr>
          <w:rFonts w:eastAsia="Symbol"/>
          <w:szCs w:val="24"/>
        </w:rPr>
      </w:pPr>
    </w:p>
    <w:p w:rsidR="00863E43" w:rsidRDefault="00863E43" w:rsidP="00570F8E">
      <w:pPr>
        <w:jc w:val="center"/>
        <w:rPr>
          <w:rFonts w:eastAsia="Symbol"/>
          <w:szCs w:val="24"/>
        </w:rPr>
      </w:pPr>
      <w:r>
        <w:rPr>
          <w:rFonts w:eastAsia="Symbol"/>
          <w:szCs w:val="24"/>
        </w:rPr>
        <w:t>James Greenan, Ph.D.</w:t>
      </w:r>
    </w:p>
    <w:p w:rsidR="00863E43" w:rsidRDefault="00863E43" w:rsidP="00570F8E">
      <w:pPr>
        <w:jc w:val="center"/>
        <w:rPr>
          <w:rFonts w:eastAsia="Symbol"/>
          <w:szCs w:val="24"/>
        </w:rPr>
      </w:pPr>
      <w:r>
        <w:rPr>
          <w:rFonts w:eastAsia="Symbol"/>
          <w:szCs w:val="24"/>
        </w:rPr>
        <w:t>Purdue University</w:t>
      </w:r>
    </w:p>
    <w:p w:rsidR="00863E43" w:rsidRDefault="00863E43" w:rsidP="00570F8E">
      <w:pPr>
        <w:jc w:val="center"/>
        <w:rPr>
          <w:rFonts w:eastAsia="Symbol"/>
          <w:szCs w:val="24"/>
        </w:rPr>
      </w:pPr>
    </w:p>
    <w:p w:rsidR="00863E43" w:rsidRDefault="00863E43" w:rsidP="00570F8E">
      <w:pPr>
        <w:jc w:val="center"/>
        <w:rPr>
          <w:rFonts w:eastAsia="Symbol"/>
          <w:szCs w:val="24"/>
        </w:rPr>
      </w:pPr>
      <w:r>
        <w:rPr>
          <w:rFonts w:eastAsia="Symbol"/>
          <w:szCs w:val="24"/>
        </w:rPr>
        <w:t>Helen Patrick, Ph.D.</w:t>
      </w:r>
    </w:p>
    <w:p w:rsidR="00570F8E" w:rsidRPr="00EE49C6" w:rsidRDefault="00863E43" w:rsidP="00570F8E">
      <w:pPr>
        <w:jc w:val="center"/>
        <w:rPr>
          <w:rFonts w:eastAsia="Symbol" w:cs="Times New Roman"/>
          <w:szCs w:val="24"/>
        </w:rPr>
      </w:pPr>
      <w:r>
        <w:rPr>
          <w:rFonts w:eastAsia="Symbol"/>
          <w:szCs w:val="24"/>
        </w:rPr>
        <w:t>Purdue University</w:t>
      </w:r>
      <w:r w:rsidR="00570F8E" w:rsidRPr="00EE49C6">
        <w:rPr>
          <w:rFonts w:eastAsia="Symbol"/>
          <w:szCs w:val="24"/>
        </w:rPr>
        <w:br w:type="page"/>
      </w:r>
    </w:p>
    <w:p w:rsidR="004C7C09" w:rsidRDefault="00185938" w:rsidP="00B867CD">
      <w:pPr>
        <w:pStyle w:val="nospacing1"/>
        <w:spacing w:before="0" w:beforeAutospacing="0" w:after="0" w:afterAutospacing="0"/>
        <w:jc w:val="center"/>
        <w:rPr>
          <w:rFonts w:eastAsia="Symbol"/>
          <w:b/>
        </w:rPr>
      </w:pPr>
      <w:r>
        <w:rPr>
          <w:rFonts w:eastAsia="Symbol"/>
          <w:b/>
        </w:rPr>
        <w:lastRenderedPageBreak/>
        <w:t xml:space="preserve">Plant Science Graduate Students’ </w:t>
      </w:r>
      <w:r w:rsidR="00AC6C20">
        <w:rPr>
          <w:rFonts w:eastAsia="Symbol"/>
          <w:b/>
        </w:rPr>
        <w:t xml:space="preserve">Teaching Self-Efficacy </w:t>
      </w:r>
      <w:r>
        <w:rPr>
          <w:rFonts w:eastAsia="Symbol"/>
          <w:b/>
        </w:rPr>
        <w:t>t</w:t>
      </w:r>
      <w:r w:rsidR="00AC6C20">
        <w:rPr>
          <w:rFonts w:eastAsia="Symbol"/>
          <w:b/>
        </w:rPr>
        <w:t xml:space="preserve">o Engage K-12 </w:t>
      </w:r>
      <w:r>
        <w:rPr>
          <w:rFonts w:eastAsia="Symbol"/>
          <w:b/>
        </w:rPr>
        <w:t>Students</w:t>
      </w:r>
    </w:p>
    <w:p w:rsidR="00A60947" w:rsidRPr="00EE49C6" w:rsidRDefault="00A60947" w:rsidP="00B867CD">
      <w:pPr>
        <w:pStyle w:val="nospacing1"/>
        <w:spacing w:before="0" w:beforeAutospacing="0" w:after="0" w:afterAutospacing="0"/>
        <w:jc w:val="center"/>
        <w:rPr>
          <w:rFonts w:eastAsia="Symbol"/>
          <w:b/>
        </w:rPr>
      </w:pPr>
    </w:p>
    <w:p w:rsidR="00EF2AF9" w:rsidRPr="00EE49C6" w:rsidRDefault="00AB43F2" w:rsidP="00B867CD">
      <w:pPr>
        <w:pStyle w:val="nospacing1"/>
        <w:spacing w:before="0" w:beforeAutospacing="0" w:after="0" w:afterAutospacing="0"/>
        <w:jc w:val="center"/>
        <w:rPr>
          <w:rFonts w:ascii="Times" w:hAnsi="Times" w:cs="Times"/>
          <w:b/>
        </w:rPr>
      </w:pPr>
      <w:r w:rsidRPr="00EE49C6">
        <w:rPr>
          <w:rFonts w:ascii="Times" w:hAnsi="Times" w:cs="Times"/>
          <w:b/>
        </w:rPr>
        <w:t>Introduction/N</w:t>
      </w:r>
      <w:r w:rsidR="001F3FB9" w:rsidRPr="00EE49C6">
        <w:rPr>
          <w:rFonts w:ascii="Times" w:hAnsi="Times" w:cs="Times"/>
          <w:b/>
        </w:rPr>
        <w:t>eed for research</w:t>
      </w:r>
    </w:p>
    <w:p w:rsidR="00EB3EF5" w:rsidRPr="00A60947" w:rsidRDefault="00A60947" w:rsidP="009817C6">
      <w:pPr>
        <w:autoSpaceDE w:val="0"/>
        <w:autoSpaceDN w:val="0"/>
        <w:adjustRightInd w:val="0"/>
        <w:ind w:firstLine="720"/>
        <w:rPr>
          <w:rFonts w:cs="Times New Roman"/>
          <w:szCs w:val="24"/>
        </w:rPr>
      </w:pPr>
      <w:r>
        <w:rPr>
          <w:rFonts w:cs="Times New Roman"/>
          <w:szCs w:val="24"/>
        </w:rPr>
        <w:t>Graduate students’ motivation to share their k</w:t>
      </w:r>
      <w:r>
        <w:rPr>
          <w:rFonts w:cs="Times New Roman"/>
          <w:szCs w:val="24"/>
        </w:rPr>
        <w:t xml:space="preserve">nowledge and research with K-12 </w:t>
      </w:r>
      <w:r>
        <w:rPr>
          <w:rFonts w:cs="Times New Roman"/>
          <w:szCs w:val="24"/>
        </w:rPr>
        <w:t xml:space="preserve">audiences as future scientists is informed by their </w:t>
      </w:r>
      <w:r w:rsidR="00AC6C20">
        <w:rPr>
          <w:rFonts w:cs="Times New Roman"/>
          <w:szCs w:val="24"/>
        </w:rPr>
        <w:t xml:space="preserve">self-efficacy </w:t>
      </w:r>
      <w:r>
        <w:rPr>
          <w:rFonts w:cs="Times New Roman"/>
          <w:szCs w:val="24"/>
        </w:rPr>
        <w:t>beliefs</w:t>
      </w:r>
      <w:r>
        <w:rPr>
          <w:rFonts w:cs="Times New Roman"/>
          <w:szCs w:val="24"/>
        </w:rPr>
        <w:t xml:space="preserve"> </w:t>
      </w:r>
      <w:r w:rsidR="00AC6C20">
        <w:rPr>
          <w:rFonts w:cs="Times New Roman"/>
          <w:szCs w:val="24"/>
        </w:rPr>
        <w:t>to teach</w:t>
      </w:r>
      <w:r>
        <w:rPr>
          <w:rFonts w:cs="Times New Roman"/>
          <w:szCs w:val="24"/>
        </w:rPr>
        <w:t xml:space="preserve"> science </w:t>
      </w:r>
      <w:r>
        <w:rPr>
          <w:rFonts w:cs="Times New Roman"/>
          <w:szCs w:val="24"/>
        </w:rPr>
        <w:t xml:space="preserve">literacy </w:t>
      </w:r>
      <w:r w:rsidR="00AC6C20">
        <w:rPr>
          <w:rFonts w:cs="Times New Roman"/>
          <w:szCs w:val="24"/>
        </w:rPr>
        <w:t xml:space="preserve">through </w:t>
      </w:r>
      <w:r>
        <w:rPr>
          <w:rFonts w:cs="Times New Roman"/>
          <w:szCs w:val="24"/>
        </w:rPr>
        <w:t>outreach</w:t>
      </w:r>
      <w:r w:rsidR="00AC6C20">
        <w:rPr>
          <w:rFonts w:cs="Times New Roman"/>
          <w:szCs w:val="24"/>
        </w:rPr>
        <w:t xml:space="preserve"> and engagement activities</w:t>
      </w:r>
      <w:r>
        <w:rPr>
          <w:rFonts w:cs="Times New Roman"/>
          <w:szCs w:val="24"/>
        </w:rPr>
        <w:t xml:space="preserve">. </w:t>
      </w:r>
      <w:r w:rsidR="009817C6">
        <w:rPr>
          <w:rFonts w:cs="Times New Roman"/>
          <w:szCs w:val="24"/>
        </w:rPr>
        <w:t xml:space="preserve">Previous studies on preparing graduate students for outreach and teaching experiences have focused the improved teaching and communication skills for graduate students (Calder, Brawley, &amp; Bagley, 2003; </w:t>
      </w:r>
      <w:proofErr w:type="spellStart"/>
      <w:r w:rsidR="009817C6">
        <w:rPr>
          <w:rFonts w:cs="Times New Roman"/>
          <w:szCs w:val="24"/>
        </w:rPr>
        <w:t>Feldon</w:t>
      </w:r>
      <w:proofErr w:type="spellEnd"/>
      <w:r w:rsidR="009817C6">
        <w:rPr>
          <w:rFonts w:cs="Times New Roman"/>
          <w:szCs w:val="24"/>
        </w:rPr>
        <w:t xml:space="preserve"> et al., </w:t>
      </w:r>
      <w:r w:rsidR="008A40AF">
        <w:rPr>
          <w:rFonts w:cs="Times New Roman"/>
          <w:szCs w:val="24"/>
        </w:rPr>
        <w:t xml:space="preserve">2011; </w:t>
      </w:r>
      <w:r w:rsidR="009817C6">
        <w:rPr>
          <w:rFonts w:cs="Times New Roman"/>
          <w:szCs w:val="24"/>
        </w:rPr>
        <w:t xml:space="preserve">Grant, Liu, &amp; </w:t>
      </w:r>
      <w:proofErr w:type="spellStart"/>
      <w:r w:rsidR="009817C6">
        <w:rPr>
          <w:rFonts w:cs="Times New Roman"/>
          <w:szCs w:val="24"/>
        </w:rPr>
        <w:t>Gardella</w:t>
      </w:r>
      <w:proofErr w:type="spellEnd"/>
      <w:r w:rsidR="009817C6">
        <w:rPr>
          <w:rFonts w:cs="Times New Roman"/>
          <w:szCs w:val="24"/>
        </w:rPr>
        <w:t>, 20</w:t>
      </w:r>
      <w:r w:rsidR="008A40AF">
        <w:rPr>
          <w:rFonts w:cs="Times New Roman"/>
          <w:szCs w:val="24"/>
        </w:rPr>
        <w:t xml:space="preserve">14; </w:t>
      </w:r>
      <w:proofErr w:type="spellStart"/>
      <w:r w:rsidR="008A40AF">
        <w:rPr>
          <w:rFonts w:cs="Times New Roman"/>
          <w:szCs w:val="24"/>
        </w:rPr>
        <w:t>Laursen</w:t>
      </w:r>
      <w:proofErr w:type="spellEnd"/>
      <w:r w:rsidR="008A40AF">
        <w:rPr>
          <w:rFonts w:cs="Times New Roman"/>
          <w:szCs w:val="24"/>
        </w:rPr>
        <w:t xml:space="preserve"> et al., 2012; </w:t>
      </w:r>
      <w:r w:rsidR="009817C6">
        <w:rPr>
          <w:rFonts w:cs="Times New Roman"/>
          <w:szCs w:val="24"/>
        </w:rPr>
        <w:t>McBride et al., 2011). Preparing future scientists to learn how to engage PK-12 students is important because of the societal responsibility to extend communication of their findings beyond research journals to policy makers and the general public (Smith et al., 2013).</w:t>
      </w:r>
      <w:r w:rsidR="009817C6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Graduate training programs in acade</w:t>
      </w:r>
      <w:r>
        <w:rPr>
          <w:rFonts w:cs="Times New Roman"/>
          <w:szCs w:val="24"/>
        </w:rPr>
        <w:t xml:space="preserve">mia integrate outreach teaching </w:t>
      </w:r>
      <w:r>
        <w:rPr>
          <w:rFonts w:cs="Times New Roman"/>
          <w:szCs w:val="24"/>
        </w:rPr>
        <w:t xml:space="preserve">components to equip future scientists with a variety of </w:t>
      </w:r>
      <w:r>
        <w:rPr>
          <w:rFonts w:cs="Times New Roman"/>
          <w:szCs w:val="24"/>
        </w:rPr>
        <w:t xml:space="preserve">communication skills, which may </w:t>
      </w:r>
      <w:r>
        <w:rPr>
          <w:rFonts w:cs="Times New Roman"/>
          <w:szCs w:val="24"/>
        </w:rPr>
        <w:t>reflect either a transmission of knowledge to the learner</w:t>
      </w:r>
      <w:r>
        <w:rPr>
          <w:rFonts w:cs="Times New Roman"/>
          <w:szCs w:val="24"/>
        </w:rPr>
        <w:t xml:space="preserve"> or through engagement with the </w:t>
      </w:r>
      <w:r>
        <w:rPr>
          <w:rFonts w:cs="Times New Roman"/>
          <w:szCs w:val="24"/>
        </w:rPr>
        <w:t>learner. As such, the education component of the “</w:t>
      </w:r>
      <w:r>
        <w:rPr>
          <w:rFonts w:cs="Times New Roman"/>
          <w:szCs w:val="24"/>
        </w:rPr>
        <w:t xml:space="preserve">Partnership for Research and </w:t>
      </w:r>
      <w:r>
        <w:rPr>
          <w:rFonts w:cs="Times New Roman"/>
          <w:szCs w:val="24"/>
        </w:rPr>
        <w:t xml:space="preserve">Education in Plant Breeding and Genetics” grant sought </w:t>
      </w:r>
      <w:r>
        <w:rPr>
          <w:rFonts w:cs="Times New Roman"/>
          <w:szCs w:val="24"/>
        </w:rPr>
        <w:t xml:space="preserve">to train graduate plant science </w:t>
      </w:r>
      <w:r w:rsidR="009817C6">
        <w:rPr>
          <w:rFonts w:cs="Times New Roman"/>
          <w:szCs w:val="24"/>
        </w:rPr>
        <w:t xml:space="preserve">students </w:t>
      </w:r>
      <w:r>
        <w:rPr>
          <w:rFonts w:cs="Times New Roman"/>
          <w:szCs w:val="24"/>
        </w:rPr>
        <w:t>to disseminate their research to K-</w:t>
      </w:r>
      <w:r>
        <w:rPr>
          <w:rFonts w:cs="Times New Roman"/>
          <w:szCs w:val="24"/>
        </w:rPr>
        <w:t xml:space="preserve">12 audiences. Graduate students </w:t>
      </w:r>
      <w:r>
        <w:rPr>
          <w:rFonts w:cs="Times New Roman"/>
          <w:szCs w:val="24"/>
        </w:rPr>
        <w:t xml:space="preserve">participated in outreach teacher training using </w:t>
      </w:r>
      <w:r>
        <w:rPr>
          <w:rFonts w:cs="Times New Roman"/>
          <w:szCs w:val="24"/>
        </w:rPr>
        <w:t xml:space="preserve">Learner-Centered Teaching (LCT) </w:t>
      </w:r>
      <w:r>
        <w:rPr>
          <w:rFonts w:cs="Times New Roman"/>
          <w:szCs w:val="24"/>
        </w:rPr>
        <w:t>strategies to develop and conduct two science lessons for</w:t>
      </w:r>
      <w:r>
        <w:rPr>
          <w:rFonts w:cs="Times New Roman"/>
          <w:szCs w:val="24"/>
        </w:rPr>
        <w:t xml:space="preserve"> K-12 audiences in a non-formal </w:t>
      </w:r>
      <w:r>
        <w:rPr>
          <w:rFonts w:cs="Times New Roman"/>
          <w:szCs w:val="24"/>
        </w:rPr>
        <w:t>and formal educational settings. The purpose of this mixe</w:t>
      </w:r>
      <w:r>
        <w:rPr>
          <w:rFonts w:cs="Times New Roman"/>
          <w:szCs w:val="24"/>
        </w:rPr>
        <w:t xml:space="preserve">d methods study was to describe </w:t>
      </w:r>
      <w:r>
        <w:rPr>
          <w:rFonts w:cs="Times New Roman"/>
          <w:szCs w:val="24"/>
        </w:rPr>
        <w:t xml:space="preserve">the teaching </w:t>
      </w:r>
      <w:r w:rsidR="00AC6C20">
        <w:rPr>
          <w:rFonts w:cs="Times New Roman"/>
          <w:szCs w:val="24"/>
        </w:rPr>
        <w:t xml:space="preserve">self-efficacy </w:t>
      </w:r>
      <w:r>
        <w:rPr>
          <w:rFonts w:cs="Times New Roman"/>
          <w:szCs w:val="24"/>
        </w:rPr>
        <w:t xml:space="preserve">beliefs of plant science graduate students </w:t>
      </w:r>
      <w:r w:rsidR="009817C6">
        <w:rPr>
          <w:rFonts w:cs="Times New Roman"/>
          <w:szCs w:val="24"/>
        </w:rPr>
        <w:t xml:space="preserve">before and </w:t>
      </w:r>
      <w:r>
        <w:rPr>
          <w:rFonts w:cs="Times New Roman"/>
          <w:szCs w:val="24"/>
        </w:rPr>
        <w:t xml:space="preserve">after </w:t>
      </w:r>
      <w:r>
        <w:rPr>
          <w:rFonts w:cs="Times New Roman"/>
          <w:szCs w:val="24"/>
        </w:rPr>
        <w:t xml:space="preserve">receiving </w:t>
      </w:r>
      <w:r w:rsidR="009817C6">
        <w:rPr>
          <w:rFonts w:cs="Times New Roman"/>
          <w:szCs w:val="24"/>
        </w:rPr>
        <w:t>outreach training on PK-12 engagement.</w:t>
      </w:r>
    </w:p>
    <w:p w:rsidR="00506DE7" w:rsidRPr="00EE49C6" w:rsidRDefault="00AB43F2" w:rsidP="00B867CD">
      <w:pPr>
        <w:pStyle w:val="nospacing1"/>
        <w:spacing w:before="0" w:beforeAutospacing="0" w:after="0" w:afterAutospacing="0"/>
        <w:jc w:val="center"/>
        <w:rPr>
          <w:rFonts w:ascii="Times" w:hAnsi="Times" w:cs="Times"/>
          <w:b/>
        </w:rPr>
      </w:pPr>
      <w:r w:rsidRPr="00EE49C6">
        <w:rPr>
          <w:rFonts w:ascii="Times" w:hAnsi="Times" w:cs="Times"/>
          <w:b/>
        </w:rPr>
        <w:t>T</w:t>
      </w:r>
      <w:r w:rsidR="001F3FB9" w:rsidRPr="00EE49C6">
        <w:rPr>
          <w:rFonts w:ascii="Times" w:hAnsi="Times" w:cs="Times"/>
          <w:b/>
        </w:rPr>
        <w:t xml:space="preserve">heoretical </w:t>
      </w:r>
      <w:r w:rsidR="00EB3EF5">
        <w:rPr>
          <w:rFonts w:ascii="Times" w:hAnsi="Times" w:cs="Times"/>
          <w:b/>
        </w:rPr>
        <w:t>F</w:t>
      </w:r>
      <w:r w:rsidR="001F3FB9" w:rsidRPr="00EE49C6">
        <w:rPr>
          <w:rFonts w:ascii="Times" w:hAnsi="Times" w:cs="Times"/>
          <w:b/>
        </w:rPr>
        <w:t>ramework</w:t>
      </w:r>
    </w:p>
    <w:p w:rsidR="00EB3EF5" w:rsidRPr="0078423E" w:rsidRDefault="00C90828" w:rsidP="0078423E">
      <w:pPr>
        <w:autoSpaceDE w:val="0"/>
        <w:autoSpaceDN w:val="0"/>
        <w:adjustRightInd w:val="0"/>
        <w:rPr>
          <w:rFonts w:cs="Times New Roman"/>
          <w:szCs w:val="24"/>
        </w:rPr>
      </w:pPr>
      <w:r w:rsidRPr="00EE49C6">
        <w:rPr>
          <w:rFonts w:ascii="Times" w:hAnsi="Times" w:cs="Times"/>
        </w:rPr>
        <w:tab/>
      </w:r>
      <w:r w:rsidR="00EB3EF5">
        <w:rPr>
          <w:rFonts w:cs="Times New Roman"/>
          <w:szCs w:val="24"/>
        </w:rPr>
        <w:t xml:space="preserve">Teaching self-efficacy is </w:t>
      </w:r>
      <w:r w:rsidR="00EB3EF5">
        <w:rPr>
          <w:rFonts w:cs="Times New Roman"/>
          <w:szCs w:val="24"/>
        </w:rPr>
        <w:t>an individual’s self-perceived capabilities in a teaching environment (</w:t>
      </w:r>
      <w:proofErr w:type="spellStart"/>
      <w:r w:rsidR="00EB3EF5">
        <w:rPr>
          <w:rFonts w:cs="Times New Roman"/>
          <w:szCs w:val="24"/>
        </w:rPr>
        <w:t>Tschannen</w:t>
      </w:r>
      <w:proofErr w:type="spellEnd"/>
      <w:r w:rsidR="00EB3EF5">
        <w:rPr>
          <w:rFonts w:cs="Times New Roman"/>
          <w:szCs w:val="24"/>
        </w:rPr>
        <w:t>-Mo</w:t>
      </w:r>
      <w:r w:rsidR="00EB3EF5">
        <w:rPr>
          <w:rFonts w:cs="Times New Roman"/>
          <w:szCs w:val="24"/>
        </w:rPr>
        <w:t xml:space="preserve">ran </w:t>
      </w:r>
      <w:r w:rsidR="00EB3EF5">
        <w:rPr>
          <w:rFonts w:cs="Times New Roman"/>
          <w:szCs w:val="24"/>
        </w:rPr>
        <w:t xml:space="preserve">&amp; Hoy, 2007). The process of learning to teach may </w:t>
      </w:r>
      <w:r w:rsidR="00EB3EF5">
        <w:rPr>
          <w:rFonts w:cs="Times New Roman"/>
          <w:szCs w:val="24"/>
        </w:rPr>
        <w:t xml:space="preserve">initially happen </w:t>
      </w:r>
      <w:r w:rsidR="0078423E">
        <w:rPr>
          <w:rFonts w:cs="Times New Roman"/>
          <w:szCs w:val="24"/>
        </w:rPr>
        <w:t>by watching others teach (i.e., vicarious experience)</w:t>
      </w:r>
      <w:r w:rsidR="00EB3EF5">
        <w:rPr>
          <w:rFonts w:cs="Times New Roman"/>
          <w:szCs w:val="24"/>
        </w:rPr>
        <w:t xml:space="preserve"> or through </w:t>
      </w:r>
      <w:r w:rsidR="0078423E">
        <w:rPr>
          <w:rFonts w:cs="Times New Roman"/>
          <w:szCs w:val="24"/>
        </w:rPr>
        <w:t>by teaching others (i.e., mastery experiences)</w:t>
      </w:r>
      <w:r w:rsidR="00EB3EF5">
        <w:rPr>
          <w:rFonts w:cs="Times New Roman"/>
          <w:szCs w:val="24"/>
        </w:rPr>
        <w:t xml:space="preserve">. </w:t>
      </w:r>
      <w:r w:rsidR="0078423E">
        <w:rPr>
          <w:rFonts w:cs="Times New Roman"/>
          <w:szCs w:val="24"/>
        </w:rPr>
        <w:t>Self-efficacy in determined when g</w:t>
      </w:r>
      <w:r w:rsidR="00EB3EF5">
        <w:rPr>
          <w:rFonts w:cs="Times New Roman"/>
          <w:szCs w:val="24"/>
        </w:rPr>
        <w:t xml:space="preserve">raduate students reflect </w:t>
      </w:r>
      <w:r w:rsidR="00EB3EF5">
        <w:rPr>
          <w:rFonts w:cs="Times New Roman"/>
          <w:szCs w:val="24"/>
        </w:rPr>
        <w:t>upon their experiences within an environment and</w:t>
      </w:r>
      <w:r w:rsidR="0078423E">
        <w:rPr>
          <w:rFonts w:cs="Times New Roman"/>
          <w:szCs w:val="24"/>
        </w:rPr>
        <w:t xml:space="preserve"> t</w:t>
      </w:r>
      <w:r w:rsidR="00EB3EF5">
        <w:rPr>
          <w:rFonts w:cs="Times New Roman"/>
          <w:szCs w:val="24"/>
        </w:rPr>
        <w:t xml:space="preserve">heir personal attributes </w:t>
      </w:r>
      <w:r w:rsidR="0078423E">
        <w:rPr>
          <w:rFonts w:cs="Times New Roman"/>
          <w:szCs w:val="24"/>
        </w:rPr>
        <w:t>to determine how confident they are in their abilities to teach in a specific context</w:t>
      </w:r>
      <w:r w:rsidR="00EB3EF5">
        <w:rPr>
          <w:rFonts w:cs="Times New Roman"/>
          <w:szCs w:val="24"/>
        </w:rPr>
        <w:t xml:space="preserve">. </w:t>
      </w:r>
      <w:r w:rsidR="00EB3EF5">
        <w:rPr>
          <w:rFonts w:cs="Times New Roman"/>
          <w:szCs w:val="24"/>
        </w:rPr>
        <w:t>Mastery experiences, verbal persuasion, vicarious experie</w:t>
      </w:r>
      <w:r w:rsidR="00EB3EF5">
        <w:rPr>
          <w:rFonts w:cs="Times New Roman"/>
          <w:szCs w:val="24"/>
        </w:rPr>
        <w:t xml:space="preserve">nces, and </w:t>
      </w:r>
      <w:r w:rsidR="00EB3EF5">
        <w:rPr>
          <w:rFonts w:cs="Times New Roman"/>
          <w:szCs w:val="24"/>
        </w:rPr>
        <w:t>physiological arousal are the four major influences on tea</w:t>
      </w:r>
      <w:r w:rsidR="00EB3EF5">
        <w:rPr>
          <w:rFonts w:cs="Times New Roman"/>
          <w:szCs w:val="24"/>
        </w:rPr>
        <w:t>ching self-efficacy (</w:t>
      </w:r>
      <w:proofErr w:type="spellStart"/>
      <w:r w:rsidR="00EB3EF5">
        <w:rPr>
          <w:rFonts w:cs="Times New Roman"/>
          <w:szCs w:val="24"/>
        </w:rPr>
        <w:t>Tschannen</w:t>
      </w:r>
      <w:proofErr w:type="spellEnd"/>
      <w:r w:rsidR="00EB3EF5">
        <w:rPr>
          <w:rFonts w:cs="Times New Roman"/>
          <w:szCs w:val="24"/>
        </w:rPr>
        <w:t xml:space="preserve">- Moran &amp; Hoy, 2007). </w:t>
      </w:r>
      <w:r w:rsidR="0078423E">
        <w:rPr>
          <w:rFonts w:cs="Times New Roman"/>
          <w:szCs w:val="24"/>
        </w:rPr>
        <w:t>Teaching self-efficacy is a significant predictor of effective teaching practices (Goddard et al., 2004</w:t>
      </w:r>
      <w:r w:rsidR="00EB3EF5">
        <w:rPr>
          <w:rFonts w:cs="Times New Roman"/>
          <w:szCs w:val="24"/>
        </w:rPr>
        <w:t>)</w:t>
      </w:r>
      <w:r w:rsidR="0078423E">
        <w:rPr>
          <w:rFonts w:cs="Times New Roman"/>
          <w:szCs w:val="24"/>
        </w:rPr>
        <w:t xml:space="preserve"> and has been studied </w:t>
      </w:r>
      <w:r w:rsidR="00EB3EF5">
        <w:rPr>
          <w:rFonts w:cs="Times New Roman"/>
          <w:szCs w:val="24"/>
        </w:rPr>
        <w:t>in the fi</w:t>
      </w:r>
      <w:r w:rsidR="0078423E">
        <w:rPr>
          <w:rFonts w:cs="Times New Roman"/>
          <w:szCs w:val="24"/>
        </w:rPr>
        <w:t xml:space="preserve">eld of K-12 </w:t>
      </w:r>
      <w:r w:rsidR="008A40AF">
        <w:rPr>
          <w:rFonts w:cs="Times New Roman"/>
          <w:szCs w:val="24"/>
        </w:rPr>
        <w:t>science (</w:t>
      </w:r>
      <w:proofErr w:type="spellStart"/>
      <w:r w:rsidR="008A40AF">
        <w:rPr>
          <w:rFonts w:cs="Times New Roman"/>
          <w:szCs w:val="24"/>
        </w:rPr>
        <w:t>Bleicher</w:t>
      </w:r>
      <w:proofErr w:type="spellEnd"/>
      <w:r w:rsidR="008A40AF">
        <w:rPr>
          <w:rFonts w:cs="Times New Roman"/>
          <w:szCs w:val="24"/>
        </w:rPr>
        <w:t>, 2004</w:t>
      </w:r>
      <w:r w:rsidR="0078423E">
        <w:rPr>
          <w:rFonts w:cs="Times New Roman"/>
          <w:szCs w:val="24"/>
        </w:rPr>
        <w:t>) and higher education (</w:t>
      </w:r>
      <w:proofErr w:type="spellStart"/>
      <w:r w:rsidR="009817C6">
        <w:rPr>
          <w:rFonts w:cs="Times New Roman"/>
          <w:szCs w:val="24"/>
        </w:rPr>
        <w:t>De</w:t>
      </w:r>
      <w:r w:rsidR="009817C6">
        <w:rPr>
          <w:rFonts w:cs="Times New Roman"/>
          <w:szCs w:val="24"/>
        </w:rPr>
        <w:t>Chenne</w:t>
      </w:r>
      <w:proofErr w:type="spellEnd"/>
      <w:r w:rsidR="009817C6">
        <w:rPr>
          <w:rFonts w:cs="Times New Roman"/>
          <w:szCs w:val="24"/>
        </w:rPr>
        <w:t xml:space="preserve">, </w:t>
      </w:r>
      <w:proofErr w:type="spellStart"/>
      <w:r w:rsidR="009817C6">
        <w:rPr>
          <w:rFonts w:cs="Times New Roman"/>
          <w:szCs w:val="24"/>
        </w:rPr>
        <w:t>Enochs</w:t>
      </w:r>
      <w:proofErr w:type="spellEnd"/>
      <w:r w:rsidR="009817C6">
        <w:rPr>
          <w:rFonts w:cs="Times New Roman"/>
          <w:szCs w:val="24"/>
        </w:rPr>
        <w:t xml:space="preserve">, &amp; Needham, 2012; </w:t>
      </w:r>
      <w:r w:rsidR="0078423E">
        <w:rPr>
          <w:rFonts w:cs="Times New Roman"/>
          <w:szCs w:val="24"/>
        </w:rPr>
        <w:t>F</w:t>
      </w:r>
      <w:r w:rsidR="00EB3EF5">
        <w:rPr>
          <w:rFonts w:cs="Times New Roman"/>
          <w:szCs w:val="24"/>
        </w:rPr>
        <w:t>ives</w:t>
      </w:r>
      <w:r w:rsidR="0078423E">
        <w:rPr>
          <w:rFonts w:cs="Times New Roman"/>
          <w:szCs w:val="24"/>
        </w:rPr>
        <w:t xml:space="preserve"> &amp; Looney, </w:t>
      </w:r>
      <w:r w:rsidR="00EB3EF5">
        <w:rPr>
          <w:rFonts w:cs="Times New Roman"/>
          <w:szCs w:val="24"/>
        </w:rPr>
        <w:t>2009)</w:t>
      </w:r>
      <w:r w:rsidR="0078423E">
        <w:rPr>
          <w:rFonts w:cs="Times New Roman"/>
          <w:szCs w:val="24"/>
        </w:rPr>
        <w:t>.</w:t>
      </w:r>
      <w:r w:rsidR="009817C6">
        <w:rPr>
          <w:rFonts w:cs="Times New Roman"/>
          <w:szCs w:val="24"/>
        </w:rPr>
        <w:t xml:space="preserve"> </w:t>
      </w:r>
      <w:r w:rsidR="009817C6">
        <w:rPr>
          <w:rFonts w:cs="Times New Roman"/>
          <w:szCs w:val="24"/>
        </w:rPr>
        <w:t>Students were more motivated and performed at higher levels of achievement when teachers espoused higher levels of self-efficacy beliefs (</w:t>
      </w:r>
      <w:proofErr w:type="spellStart"/>
      <w:r w:rsidR="009817C6">
        <w:rPr>
          <w:rFonts w:cs="Times New Roman"/>
          <w:szCs w:val="24"/>
        </w:rPr>
        <w:t>Caprara</w:t>
      </w:r>
      <w:proofErr w:type="spellEnd"/>
      <w:r w:rsidR="009817C6">
        <w:rPr>
          <w:rFonts w:cs="Times New Roman"/>
          <w:szCs w:val="24"/>
        </w:rPr>
        <w:t xml:space="preserve">, </w:t>
      </w:r>
      <w:proofErr w:type="spellStart"/>
      <w:r w:rsidR="009817C6">
        <w:rPr>
          <w:rFonts w:cs="Times New Roman"/>
          <w:szCs w:val="24"/>
        </w:rPr>
        <w:t>Barbaranelli</w:t>
      </w:r>
      <w:proofErr w:type="spellEnd"/>
      <w:r w:rsidR="009817C6">
        <w:rPr>
          <w:rFonts w:cs="Times New Roman"/>
          <w:szCs w:val="24"/>
        </w:rPr>
        <w:t xml:space="preserve">, </w:t>
      </w:r>
      <w:proofErr w:type="spellStart"/>
      <w:r w:rsidR="009817C6">
        <w:rPr>
          <w:rFonts w:cs="Times New Roman"/>
          <w:szCs w:val="24"/>
        </w:rPr>
        <w:t>Steca</w:t>
      </w:r>
      <w:proofErr w:type="spellEnd"/>
      <w:r w:rsidR="009817C6">
        <w:rPr>
          <w:rFonts w:cs="Times New Roman"/>
          <w:szCs w:val="24"/>
        </w:rPr>
        <w:t>, &amp; Malone, 2006).</w:t>
      </w:r>
    </w:p>
    <w:p w:rsidR="00820099" w:rsidRPr="00EE49C6" w:rsidRDefault="00820099" w:rsidP="00B500E8">
      <w:pPr>
        <w:pStyle w:val="nospacing1"/>
        <w:spacing w:before="0" w:beforeAutospacing="0" w:after="0" w:afterAutospacing="0"/>
        <w:rPr>
          <w:rFonts w:ascii="Times" w:hAnsi="Times" w:cs="Times"/>
        </w:rPr>
      </w:pPr>
    </w:p>
    <w:p w:rsidR="00B500E8" w:rsidRPr="00EE49C6" w:rsidRDefault="001F3FB9" w:rsidP="00A16C8F">
      <w:pPr>
        <w:pStyle w:val="nospacing1"/>
        <w:spacing w:before="0" w:beforeAutospacing="0" w:after="0" w:afterAutospacing="0"/>
        <w:jc w:val="center"/>
        <w:rPr>
          <w:rFonts w:ascii="Times" w:hAnsi="Times" w:cs="Times"/>
          <w:b/>
        </w:rPr>
      </w:pPr>
      <w:r w:rsidRPr="00EE49C6">
        <w:rPr>
          <w:rFonts w:ascii="Times" w:hAnsi="Times" w:cs="Times"/>
          <w:b/>
        </w:rPr>
        <w:t>Methodology</w:t>
      </w:r>
    </w:p>
    <w:p w:rsidR="00BC6279" w:rsidRDefault="00C02C6C" w:rsidP="00BC6279">
      <w:pPr>
        <w:autoSpaceDE w:val="0"/>
        <w:autoSpaceDN w:val="0"/>
        <w:adjustRightInd w:val="0"/>
        <w:rPr>
          <w:rFonts w:cs="Times New Roman"/>
          <w:szCs w:val="24"/>
        </w:rPr>
      </w:pPr>
      <w:r w:rsidRPr="00EE49C6">
        <w:rPr>
          <w:rFonts w:ascii="Times" w:hAnsi="Times" w:cs="Times"/>
        </w:rPr>
        <w:tab/>
      </w:r>
      <w:r w:rsidR="009817C6">
        <w:rPr>
          <w:rFonts w:ascii="Times" w:hAnsi="Times" w:cs="Times"/>
        </w:rPr>
        <w:t xml:space="preserve">This was a descriptive study that used mixed methods to determine graduate students’ teaching self-efficacy beliefs. </w:t>
      </w:r>
      <w:r w:rsidR="00BC6279">
        <w:rPr>
          <w:rFonts w:ascii="Times" w:hAnsi="Times" w:cs="Times"/>
        </w:rPr>
        <w:t xml:space="preserve">Quantitatively, a questionnaire was used to assess teaching self-efficacy before and after the outreach training experience. </w:t>
      </w:r>
      <w:r w:rsidR="00BC6279">
        <w:rPr>
          <w:rFonts w:cs="Times New Roman"/>
          <w:szCs w:val="24"/>
        </w:rPr>
        <w:t xml:space="preserve">The </w:t>
      </w:r>
      <w:r w:rsidR="00BC6279">
        <w:t xml:space="preserve">20 </w:t>
      </w:r>
      <w:r w:rsidR="00BC6279">
        <w:rPr>
          <w:rFonts w:cs="Times New Roman"/>
          <w:szCs w:val="24"/>
        </w:rPr>
        <w:t>teaching self-efficacy items were adapted from</w:t>
      </w:r>
      <w:r w:rsidR="00BC6279">
        <w:t xml:space="preserve"> </w:t>
      </w:r>
      <w:r w:rsidR="00BC6279">
        <w:rPr>
          <w:rFonts w:cs="Times New Roman"/>
          <w:szCs w:val="24"/>
        </w:rPr>
        <w:t xml:space="preserve">“The Teachers’ Sense of Efficacy Scale” developed by </w:t>
      </w:r>
      <w:proofErr w:type="spellStart"/>
      <w:r w:rsidR="00BC6279">
        <w:rPr>
          <w:rFonts w:cs="Times New Roman"/>
          <w:szCs w:val="24"/>
        </w:rPr>
        <w:t>Tschannen</w:t>
      </w:r>
      <w:proofErr w:type="spellEnd"/>
      <w:r w:rsidR="00BC6279">
        <w:rPr>
          <w:rFonts w:cs="Times New Roman"/>
          <w:szCs w:val="24"/>
        </w:rPr>
        <w:t>-Moran and Hoy</w:t>
      </w:r>
      <w:r w:rsidR="00BC6279">
        <w:t xml:space="preserve"> </w:t>
      </w:r>
      <w:r w:rsidR="00BC6279">
        <w:rPr>
          <w:rFonts w:cs="Times New Roman"/>
          <w:szCs w:val="24"/>
        </w:rPr>
        <w:t xml:space="preserve">(2001). </w:t>
      </w:r>
      <w:r w:rsidR="00BC6279">
        <w:t xml:space="preserve">Participants responded to a </w:t>
      </w:r>
      <w:r w:rsidR="00BC6279">
        <w:rPr>
          <w:rFonts w:cs="Times New Roman"/>
          <w:szCs w:val="24"/>
        </w:rPr>
        <w:t>five-point scale responses: (a) Not at all/none, (b) Very little, (c) Some, (d) Quite a bit,</w:t>
      </w:r>
      <w:r w:rsidR="00BC6279">
        <w:t xml:space="preserve"> </w:t>
      </w:r>
      <w:r w:rsidR="00BC6279">
        <w:rPr>
          <w:rFonts w:cs="Times New Roman"/>
          <w:szCs w:val="24"/>
        </w:rPr>
        <w:t xml:space="preserve">and (e) Always/a lot. </w:t>
      </w:r>
      <w:r w:rsidR="00BC6279">
        <w:rPr>
          <w:rFonts w:cs="Times New Roman"/>
          <w:szCs w:val="24"/>
        </w:rPr>
        <w:t xml:space="preserve">The questionnaire </w:t>
      </w:r>
      <w:r w:rsidR="00BC6279">
        <w:rPr>
          <w:rFonts w:cs="Times New Roman"/>
          <w:szCs w:val="24"/>
        </w:rPr>
        <w:t>was reviewed by a panel of experts to establish face and content validity. The</w:t>
      </w:r>
      <w:r w:rsidR="00BC6279">
        <w:rPr>
          <w:rFonts w:cs="Times New Roman"/>
          <w:szCs w:val="24"/>
        </w:rPr>
        <w:t xml:space="preserve"> </w:t>
      </w:r>
      <w:r w:rsidR="00BC6279">
        <w:rPr>
          <w:rFonts w:cs="Times New Roman"/>
          <w:szCs w:val="24"/>
        </w:rPr>
        <w:t>reliability of the self-efficacy questionnaire was establis</w:t>
      </w:r>
      <w:r w:rsidR="00BC6279">
        <w:rPr>
          <w:rFonts w:cs="Times New Roman"/>
          <w:szCs w:val="24"/>
        </w:rPr>
        <w:t xml:space="preserve">hed by calculating the post-hoc </w:t>
      </w:r>
      <w:r w:rsidR="00BC6279">
        <w:rPr>
          <w:rFonts w:cs="Times New Roman"/>
          <w:szCs w:val="24"/>
        </w:rPr>
        <w:t>Cronbach’s alpha coefficient for 20 items (α = 0.90).</w:t>
      </w:r>
      <w:r w:rsidR="00BC6279">
        <w:t xml:space="preserve"> </w:t>
      </w:r>
      <w:r w:rsidR="00BC6279">
        <w:rPr>
          <w:rFonts w:ascii="Times" w:hAnsi="Times" w:cs="Times"/>
        </w:rPr>
        <w:t>Fifteen graduate students completed the questionnaire</w:t>
      </w:r>
      <w:r w:rsidR="00863E43">
        <w:rPr>
          <w:rFonts w:ascii="Times" w:hAnsi="Times" w:cs="Times"/>
        </w:rPr>
        <w:t xml:space="preserve"> (13 doctoral &amp; 2 master’s; 9 female &amp; 6 </w:t>
      </w:r>
      <w:r w:rsidR="00863E43">
        <w:rPr>
          <w:rFonts w:ascii="Times" w:hAnsi="Times" w:cs="Times"/>
        </w:rPr>
        <w:lastRenderedPageBreak/>
        <w:t>male)</w:t>
      </w:r>
      <w:r w:rsidR="00BC6279">
        <w:rPr>
          <w:rFonts w:ascii="Times" w:hAnsi="Times" w:cs="Times"/>
        </w:rPr>
        <w:t>.</w:t>
      </w:r>
      <w:r w:rsidR="00BC6279">
        <w:rPr>
          <w:rFonts w:cs="Times New Roman"/>
          <w:szCs w:val="24"/>
        </w:rPr>
        <w:t xml:space="preserve"> Means and </w:t>
      </w:r>
      <w:r w:rsidR="00BC6279">
        <w:rPr>
          <w:rFonts w:cs="Times New Roman"/>
          <w:szCs w:val="24"/>
        </w:rPr>
        <w:t>standard deviations</w:t>
      </w:r>
      <w:r w:rsidR="00BC6279">
        <w:rPr>
          <w:rFonts w:cs="Times New Roman"/>
          <w:szCs w:val="24"/>
        </w:rPr>
        <w:t xml:space="preserve"> </w:t>
      </w:r>
      <w:r w:rsidR="00BC6279">
        <w:rPr>
          <w:rFonts w:cs="Times New Roman"/>
          <w:szCs w:val="24"/>
        </w:rPr>
        <w:t>were calculated and reported</w:t>
      </w:r>
      <w:r w:rsidR="00BC6279">
        <w:rPr>
          <w:rFonts w:cs="Times New Roman"/>
          <w:szCs w:val="24"/>
        </w:rPr>
        <w:t xml:space="preserve">. Qualitatively, </w:t>
      </w:r>
      <w:r w:rsidR="004E30E9">
        <w:rPr>
          <w:rFonts w:cs="Times New Roman"/>
          <w:szCs w:val="24"/>
        </w:rPr>
        <w:t>d</w:t>
      </w:r>
      <w:r w:rsidR="00BC6279">
        <w:rPr>
          <w:rFonts w:cs="Times New Roman"/>
          <w:szCs w:val="24"/>
        </w:rPr>
        <w:t>escriptive coding</w:t>
      </w:r>
      <w:r w:rsidR="004E30E9">
        <w:rPr>
          <w:rFonts w:cs="Times New Roman"/>
          <w:szCs w:val="24"/>
        </w:rPr>
        <w:t>,</w:t>
      </w:r>
      <w:r w:rsidR="00BC6279">
        <w:rPr>
          <w:rFonts w:cs="Times New Roman"/>
          <w:szCs w:val="24"/>
        </w:rPr>
        <w:t xml:space="preserve"> </w:t>
      </w:r>
      <w:r w:rsidR="00BC6279">
        <w:rPr>
          <w:rFonts w:cs="Times New Roman"/>
          <w:i/>
          <w:iCs/>
          <w:szCs w:val="24"/>
        </w:rPr>
        <w:t xml:space="preserve">in vivo </w:t>
      </w:r>
      <w:r w:rsidR="00BC6279">
        <w:rPr>
          <w:rFonts w:cs="Times New Roman"/>
          <w:szCs w:val="24"/>
        </w:rPr>
        <w:t xml:space="preserve">coding, </w:t>
      </w:r>
      <w:r w:rsidR="004E30E9">
        <w:rPr>
          <w:rFonts w:cs="Times New Roman"/>
          <w:szCs w:val="24"/>
        </w:rPr>
        <w:t xml:space="preserve">and provisional coding strategies </w:t>
      </w:r>
      <w:r w:rsidR="00BC6279">
        <w:rPr>
          <w:rFonts w:cs="Times New Roman"/>
          <w:szCs w:val="24"/>
        </w:rPr>
        <w:t>were used to summarize content</w:t>
      </w:r>
      <w:r w:rsidR="00AA6E45">
        <w:rPr>
          <w:rFonts w:cs="Times New Roman"/>
          <w:szCs w:val="24"/>
        </w:rPr>
        <w:t xml:space="preserve"> of students’ reflections of their </w:t>
      </w:r>
      <w:proofErr w:type="spellStart"/>
      <w:r w:rsidR="00AA6E45">
        <w:rPr>
          <w:rFonts w:cs="Times New Roman"/>
          <w:szCs w:val="24"/>
        </w:rPr>
        <w:t>nonformal</w:t>
      </w:r>
      <w:proofErr w:type="spellEnd"/>
      <w:r w:rsidR="00AA6E45">
        <w:rPr>
          <w:rFonts w:cs="Times New Roman"/>
          <w:szCs w:val="24"/>
        </w:rPr>
        <w:t xml:space="preserve"> and formal education teaching experiences</w:t>
      </w:r>
      <w:r w:rsidR="004E30E9">
        <w:rPr>
          <w:rFonts w:cs="Times New Roman"/>
          <w:szCs w:val="24"/>
        </w:rPr>
        <w:t>. P</w:t>
      </w:r>
      <w:r w:rsidR="00BC6279">
        <w:rPr>
          <w:rFonts w:cs="Times New Roman"/>
          <w:szCs w:val="24"/>
        </w:rPr>
        <w:t>rovisional coding “corroborates or builds upon previous research or investigations”</w:t>
      </w:r>
      <w:r w:rsidR="004E30E9">
        <w:rPr>
          <w:rFonts w:cs="Times New Roman"/>
          <w:szCs w:val="24"/>
        </w:rPr>
        <w:t xml:space="preserve"> (</w:t>
      </w:r>
      <w:proofErr w:type="spellStart"/>
      <w:r w:rsidR="004E30E9">
        <w:rPr>
          <w:rFonts w:cs="Times New Roman"/>
          <w:szCs w:val="24"/>
        </w:rPr>
        <w:t>Saldaña</w:t>
      </w:r>
      <w:proofErr w:type="spellEnd"/>
      <w:r w:rsidR="004E30E9">
        <w:rPr>
          <w:rFonts w:cs="Times New Roman"/>
          <w:szCs w:val="24"/>
        </w:rPr>
        <w:t>, 2013, p. 144). Strategies for auditability, o</w:t>
      </w:r>
      <w:r w:rsidR="004E30E9">
        <w:rPr>
          <w:rFonts w:cs="Times New Roman"/>
          <w:szCs w:val="24"/>
        </w:rPr>
        <w:t xml:space="preserve">bjectivity </w:t>
      </w:r>
      <w:r w:rsidR="004E30E9">
        <w:rPr>
          <w:rFonts w:cs="Times New Roman"/>
          <w:szCs w:val="24"/>
        </w:rPr>
        <w:t>and authenticity were followed</w:t>
      </w:r>
      <w:r w:rsidR="004E30E9">
        <w:rPr>
          <w:rFonts w:cs="Times New Roman"/>
          <w:szCs w:val="24"/>
        </w:rPr>
        <w:t xml:space="preserve"> (Miles et al., 2014). </w:t>
      </w:r>
      <w:r w:rsidR="004E30E9">
        <w:rPr>
          <w:rFonts w:cs="Times New Roman"/>
          <w:szCs w:val="24"/>
        </w:rPr>
        <w:t>T</w:t>
      </w:r>
      <w:r w:rsidR="004E30E9">
        <w:rPr>
          <w:rFonts w:cs="Times New Roman"/>
          <w:szCs w:val="24"/>
        </w:rPr>
        <w:t>rustworthiness of</w:t>
      </w:r>
      <w:r w:rsidR="004E30E9">
        <w:rPr>
          <w:rFonts w:cs="Times New Roman"/>
          <w:szCs w:val="24"/>
        </w:rPr>
        <w:t xml:space="preserve"> </w:t>
      </w:r>
      <w:r w:rsidR="004E30E9">
        <w:rPr>
          <w:rFonts w:cs="Times New Roman"/>
          <w:szCs w:val="24"/>
        </w:rPr>
        <w:t>this study was guided by protocol in credibility, transferability, d</w:t>
      </w:r>
      <w:r w:rsidR="004E30E9">
        <w:rPr>
          <w:rFonts w:cs="Times New Roman"/>
          <w:szCs w:val="24"/>
        </w:rPr>
        <w:t xml:space="preserve">ependability, and </w:t>
      </w:r>
      <w:proofErr w:type="spellStart"/>
      <w:r w:rsidR="004E30E9">
        <w:rPr>
          <w:rFonts w:cs="Times New Roman"/>
          <w:szCs w:val="24"/>
        </w:rPr>
        <w:t>confirmability</w:t>
      </w:r>
      <w:proofErr w:type="spellEnd"/>
      <w:r w:rsidR="004E30E9">
        <w:rPr>
          <w:rFonts w:cs="Times New Roman"/>
          <w:szCs w:val="24"/>
        </w:rPr>
        <w:t xml:space="preserve"> (</w:t>
      </w:r>
      <w:proofErr w:type="spellStart"/>
      <w:r w:rsidR="004E30E9">
        <w:rPr>
          <w:rFonts w:cs="Times New Roman"/>
          <w:szCs w:val="24"/>
        </w:rPr>
        <w:t>Denzin</w:t>
      </w:r>
      <w:proofErr w:type="spellEnd"/>
      <w:r w:rsidR="004E30E9">
        <w:rPr>
          <w:rFonts w:cs="Times New Roman"/>
          <w:szCs w:val="24"/>
        </w:rPr>
        <w:t xml:space="preserve"> &amp; Lincoln, 2011). Tria</w:t>
      </w:r>
      <w:r w:rsidR="004E30E9">
        <w:rPr>
          <w:rFonts w:cs="Times New Roman"/>
          <w:szCs w:val="24"/>
        </w:rPr>
        <w:t xml:space="preserve">ngulation of data from multiple </w:t>
      </w:r>
      <w:r w:rsidR="004E30E9">
        <w:rPr>
          <w:rFonts w:cs="Times New Roman"/>
          <w:szCs w:val="24"/>
        </w:rPr>
        <w:t>sources was utilized to establish credibility (Patton, 2002).</w:t>
      </w:r>
    </w:p>
    <w:p w:rsidR="00863E43" w:rsidRDefault="00863E43" w:rsidP="00BC6279">
      <w:pPr>
        <w:autoSpaceDE w:val="0"/>
        <w:autoSpaceDN w:val="0"/>
        <w:adjustRightInd w:val="0"/>
        <w:rPr>
          <w:rFonts w:cs="Times New Roman"/>
          <w:szCs w:val="24"/>
        </w:rPr>
      </w:pPr>
    </w:p>
    <w:p w:rsidR="00481C34" w:rsidRPr="00EE49C6" w:rsidRDefault="00AB43F2" w:rsidP="00571A8B">
      <w:pPr>
        <w:pStyle w:val="nospacing1"/>
        <w:spacing w:before="0" w:beforeAutospacing="0" w:after="0" w:afterAutospacing="0"/>
        <w:jc w:val="center"/>
        <w:rPr>
          <w:rFonts w:ascii="Times" w:hAnsi="Times" w:cs="Times"/>
          <w:b/>
        </w:rPr>
      </w:pPr>
      <w:r w:rsidRPr="00EE49C6">
        <w:rPr>
          <w:rFonts w:ascii="Times" w:hAnsi="Times" w:cs="Times"/>
          <w:b/>
        </w:rPr>
        <w:t>Results/F</w:t>
      </w:r>
      <w:r w:rsidR="001F3FB9" w:rsidRPr="00EE49C6">
        <w:rPr>
          <w:rFonts w:ascii="Times" w:hAnsi="Times" w:cs="Times"/>
          <w:b/>
        </w:rPr>
        <w:t>indings</w:t>
      </w:r>
    </w:p>
    <w:p w:rsidR="00AC6C20" w:rsidRPr="00AA6E45" w:rsidRDefault="00833C86" w:rsidP="00AA6E45">
      <w:pPr>
        <w:autoSpaceDE w:val="0"/>
        <w:autoSpaceDN w:val="0"/>
        <w:adjustRightInd w:val="0"/>
        <w:rPr>
          <w:rFonts w:cs="Times New Roman"/>
          <w:szCs w:val="24"/>
        </w:rPr>
      </w:pPr>
      <w:r w:rsidRPr="00EE49C6">
        <w:rPr>
          <w:rFonts w:ascii="Times" w:hAnsi="Times" w:cs="Times"/>
        </w:rPr>
        <w:tab/>
      </w:r>
      <w:r w:rsidR="00AC6C20">
        <w:rPr>
          <w:rFonts w:cs="Times New Roman"/>
          <w:szCs w:val="24"/>
        </w:rPr>
        <w:t>Teaching self-efficacy scores at the beginning of t</w:t>
      </w:r>
      <w:r w:rsidR="004E30E9">
        <w:rPr>
          <w:rFonts w:cs="Times New Roman"/>
          <w:szCs w:val="24"/>
        </w:rPr>
        <w:t xml:space="preserve">he experience depicted graduate </w:t>
      </w:r>
      <w:r w:rsidR="00AC6C20">
        <w:rPr>
          <w:rFonts w:cs="Times New Roman"/>
          <w:szCs w:val="24"/>
        </w:rPr>
        <w:t xml:space="preserve">students as overall feeling “somewhat” self-efficacious with teaching </w:t>
      </w:r>
      <w:r w:rsidR="004E30E9">
        <w:rPr>
          <w:rFonts w:cs="Times New Roman"/>
          <w:szCs w:val="24"/>
        </w:rPr>
        <w:t xml:space="preserve">with an </w:t>
      </w:r>
      <w:r w:rsidR="00AC6C20">
        <w:rPr>
          <w:rFonts w:cs="Times New Roman"/>
          <w:szCs w:val="24"/>
        </w:rPr>
        <w:t>overall mean of 3.58 (</w:t>
      </w:r>
      <w:r w:rsidR="00AC6C20">
        <w:rPr>
          <w:rFonts w:cs="Times New Roman"/>
          <w:i/>
          <w:iCs/>
          <w:szCs w:val="24"/>
        </w:rPr>
        <w:t xml:space="preserve">SD </w:t>
      </w:r>
      <w:r w:rsidR="00AC6C20">
        <w:rPr>
          <w:rFonts w:cs="Times New Roman"/>
          <w:szCs w:val="24"/>
        </w:rPr>
        <w:t>= .38). Graduate students rated themselves as “quite a bit”</w:t>
      </w:r>
      <w:r w:rsidR="004E30E9">
        <w:rPr>
          <w:rFonts w:cs="Times New Roman"/>
          <w:szCs w:val="24"/>
        </w:rPr>
        <w:t xml:space="preserve"> </w:t>
      </w:r>
      <w:r w:rsidR="00AC6C20">
        <w:rPr>
          <w:rFonts w:cs="Times New Roman"/>
          <w:szCs w:val="24"/>
        </w:rPr>
        <w:t xml:space="preserve">teaching self-efficacious on </w:t>
      </w:r>
      <w:r w:rsidR="00AA6E45">
        <w:rPr>
          <w:rFonts w:cs="Times New Roman"/>
          <w:szCs w:val="24"/>
        </w:rPr>
        <w:t>50% of the items</w:t>
      </w:r>
      <w:r w:rsidR="00AC6C20">
        <w:rPr>
          <w:rFonts w:cs="Times New Roman"/>
          <w:szCs w:val="24"/>
        </w:rPr>
        <w:t>. Teaching self-efficacy scores of graduate students f</w:t>
      </w:r>
      <w:r w:rsidR="004E30E9">
        <w:rPr>
          <w:rFonts w:cs="Times New Roman"/>
          <w:szCs w:val="24"/>
        </w:rPr>
        <w:t xml:space="preserve">rom the follow-up questionnaire </w:t>
      </w:r>
      <w:r w:rsidR="00AC6C20">
        <w:rPr>
          <w:rFonts w:cs="Times New Roman"/>
          <w:szCs w:val="24"/>
        </w:rPr>
        <w:t>depicted graduate students felt “Quite a Bit” self-effica</w:t>
      </w:r>
      <w:r w:rsidR="004E30E9">
        <w:rPr>
          <w:rFonts w:cs="Times New Roman"/>
          <w:szCs w:val="24"/>
        </w:rPr>
        <w:t xml:space="preserve">cious with teaching </w:t>
      </w:r>
      <w:r w:rsidR="00AC6C20">
        <w:rPr>
          <w:rFonts w:cs="Times New Roman"/>
          <w:szCs w:val="24"/>
        </w:rPr>
        <w:t>with an overall mean of 3.98 (</w:t>
      </w:r>
      <w:r w:rsidR="00AC6C20">
        <w:rPr>
          <w:rFonts w:cs="Times New Roman"/>
          <w:i/>
          <w:iCs/>
          <w:szCs w:val="24"/>
        </w:rPr>
        <w:t>SD = .28</w:t>
      </w:r>
      <w:r w:rsidR="00AC6C20">
        <w:rPr>
          <w:rFonts w:cs="Times New Roman"/>
          <w:szCs w:val="24"/>
        </w:rPr>
        <w:t>). The follow-up te</w:t>
      </w:r>
      <w:r w:rsidR="004E30E9">
        <w:rPr>
          <w:rFonts w:cs="Times New Roman"/>
          <w:szCs w:val="24"/>
        </w:rPr>
        <w:t xml:space="preserve">aching self-efficacy scores had </w:t>
      </w:r>
      <w:r w:rsidR="00AC6C20">
        <w:rPr>
          <w:rFonts w:cs="Times New Roman"/>
          <w:szCs w:val="24"/>
        </w:rPr>
        <w:t>a large effect size (</w:t>
      </w:r>
      <w:r w:rsidR="00AC6C20">
        <w:rPr>
          <w:rFonts w:cs="Times New Roman"/>
          <w:i/>
          <w:iCs/>
          <w:szCs w:val="24"/>
        </w:rPr>
        <w:t xml:space="preserve">d </w:t>
      </w:r>
      <w:r w:rsidR="00AC6C20">
        <w:rPr>
          <w:rFonts w:cs="Times New Roman"/>
          <w:szCs w:val="24"/>
        </w:rPr>
        <w:t>= 1.19) from the initial graduate students’ teaching self</w:t>
      </w:r>
      <w:r w:rsidR="00AC6C20">
        <w:rPr>
          <w:rFonts w:cs="Times New Roman"/>
          <w:szCs w:val="24"/>
        </w:rPr>
        <w:t>-</w:t>
      </w:r>
      <w:r w:rsidR="00AC6C20">
        <w:rPr>
          <w:rFonts w:cs="Times New Roman"/>
          <w:szCs w:val="24"/>
        </w:rPr>
        <w:t>eff</w:t>
      </w:r>
      <w:r w:rsidR="004E30E9">
        <w:rPr>
          <w:rFonts w:cs="Times New Roman"/>
          <w:szCs w:val="24"/>
        </w:rPr>
        <w:t xml:space="preserve">icacy </w:t>
      </w:r>
      <w:r w:rsidR="00AC6C20">
        <w:rPr>
          <w:rFonts w:cs="Times New Roman"/>
          <w:szCs w:val="24"/>
        </w:rPr>
        <w:t>scores. This differen</w:t>
      </w:r>
      <w:r w:rsidR="004E30E9">
        <w:rPr>
          <w:rFonts w:cs="Times New Roman"/>
          <w:szCs w:val="24"/>
        </w:rPr>
        <w:t xml:space="preserve">ce is descriptive and cannot be </w:t>
      </w:r>
      <w:r w:rsidR="00AC6C20">
        <w:rPr>
          <w:rFonts w:cs="Times New Roman"/>
          <w:szCs w:val="24"/>
        </w:rPr>
        <w:t>interpreted as a cause-effect relationship. Graduate</w:t>
      </w:r>
      <w:r w:rsidR="004E30E9">
        <w:rPr>
          <w:rFonts w:cs="Times New Roman"/>
          <w:szCs w:val="24"/>
        </w:rPr>
        <w:t xml:space="preserve"> students rated themselves with </w:t>
      </w:r>
      <w:r w:rsidR="00AC6C20">
        <w:rPr>
          <w:rFonts w:cs="Times New Roman"/>
          <w:szCs w:val="24"/>
        </w:rPr>
        <w:t>predominately “quite a bit” of teaching self-efficacy on</w:t>
      </w:r>
      <w:r w:rsidR="004E30E9">
        <w:rPr>
          <w:rFonts w:cs="Times New Roman"/>
          <w:szCs w:val="24"/>
        </w:rPr>
        <w:t xml:space="preserve"> 80% of the</w:t>
      </w:r>
      <w:r w:rsidR="00AA6E45">
        <w:rPr>
          <w:rFonts w:cs="Times New Roman"/>
          <w:szCs w:val="24"/>
        </w:rPr>
        <w:t xml:space="preserve"> items. Qualitatively, a</w:t>
      </w:r>
      <w:r w:rsidR="00AC6C20">
        <w:rPr>
          <w:rFonts w:cs="Times New Roman"/>
          <w:szCs w:val="24"/>
        </w:rPr>
        <w:t xml:space="preserve"> </w:t>
      </w:r>
      <w:r w:rsidR="00AA6E45">
        <w:rPr>
          <w:rFonts w:cs="Times New Roman"/>
          <w:szCs w:val="24"/>
        </w:rPr>
        <w:t xml:space="preserve">total of nine of the 15 graduate students </w:t>
      </w:r>
      <w:r w:rsidR="00AC6C20">
        <w:rPr>
          <w:rFonts w:cs="Times New Roman"/>
          <w:szCs w:val="24"/>
        </w:rPr>
        <w:t xml:space="preserve">expressed </w:t>
      </w:r>
      <w:r w:rsidR="00AA6E45">
        <w:rPr>
          <w:rFonts w:cs="Times New Roman"/>
          <w:szCs w:val="24"/>
        </w:rPr>
        <w:t xml:space="preserve">teaching self-efficacy related </w:t>
      </w:r>
      <w:r w:rsidR="00AC6C20">
        <w:rPr>
          <w:rFonts w:cs="Times New Roman"/>
          <w:szCs w:val="24"/>
        </w:rPr>
        <w:t xml:space="preserve">comments </w:t>
      </w:r>
      <w:r w:rsidR="00AA6E45">
        <w:rPr>
          <w:rFonts w:cs="Times New Roman"/>
          <w:szCs w:val="24"/>
        </w:rPr>
        <w:t xml:space="preserve">after teaching in the </w:t>
      </w:r>
      <w:proofErr w:type="spellStart"/>
      <w:r w:rsidR="00AA6E45">
        <w:rPr>
          <w:rFonts w:cs="Times New Roman"/>
          <w:szCs w:val="24"/>
        </w:rPr>
        <w:t>nonformal</w:t>
      </w:r>
      <w:proofErr w:type="spellEnd"/>
      <w:r w:rsidR="00AA6E45">
        <w:rPr>
          <w:rFonts w:cs="Times New Roman"/>
          <w:szCs w:val="24"/>
        </w:rPr>
        <w:t xml:space="preserve"> educational settings. Overall, </w:t>
      </w:r>
      <w:r w:rsidR="00AC6C20">
        <w:rPr>
          <w:rFonts w:cs="Times New Roman"/>
          <w:szCs w:val="24"/>
        </w:rPr>
        <w:t>graduate students generally described their perceptions of their abilities to assist s</w:t>
      </w:r>
      <w:r w:rsidR="00AA6E45">
        <w:rPr>
          <w:rFonts w:cs="Times New Roman"/>
          <w:szCs w:val="24"/>
        </w:rPr>
        <w:t xml:space="preserve">tudent </w:t>
      </w:r>
      <w:r w:rsidR="00AC6C20">
        <w:rPr>
          <w:rFonts w:cs="Times New Roman"/>
          <w:szCs w:val="24"/>
        </w:rPr>
        <w:t>learning with K-12 audiences through reflective com</w:t>
      </w:r>
      <w:r w:rsidR="00AA6E45">
        <w:rPr>
          <w:rFonts w:cs="Times New Roman"/>
          <w:szCs w:val="24"/>
        </w:rPr>
        <w:t xml:space="preserve">ments relating to communication </w:t>
      </w:r>
      <w:r w:rsidR="00AC6C20">
        <w:rPr>
          <w:rFonts w:cs="Times New Roman"/>
          <w:szCs w:val="24"/>
        </w:rPr>
        <w:t>skills and techniques</w:t>
      </w:r>
      <w:r w:rsidR="00932FA2">
        <w:rPr>
          <w:rFonts w:cs="Times New Roman"/>
          <w:szCs w:val="24"/>
        </w:rPr>
        <w:t>, and they described</w:t>
      </w:r>
      <w:r w:rsidR="00AC6C20">
        <w:rPr>
          <w:rFonts w:cs="Times New Roman"/>
          <w:szCs w:val="24"/>
        </w:rPr>
        <w:t xml:space="preserve"> two self-perceived teaching</w:t>
      </w:r>
      <w:r w:rsidR="00AA6E45">
        <w:rPr>
          <w:rFonts w:cs="Times New Roman"/>
          <w:szCs w:val="24"/>
        </w:rPr>
        <w:t xml:space="preserve"> </w:t>
      </w:r>
      <w:r w:rsidR="00AC6C20">
        <w:rPr>
          <w:rFonts w:cs="Times New Roman"/>
          <w:szCs w:val="24"/>
        </w:rPr>
        <w:t xml:space="preserve">environmental challenges. </w:t>
      </w:r>
      <w:r w:rsidR="00932FA2">
        <w:rPr>
          <w:rFonts w:cs="Times New Roman"/>
          <w:szCs w:val="24"/>
        </w:rPr>
        <w:t>First, i</w:t>
      </w:r>
      <w:r w:rsidR="00AC6C20">
        <w:rPr>
          <w:rFonts w:cs="Times New Roman"/>
          <w:szCs w:val="24"/>
        </w:rPr>
        <w:t xml:space="preserve">t was challenging for graduate </w:t>
      </w:r>
      <w:r w:rsidR="00AA6E45">
        <w:rPr>
          <w:rFonts w:cs="Times New Roman"/>
          <w:szCs w:val="24"/>
        </w:rPr>
        <w:t xml:space="preserve">students to adjust their novice </w:t>
      </w:r>
      <w:r w:rsidR="00AC6C20">
        <w:rPr>
          <w:rFonts w:cs="Times New Roman"/>
          <w:szCs w:val="24"/>
        </w:rPr>
        <w:t>teaching behaviors according to the quick pace for non-f</w:t>
      </w:r>
      <w:r w:rsidR="00932FA2">
        <w:rPr>
          <w:rFonts w:cs="Times New Roman"/>
          <w:szCs w:val="24"/>
        </w:rPr>
        <w:t>ormal instruction. Second</w:t>
      </w:r>
      <w:r w:rsidR="00AA6E45">
        <w:rPr>
          <w:rFonts w:cs="Times New Roman"/>
          <w:szCs w:val="24"/>
        </w:rPr>
        <w:t xml:space="preserve">, it </w:t>
      </w:r>
      <w:r w:rsidR="00AC6C20">
        <w:rPr>
          <w:rFonts w:cs="Times New Roman"/>
          <w:szCs w:val="24"/>
        </w:rPr>
        <w:t>was challenging to link research concepts to a quick presumption of the audience’</w:t>
      </w:r>
      <w:r w:rsidR="00AA6E45">
        <w:rPr>
          <w:rFonts w:cs="Times New Roman"/>
          <w:szCs w:val="24"/>
        </w:rPr>
        <w:t xml:space="preserve">s </w:t>
      </w:r>
      <w:r w:rsidR="00932FA2">
        <w:rPr>
          <w:rFonts w:cs="Times New Roman"/>
          <w:szCs w:val="24"/>
        </w:rPr>
        <w:t>science knowledge. Regarding the formal K-12 teaching experiences, 15 g</w:t>
      </w:r>
      <w:r w:rsidR="00AC6C20">
        <w:rPr>
          <w:rFonts w:cs="Times New Roman"/>
          <w:szCs w:val="24"/>
        </w:rPr>
        <w:t>raduate students expressed comments related to concepts within the t</w:t>
      </w:r>
      <w:r w:rsidR="00AA6E45">
        <w:rPr>
          <w:rFonts w:cs="Times New Roman"/>
          <w:szCs w:val="24"/>
        </w:rPr>
        <w:t xml:space="preserve">eaching self-efficacy criteria. </w:t>
      </w:r>
      <w:r w:rsidR="00932FA2">
        <w:rPr>
          <w:rFonts w:cs="Times New Roman"/>
          <w:szCs w:val="24"/>
        </w:rPr>
        <w:t>G</w:t>
      </w:r>
      <w:r w:rsidR="00AC6C20">
        <w:rPr>
          <w:rFonts w:cs="Times New Roman"/>
          <w:szCs w:val="24"/>
        </w:rPr>
        <w:t>raduate students described their development</w:t>
      </w:r>
      <w:r w:rsidR="00AA6E45">
        <w:rPr>
          <w:rFonts w:cs="Times New Roman"/>
          <w:szCs w:val="24"/>
        </w:rPr>
        <w:t xml:space="preserve"> of teaching self-efficacy with </w:t>
      </w:r>
      <w:r w:rsidR="00AC6C20">
        <w:rPr>
          <w:rFonts w:cs="Times New Roman"/>
          <w:szCs w:val="24"/>
        </w:rPr>
        <w:t>a perceived ability to engage the K-12 students throu</w:t>
      </w:r>
      <w:r w:rsidR="00AA6E45">
        <w:rPr>
          <w:rFonts w:cs="Times New Roman"/>
          <w:szCs w:val="24"/>
        </w:rPr>
        <w:t xml:space="preserve">gh their plant science lessons. </w:t>
      </w:r>
      <w:r w:rsidR="00AC6C20">
        <w:rPr>
          <w:rFonts w:cs="Times New Roman"/>
          <w:szCs w:val="24"/>
        </w:rPr>
        <w:t>Graduate students shared they felt self-efficacious based on their observations th</w:t>
      </w:r>
      <w:r w:rsidR="00AA6E45">
        <w:rPr>
          <w:rFonts w:cs="Times New Roman"/>
          <w:szCs w:val="24"/>
        </w:rPr>
        <w:t xml:space="preserve">at K-12 </w:t>
      </w:r>
      <w:r w:rsidR="00AC6C20">
        <w:rPr>
          <w:rFonts w:cs="Times New Roman"/>
          <w:szCs w:val="24"/>
        </w:rPr>
        <w:t>students could readily understand and apply plant science knowledge during their lessons.</w:t>
      </w:r>
    </w:p>
    <w:p w:rsidR="00AC6C20" w:rsidRPr="00EE49C6" w:rsidRDefault="00AC6C20" w:rsidP="00AC6C20">
      <w:pPr>
        <w:pStyle w:val="nospacing1"/>
        <w:spacing w:before="0" w:beforeAutospacing="0" w:after="0" w:afterAutospacing="0"/>
        <w:rPr>
          <w:rFonts w:ascii="Times" w:hAnsi="Times" w:cs="Times"/>
        </w:rPr>
      </w:pPr>
    </w:p>
    <w:p w:rsidR="001F3FB9" w:rsidRPr="00EE49C6" w:rsidRDefault="001F3FB9" w:rsidP="00185938">
      <w:pPr>
        <w:pStyle w:val="nospacing1"/>
        <w:spacing w:before="0" w:beforeAutospacing="0" w:after="0" w:afterAutospacing="0"/>
        <w:jc w:val="center"/>
        <w:rPr>
          <w:rFonts w:ascii="Times" w:hAnsi="Times" w:cs="Times"/>
          <w:b/>
        </w:rPr>
      </w:pPr>
      <w:r w:rsidRPr="00EE49C6">
        <w:rPr>
          <w:rFonts w:ascii="Times" w:hAnsi="Times" w:cs="Times"/>
          <w:b/>
        </w:rPr>
        <w:t>Conclusions</w:t>
      </w:r>
      <w:r w:rsidR="00185938">
        <w:rPr>
          <w:rFonts w:ascii="Times" w:hAnsi="Times" w:cs="Times"/>
          <w:b/>
        </w:rPr>
        <w:t xml:space="preserve">, </w:t>
      </w:r>
      <w:r w:rsidR="00185938" w:rsidRPr="00EE49C6">
        <w:rPr>
          <w:rFonts w:ascii="Times" w:hAnsi="Times" w:cs="Times"/>
          <w:b/>
        </w:rPr>
        <w:t>Implications and Recommendations</w:t>
      </w:r>
    </w:p>
    <w:p w:rsidR="00DD0309" w:rsidRDefault="00322383" w:rsidP="00185938">
      <w:pPr>
        <w:autoSpaceDE w:val="0"/>
        <w:autoSpaceDN w:val="0"/>
        <w:adjustRightInd w:val="0"/>
        <w:rPr>
          <w:rFonts w:cs="Times New Roman"/>
          <w:szCs w:val="24"/>
        </w:rPr>
      </w:pPr>
      <w:r w:rsidRPr="00EE49C6">
        <w:rPr>
          <w:rFonts w:ascii="Times" w:hAnsi="Times" w:cs="Times"/>
        </w:rPr>
        <w:tab/>
      </w:r>
      <w:r w:rsidR="00932FA2">
        <w:rPr>
          <w:rFonts w:cs="Times New Roman"/>
          <w:szCs w:val="24"/>
        </w:rPr>
        <w:t>G</w:t>
      </w:r>
      <w:r w:rsidR="00A60947">
        <w:rPr>
          <w:rFonts w:cs="Times New Roman"/>
          <w:szCs w:val="24"/>
        </w:rPr>
        <w:t xml:space="preserve">raduate students </w:t>
      </w:r>
      <w:r w:rsidR="00A60947">
        <w:rPr>
          <w:rFonts w:cs="Times New Roman"/>
          <w:szCs w:val="24"/>
        </w:rPr>
        <w:t>described field-based teaching experiences within fo</w:t>
      </w:r>
      <w:r w:rsidR="00A60947">
        <w:rPr>
          <w:rFonts w:cs="Times New Roman"/>
          <w:szCs w:val="24"/>
        </w:rPr>
        <w:t xml:space="preserve">rmal and non-formal educational </w:t>
      </w:r>
      <w:r w:rsidR="00A60947">
        <w:rPr>
          <w:rFonts w:cs="Times New Roman"/>
          <w:szCs w:val="24"/>
        </w:rPr>
        <w:t>settings that helped them practice communication skills and develop their teaching self</w:t>
      </w:r>
      <w:r w:rsidR="00A60947">
        <w:rPr>
          <w:rFonts w:cs="Times New Roman"/>
          <w:szCs w:val="24"/>
        </w:rPr>
        <w:t>-</w:t>
      </w:r>
      <w:r w:rsidR="00A60947">
        <w:rPr>
          <w:rFonts w:cs="Times New Roman"/>
          <w:szCs w:val="24"/>
        </w:rPr>
        <w:t>efficacy.</w:t>
      </w:r>
      <w:r w:rsidR="00932FA2">
        <w:rPr>
          <w:rFonts w:cs="Times New Roman"/>
          <w:szCs w:val="24"/>
        </w:rPr>
        <w:t xml:space="preserve"> This conclusion supports the assumption that mastery experiences are valuable to build teaching self-efficacy (</w:t>
      </w:r>
      <w:proofErr w:type="spellStart"/>
      <w:r w:rsidR="00932FA2">
        <w:rPr>
          <w:rFonts w:cs="Times New Roman"/>
          <w:szCs w:val="24"/>
        </w:rPr>
        <w:t>Shunk</w:t>
      </w:r>
      <w:proofErr w:type="spellEnd"/>
      <w:r w:rsidR="00932FA2">
        <w:rPr>
          <w:rFonts w:cs="Times New Roman"/>
          <w:szCs w:val="24"/>
        </w:rPr>
        <w:t xml:space="preserve">, 2008; </w:t>
      </w:r>
      <w:proofErr w:type="spellStart"/>
      <w:r w:rsidR="00932FA2">
        <w:rPr>
          <w:rFonts w:cs="Times New Roman"/>
          <w:szCs w:val="24"/>
        </w:rPr>
        <w:t>Tschannen</w:t>
      </w:r>
      <w:proofErr w:type="spellEnd"/>
      <w:r w:rsidR="00932FA2">
        <w:rPr>
          <w:rFonts w:cs="Times New Roman"/>
          <w:szCs w:val="24"/>
        </w:rPr>
        <w:t>- Moran &amp; Hoy, 2007</w:t>
      </w:r>
      <w:r w:rsidR="00932FA2">
        <w:rPr>
          <w:rFonts w:cs="Times New Roman"/>
          <w:szCs w:val="24"/>
        </w:rPr>
        <w:t>)</w:t>
      </w:r>
      <w:r w:rsidR="00185938">
        <w:rPr>
          <w:rFonts w:cs="Times New Roman"/>
          <w:szCs w:val="24"/>
        </w:rPr>
        <w:t xml:space="preserve">. </w:t>
      </w:r>
      <w:r w:rsidR="00A60947">
        <w:rPr>
          <w:rFonts w:cs="Times New Roman"/>
          <w:szCs w:val="24"/>
        </w:rPr>
        <w:t>As graduate-level academic programs continue to adjust and adapt to prepare plant science graduate studen</w:t>
      </w:r>
      <w:r w:rsidR="00185938">
        <w:rPr>
          <w:rFonts w:cs="Times New Roman"/>
          <w:szCs w:val="24"/>
        </w:rPr>
        <w:t>ts to effectively communicate to society</w:t>
      </w:r>
      <w:r w:rsidR="00A60947">
        <w:rPr>
          <w:rFonts w:cs="Times New Roman"/>
          <w:szCs w:val="24"/>
        </w:rPr>
        <w:t>, the</w:t>
      </w:r>
      <w:r w:rsidR="00185938">
        <w:rPr>
          <w:rFonts w:cs="Times New Roman"/>
          <w:szCs w:val="24"/>
        </w:rPr>
        <w:t xml:space="preserve"> following implications are imperative</w:t>
      </w:r>
      <w:r w:rsidR="00A60947">
        <w:rPr>
          <w:rFonts w:cs="Times New Roman"/>
          <w:szCs w:val="24"/>
        </w:rPr>
        <w:t>: acquiring (LCT) teaching skills to communicate science literacy</w:t>
      </w:r>
      <w:r w:rsidR="00185938">
        <w:rPr>
          <w:rFonts w:cs="Times New Roman"/>
          <w:szCs w:val="24"/>
        </w:rPr>
        <w:t xml:space="preserve"> (</w:t>
      </w:r>
      <w:proofErr w:type="spellStart"/>
      <w:r w:rsidR="00185938">
        <w:rPr>
          <w:rFonts w:cs="Times New Roman"/>
          <w:szCs w:val="24"/>
        </w:rPr>
        <w:t>Feldon</w:t>
      </w:r>
      <w:proofErr w:type="spellEnd"/>
      <w:r w:rsidR="00185938">
        <w:rPr>
          <w:rFonts w:cs="Times New Roman"/>
          <w:szCs w:val="24"/>
        </w:rPr>
        <w:t xml:space="preserve"> et al., 2011</w:t>
      </w:r>
      <w:r w:rsidR="00185938">
        <w:rPr>
          <w:rFonts w:cs="Times New Roman"/>
          <w:szCs w:val="24"/>
        </w:rPr>
        <w:t>)</w:t>
      </w:r>
      <w:r w:rsidR="00A60947">
        <w:rPr>
          <w:rFonts w:cs="Times New Roman"/>
          <w:szCs w:val="24"/>
        </w:rPr>
        <w:t>, benefits of K-12 audience field-based experiences</w:t>
      </w:r>
      <w:r w:rsidR="00185938">
        <w:rPr>
          <w:rFonts w:cs="Times New Roman"/>
          <w:szCs w:val="24"/>
        </w:rPr>
        <w:t xml:space="preserve"> (</w:t>
      </w:r>
      <w:proofErr w:type="spellStart"/>
      <w:r w:rsidR="00185938">
        <w:rPr>
          <w:rFonts w:cs="Times New Roman"/>
          <w:szCs w:val="24"/>
        </w:rPr>
        <w:t>Laursen</w:t>
      </w:r>
      <w:proofErr w:type="spellEnd"/>
      <w:r w:rsidR="00185938">
        <w:rPr>
          <w:rFonts w:cs="Times New Roman"/>
          <w:szCs w:val="24"/>
        </w:rPr>
        <w:t xml:space="preserve"> et al., 2012)</w:t>
      </w:r>
      <w:r w:rsidR="00A60947">
        <w:rPr>
          <w:rFonts w:cs="Times New Roman"/>
          <w:szCs w:val="24"/>
        </w:rPr>
        <w:t>, the opportunity to use a constructivist approach to assist learners in facilitating science outreach and implications for policy</w:t>
      </w:r>
      <w:r w:rsidR="00185938">
        <w:rPr>
          <w:rFonts w:cs="Times New Roman"/>
          <w:szCs w:val="24"/>
        </w:rPr>
        <w:t xml:space="preserve"> </w:t>
      </w:r>
      <w:r w:rsidR="00185938">
        <w:rPr>
          <w:rFonts w:cs="Times New Roman"/>
          <w:szCs w:val="24"/>
        </w:rPr>
        <w:t>(Smith et al., 2013</w:t>
      </w:r>
      <w:r w:rsidR="00185938">
        <w:rPr>
          <w:rFonts w:cs="Times New Roman"/>
          <w:szCs w:val="24"/>
        </w:rPr>
        <w:t>)</w:t>
      </w:r>
      <w:r w:rsidR="00A60947">
        <w:rPr>
          <w:rFonts w:cs="Times New Roman"/>
          <w:szCs w:val="24"/>
        </w:rPr>
        <w:t>.</w:t>
      </w:r>
      <w:r w:rsidR="00185938">
        <w:rPr>
          <w:rFonts w:cs="Times New Roman"/>
          <w:szCs w:val="24"/>
        </w:rPr>
        <w:t xml:space="preserve"> Future studies should expand to other disciplines and more students to increase generalizability.</w:t>
      </w:r>
      <w:r w:rsidR="008A40AF">
        <w:rPr>
          <w:rFonts w:cs="Times New Roman"/>
          <w:szCs w:val="24"/>
        </w:rPr>
        <w:t xml:space="preserve"> Further studies should focus on key elements of a limited formal teaching experiences regarding a graduate students’ development.</w:t>
      </w:r>
    </w:p>
    <w:p w:rsidR="00185938" w:rsidRPr="00185938" w:rsidRDefault="00185938" w:rsidP="00185938">
      <w:pPr>
        <w:autoSpaceDE w:val="0"/>
        <w:autoSpaceDN w:val="0"/>
        <w:adjustRightInd w:val="0"/>
        <w:jc w:val="center"/>
        <w:rPr>
          <w:rFonts w:cs="Times New Roman"/>
          <w:b/>
          <w:szCs w:val="24"/>
        </w:rPr>
      </w:pPr>
      <w:r w:rsidRPr="00185938">
        <w:rPr>
          <w:rFonts w:cs="Times New Roman"/>
          <w:b/>
          <w:szCs w:val="24"/>
        </w:rPr>
        <w:lastRenderedPageBreak/>
        <w:t>Refere</w:t>
      </w:r>
      <w:bookmarkStart w:id="0" w:name="_GoBack"/>
      <w:bookmarkEnd w:id="0"/>
      <w:r w:rsidRPr="00185938">
        <w:rPr>
          <w:rFonts w:cs="Times New Roman"/>
          <w:b/>
          <w:szCs w:val="24"/>
        </w:rPr>
        <w:t>nces</w:t>
      </w:r>
    </w:p>
    <w:p w:rsidR="00185938" w:rsidRDefault="00185938" w:rsidP="00185938">
      <w:pPr>
        <w:autoSpaceDE w:val="0"/>
        <w:autoSpaceDN w:val="0"/>
        <w:adjustRightInd w:val="0"/>
        <w:rPr>
          <w:rFonts w:cs="Times New Roman"/>
          <w:szCs w:val="24"/>
        </w:rPr>
      </w:pPr>
    </w:p>
    <w:p w:rsidR="00185938" w:rsidRDefault="00420C0E" w:rsidP="008A40AF">
      <w:pPr>
        <w:autoSpaceDE w:val="0"/>
        <w:autoSpaceDN w:val="0"/>
        <w:adjustRightInd w:val="0"/>
        <w:ind w:left="720" w:hanging="720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Bleicher</w:t>
      </w:r>
      <w:proofErr w:type="spellEnd"/>
      <w:r>
        <w:rPr>
          <w:rFonts w:cs="Times New Roman"/>
          <w:szCs w:val="24"/>
        </w:rPr>
        <w:t xml:space="preserve">, R. E. (2004). Revisiting the STEBI-B: Measuring self-efficacy in </w:t>
      </w:r>
      <w:proofErr w:type="spellStart"/>
      <w:r>
        <w:rPr>
          <w:rFonts w:cs="Times New Roman"/>
          <w:szCs w:val="24"/>
        </w:rPr>
        <w:t>preservice</w:t>
      </w:r>
      <w:proofErr w:type="spellEnd"/>
      <w:r>
        <w:rPr>
          <w:rFonts w:cs="Times New Roman"/>
          <w:szCs w:val="24"/>
        </w:rPr>
        <w:t xml:space="preserve"> elementary teachers. </w:t>
      </w:r>
      <w:r>
        <w:rPr>
          <w:rFonts w:cs="Times New Roman"/>
          <w:i/>
          <w:iCs/>
          <w:szCs w:val="24"/>
        </w:rPr>
        <w:t>School Science and Mathematics, 104</w:t>
      </w:r>
      <w:r>
        <w:rPr>
          <w:rFonts w:cs="Times New Roman"/>
          <w:szCs w:val="24"/>
        </w:rPr>
        <w:t>(8), 383.</w:t>
      </w:r>
    </w:p>
    <w:p w:rsidR="00420C0E" w:rsidRDefault="00420C0E" w:rsidP="008A40AF">
      <w:pPr>
        <w:autoSpaceDE w:val="0"/>
        <w:autoSpaceDN w:val="0"/>
        <w:adjustRightInd w:val="0"/>
        <w:ind w:left="720" w:hanging="720"/>
        <w:rPr>
          <w:rFonts w:cs="Times New Roman"/>
          <w:szCs w:val="24"/>
        </w:rPr>
      </w:pPr>
      <w:r>
        <w:rPr>
          <w:rFonts w:cs="Times New Roman"/>
          <w:szCs w:val="24"/>
        </w:rPr>
        <w:t>Calder, B., Brawley, S. H., &amp; Bagley, M. (2003). Natio</w:t>
      </w:r>
      <w:r>
        <w:rPr>
          <w:rFonts w:cs="Times New Roman"/>
          <w:szCs w:val="24"/>
        </w:rPr>
        <w:t>nal Science Foundation Graduate T</w:t>
      </w:r>
      <w:r>
        <w:rPr>
          <w:rFonts w:cs="Times New Roman"/>
          <w:szCs w:val="24"/>
        </w:rPr>
        <w:t xml:space="preserve">eaching </w:t>
      </w:r>
      <w:r>
        <w:rPr>
          <w:rFonts w:cs="Times New Roman"/>
          <w:szCs w:val="24"/>
        </w:rPr>
        <w:t>F</w:t>
      </w:r>
      <w:r>
        <w:rPr>
          <w:rFonts w:cs="Times New Roman"/>
          <w:szCs w:val="24"/>
        </w:rPr>
        <w:t xml:space="preserve">ellows promote food science education in K-12 schools in </w:t>
      </w:r>
      <w:r>
        <w:rPr>
          <w:rFonts w:cs="Times New Roman"/>
          <w:szCs w:val="24"/>
        </w:rPr>
        <w:t xml:space="preserve">Maine. </w:t>
      </w:r>
      <w:r>
        <w:rPr>
          <w:rFonts w:cs="Times New Roman"/>
          <w:i/>
          <w:iCs/>
          <w:szCs w:val="24"/>
        </w:rPr>
        <w:t>Journal of Food Science Education, 2</w:t>
      </w:r>
      <w:r>
        <w:rPr>
          <w:rFonts w:cs="Times New Roman"/>
          <w:szCs w:val="24"/>
        </w:rPr>
        <w:t>(4)</w:t>
      </w:r>
      <w:r>
        <w:rPr>
          <w:rFonts w:cs="Times New Roman"/>
          <w:szCs w:val="24"/>
        </w:rPr>
        <w:t xml:space="preserve">, 58-60. </w:t>
      </w:r>
      <w:proofErr w:type="spellStart"/>
      <w:proofErr w:type="gramStart"/>
      <w:r>
        <w:rPr>
          <w:rFonts w:cs="Times New Roman"/>
          <w:szCs w:val="24"/>
        </w:rPr>
        <w:t>doi</w:t>
      </w:r>
      <w:proofErr w:type="spellEnd"/>
      <w:proofErr w:type="gramEnd"/>
      <w:r>
        <w:rPr>
          <w:rFonts w:cs="Times New Roman"/>
          <w:szCs w:val="24"/>
        </w:rPr>
        <w:t>: 10.1111/j.1541-</w:t>
      </w:r>
      <w:r>
        <w:rPr>
          <w:rFonts w:cs="Times New Roman"/>
          <w:szCs w:val="24"/>
        </w:rPr>
        <w:t>4329.2003.tb00029.x</w:t>
      </w:r>
    </w:p>
    <w:p w:rsidR="00420C0E" w:rsidRDefault="00420C0E" w:rsidP="008A40AF">
      <w:pPr>
        <w:autoSpaceDE w:val="0"/>
        <w:autoSpaceDN w:val="0"/>
        <w:adjustRightInd w:val="0"/>
        <w:ind w:left="720" w:hanging="720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Caprara</w:t>
      </w:r>
      <w:proofErr w:type="spellEnd"/>
      <w:r>
        <w:rPr>
          <w:rFonts w:cs="Times New Roman"/>
          <w:szCs w:val="24"/>
        </w:rPr>
        <w:t xml:space="preserve">, G. V., </w:t>
      </w:r>
      <w:proofErr w:type="spellStart"/>
      <w:r>
        <w:rPr>
          <w:rFonts w:cs="Times New Roman"/>
          <w:szCs w:val="24"/>
        </w:rPr>
        <w:t>Barbaranelli</w:t>
      </w:r>
      <w:proofErr w:type="spellEnd"/>
      <w:r>
        <w:rPr>
          <w:rFonts w:cs="Times New Roman"/>
          <w:szCs w:val="24"/>
        </w:rPr>
        <w:t xml:space="preserve">, C., </w:t>
      </w:r>
      <w:proofErr w:type="spellStart"/>
      <w:r>
        <w:rPr>
          <w:rFonts w:cs="Times New Roman"/>
          <w:szCs w:val="24"/>
        </w:rPr>
        <w:t>Steca</w:t>
      </w:r>
      <w:proofErr w:type="spellEnd"/>
      <w:r>
        <w:rPr>
          <w:rFonts w:cs="Times New Roman"/>
          <w:szCs w:val="24"/>
        </w:rPr>
        <w:t xml:space="preserve">, P., &amp; Malone, P. S. (2006). Teachers' self-efficacy beliefs as determinants of job satisfaction and students' academic achievement: A study at the school level. </w:t>
      </w:r>
      <w:r>
        <w:rPr>
          <w:rFonts w:cs="Times New Roman"/>
          <w:i/>
          <w:iCs/>
          <w:szCs w:val="24"/>
        </w:rPr>
        <w:t>Journal of school psychology, 44</w:t>
      </w:r>
      <w:r>
        <w:rPr>
          <w:rFonts w:cs="Times New Roman"/>
          <w:szCs w:val="24"/>
        </w:rPr>
        <w:t>(6), 473-490.</w:t>
      </w:r>
    </w:p>
    <w:p w:rsidR="00420C0E" w:rsidRDefault="00420C0E" w:rsidP="008A40AF">
      <w:pPr>
        <w:autoSpaceDE w:val="0"/>
        <w:autoSpaceDN w:val="0"/>
        <w:adjustRightInd w:val="0"/>
        <w:ind w:left="720" w:hanging="720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DeChenne</w:t>
      </w:r>
      <w:proofErr w:type="spellEnd"/>
      <w:r>
        <w:rPr>
          <w:rFonts w:cs="Times New Roman"/>
          <w:szCs w:val="24"/>
        </w:rPr>
        <w:t xml:space="preserve">, S. E., </w:t>
      </w:r>
      <w:proofErr w:type="spellStart"/>
      <w:r>
        <w:rPr>
          <w:rFonts w:cs="Times New Roman"/>
          <w:szCs w:val="24"/>
        </w:rPr>
        <w:t>Enochs</w:t>
      </w:r>
      <w:proofErr w:type="spellEnd"/>
      <w:r>
        <w:rPr>
          <w:rFonts w:cs="Times New Roman"/>
          <w:szCs w:val="24"/>
        </w:rPr>
        <w:t xml:space="preserve">, L. G., &amp; Needham, M. (2012). Science, technology, engineering, and mathematics graduate teaching assistants teaching self-efficacy. </w:t>
      </w:r>
      <w:r>
        <w:rPr>
          <w:rFonts w:cs="Times New Roman"/>
          <w:i/>
          <w:iCs/>
          <w:szCs w:val="24"/>
        </w:rPr>
        <w:t>Journal of the Scholarship of Teaching and Learning, 12</w:t>
      </w:r>
      <w:r>
        <w:rPr>
          <w:rFonts w:cs="Times New Roman"/>
          <w:szCs w:val="24"/>
        </w:rPr>
        <w:t>(4), 102-123.</w:t>
      </w:r>
    </w:p>
    <w:p w:rsidR="00863E43" w:rsidRDefault="00863E43" w:rsidP="008A40AF">
      <w:pPr>
        <w:autoSpaceDE w:val="0"/>
        <w:autoSpaceDN w:val="0"/>
        <w:adjustRightInd w:val="0"/>
        <w:ind w:left="720" w:hanging="720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Denzin</w:t>
      </w:r>
      <w:proofErr w:type="spellEnd"/>
      <w:r>
        <w:rPr>
          <w:rFonts w:cs="Times New Roman"/>
          <w:szCs w:val="24"/>
        </w:rPr>
        <w:t xml:space="preserve">, N. K., &amp; Lincoln, Y. S. (2011). </w:t>
      </w:r>
      <w:r>
        <w:rPr>
          <w:rFonts w:cs="Times New Roman"/>
          <w:i/>
          <w:iCs/>
          <w:szCs w:val="24"/>
        </w:rPr>
        <w:t>The SAGE handbook of qualitative research</w:t>
      </w:r>
      <w:r>
        <w:rPr>
          <w:rFonts w:cs="Times New Roman"/>
          <w:szCs w:val="24"/>
        </w:rPr>
        <w:t>: Sage.</w:t>
      </w:r>
    </w:p>
    <w:p w:rsidR="00420C0E" w:rsidRDefault="00420C0E" w:rsidP="008A40AF">
      <w:pPr>
        <w:autoSpaceDE w:val="0"/>
        <w:autoSpaceDN w:val="0"/>
        <w:adjustRightInd w:val="0"/>
        <w:ind w:left="720" w:hanging="720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Feldon</w:t>
      </w:r>
      <w:proofErr w:type="spellEnd"/>
      <w:r>
        <w:rPr>
          <w:rFonts w:cs="Times New Roman"/>
          <w:szCs w:val="24"/>
        </w:rPr>
        <w:t xml:space="preserve">, D. F., </w:t>
      </w:r>
      <w:proofErr w:type="spellStart"/>
      <w:r>
        <w:rPr>
          <w:rFonts w:cs="Times New Roman"/>
          <w:szCs w:val="24"/>
        </w:rPr>
        <w:t>Peugh</w:t>
      </w:r>
      <w:proofErr w:type="spellEnd"/>
      <w:r>
        <w:rPr>
          <w:rFonts w:cs="Times New Roman"/>
          <w:szCs w:val="24"/>
        </w:rPr>
        <w:t>, J., Timmerman, B. E., Maher, M. A., H</w:t>
      </w:r>
      <w:r>
        <w:rPr>
          <w:rFonts w:cs="Times New Roman"/>
          <w:szCs w:val="24"/>
        </w:rPr>
        <w:t xml:space="preserve">urst, M., Strickland, D., </w:t>
      </w:r>
      <w:proofErr w:type="spellStart"/>
      <w:r>
        <w:rPr>
          <w:rFonts w:cs="Times New Roman"/>
          <w:szCs w:val="24"/>
        </w:rPr>
        <w:t>Stiegelmeyer</w:t>
      </w:r>
      <w:proofErr w:type="spellEnd"/>
      <w:r>
        <w:rPr>
          <w:rFonts w:cs="Times New Roman"/>
          <w:szCs w:val="24"/>
        </w:rPr>
        <w:t>, C. (2011). Graduate students’ tea</w:t>
      </w:r>
      <w:r>
        <w:rPr>
          <w:rFonts w:cs="Times New Roman"/>
          <w:szCs w:val="24"/>
        </w:rPr>
        <w:t xml:space="preserve">ching experiences improve their </w:t>
      </w:r>
      <w:r>
        <w:rPr>
          <w:rFonts w:cs="Times New Roman"/>
          <w:szCs w:val="24"/>
        </w:rPr>
        <w:t xml:space="preserve">methodological research skills. </w:t>
      </w:r>
      <w:r>
        <w:rPr>
          <w:rFonts w:cs="Times New Roman"/>
          <w:i/>
          <w:iCs/>
          <w:szCs w:val="24"/>
        </w:rPr>
        <w:t>Science, 333</w:t>
      </w:r>
      <w:r>
        <w:rPr>
          <w:rFonts w:cs="Times New Roman"/>
          <w:szCs w:val="24"/>
        </w:rPr>
        <w:t xml:space="preserve">(6045), 1037-1039. </w:t>
      </w:r>
      <w:proofErr w:type="spellStart"/>
      <w:proofErr w:type="gramStart"/>
      <w:r>
        <w:rPr>
          <w:rFonts w:cs="Times New Roman"/>
          <w:szCs w:val="24"/>
        </w:rPr>
        <w:t>doi</w:t>
      </w:r>
      <w:proofErr w:type="spellEnd"/>
      <w:proofErr w:type="gramEnd"/>
      <w:r>
        <w:rPr>
          <w:rFonts w:cs="Times New Roman"/>
          <w:szCs w:val="24"/>
        </w:rPr>
        <w:t xml:space="preserve">: </w:t>
      </w:r>
      <w:r>
        <w:rPr>
          <w:rFonts w:cs="Times New Roman"/>
          <w:szCs w:val="24"/>
        </w:rPr>
        <w:t>10.1126/science.1204109</w:t>
      </w:r>
    </w:p>
    <w:p w:rsidR="00420C0E" w:rsidRDefault="00420C0E" w:rsidP="008A40AF">
      <w:pPr>
        <w:autoSpaceDE w:val="0"/>
        <w:autoSpaceDN w:val="0"/>
        <w:adjustRightInd w:val="0"/>
        <w:ind w:left="720" w:hanging="72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Fives, H., &amp; Looney, L. (2009). College instructors' sense of teaching and collective-efficacy. </w:t>
      </w:r>
      <w:r>
        <w:rPr>
          <w:rFonts w:cs="Times New Roman"/>
          <w:i/>
          <w:iCs/>
          <w:szCs w:val="24"/>
        </w:rPr>
        <w:t>International Journal of Teaching and Learning in Higher Education, 20</w:t>
      </w:r>
      <w:r>
        <w:rPr>
          <w:rFonts w:cs="Times New Roman"/>
          <w:szCs w:val="24"/>
        </w:rPr>
        <w:t>(2), 182-191.</w:t>
      </w:r>
    </w:p>
    <w:p w:rsidR="00420C0E" w:rsidRDefault="00420C0E" w:rsidP="008A40AF">
      <w:pPr>
        <w:autoSpaceDE w:val="0"/>
        <w:autoSpaceDN w:val="0"/>
        <w:adjustRightInd w:val="0"/>
        <w:ind w:left="720" w:hanging="72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Goddard, R. D., Hoy, W. K., &amp; Hoy, A. W. (2004). Collective efficacy </w:t>
      </w:r>
      <w:proofErr w:type="spellStart"/>
      <w:r>
        <w:rPr>
          <w:rFonts w:cs="Times New Roman"/>
          <w:szCs w:val="24"/>
        </w:rPr>
        <w:t>beliefs</w:t>
      </w:r>
      <w:proofErr w:type="gramStart"/>
      <w:r>
        <w:rPr>
          <w:rFonts w:cs="Times New Roman"/>
          <w:szCs w:val="24"/>
        </w:rPr>
        <w:t>:Theoretical</w:t>
      </w:r>
      <w:proofErr w:type="spellEnd"/>
      <w:proofErr w:type="gramEnd"/>
      <w:r>
        <w:rPr>
          <w:rFonts w:cs="Times New Roman"/>
          <w:szCs w:val="24"/>
        </w:rPr>
        <w:t xml:space="preserve"> developments, empirical evidence, and future directions. </w:t>
      </w:r>
      <w:r>
        <w:rPr>
          <w:rFonts w:cs="Times New Roman"/>
          <w:i/>
          <w:iCs/>
          <w:szCs w:val="24"/>
        </w:rPr>
        <w:t>Educational Researcher, 33</w:t>
      </w:r>
      <w:r>
        <w:rPr>
          <w:rFonts w:cs="Times New Roman"/>
          <w:szCs w:val="24"/>
        </w:rPr>
        <w:t xml:space="preserve">(3), 3-13. </w:t>
      </w:r>
      <w:proofErr w:type="spellStart"/>
      <w:proofErr w:type="gramStart"/>
      <w:r>
        <w:rPr>
          <w:rFonts w:cs="Times New Roman"/>
          <w:szCs w:val="24"/>
        </w:rPr>
        <w:t>doi</w:t>
      </w:r>
      <w:proofErr w:type="spellEnd"/>
      <w:proofErr w:type="gramEnd"/>
      <w:r>
        <w:rPr>
          <w:rFonts w:cs="Times New Roman"/>
          <w:szCs w:val="24"/>
        </w:rPr>
        <w:t>: 10.3102/0013189x033003003</w:t>
      </w:r>
    </w:p>
    <w:p w:rsidR="00420C0E" w:rsidRDefault="00420C0E" w:rsidP="008A40AF">
      <w:pPr>
        <w:autoSpaceDE w:val="0"/>
        <w:autoSpaceDN w:val="0"/>
        <w:adjustRightInd w:val="0"/>
        <w:ind w:left="720" w:hanging="72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Grant, B. L., Liu, X., &amp; </w:t>
      </w:r>
      <w:proofErr w:type="spellStart"/>
      <w:r>
        <w:rPr>
          <w:rFonts w:cs="Times New Roman"/>
          <w:szCs w:val="24"/>
        </w:rPr>
        <w:t>Gardella</w:t>
      </w:r>
      <w:proofErr w:type="spellEnd"/>
      <w:r>
        <w:rPr>
          <w:rFonts w:cs="Times New Roman"/>
          <w:szCs w:val="24"/>
        </w:rPr>
        <w:t>, J. A. (2014). Suppor</w:t>
      </w:r>
      <w:r>
        <w:rPr>
          <w:rFonts w:cs="Times New Roman"/>
          <w:szCs w:val="24"/>
        </w:rPr>
        <w:t xml:space="preserve">ting the development of science </w:t>
      </w:r>
      <w:r>
        <w:rPr>
          <w:rFonts w:cs="Times New Roman"/>
          <w:szCs w:val="24"/>
        </w:rPr>
        <w:t>communication skills in STEM university student</w:t>
      </w:r>
      <w:r>
        <w:rPr>
          <w:rFonts w:cs="Times New Roman"/>
          <w:szCs w:val="24"/>
        </w:rPr>
        <w:t xml:space="preserve">s: Understanding their learning </w:t>
      </w:r>
      <w:r>
        <w:rPr>
          <w:rFonts w:cs="Times New Roman"/>
          <w:szCs w:val="24"/>
        </w:rPr>
        <w:t xml:space="preserve">experiences as they work in middle and high school classrooms. </w:t>
      </w:r>
      <w:r>
        <w:rPr>
          <w:rFonts w:cs="Times New Roman"/>
          <w:i/>
          <w:iCs/>
          <w:szCs w:val="24"/>
        </w:rPr>
        <w:t xml:space="preserve">International </w:t>
      </w:r>
      <w:r>
        <w:rPr>
          <w:rFonts w:cs="Times New Roman"/>
          <w:i/>
          <w:iCs/>
          <w:szCs w:val="24"/>
        </w:rPr>
        <w:t>Journal of Science Education, Part B</w:t>
      </w:r>
      <w:r>
        <w:rPr>
          <w:rFonts w:cs="Times New Roman"/>
          <w:szCs w:val="24"/>
        </w:rPr>
        <w:t xml:space="preserve">, 1-22. </w:t>
      </w:r>
      <w:proofErr w:type="spellStart"/>
      <w:proofErr w:type="gramStart"/>
      <w:r>
        <w:rPr>
          <w:rFonts w:cs="Times New Roman"/>
          <w:szCs w:val="24"/>
        </w:rPr>
        <w:t>doi</w:t>
      </w:r>
      <w:proofErr w:type="spellEnd"/>
      <w:proofErr w:type="gramEnd"/>
      <w:r>
        <w:rPr>
          <w:rFonts w:cs="Times New Roman"/>
          <w:szCs w:val="24"/>
        </w:rPr>
        <w:t>: 10.1080/21548455.2013.872313</w:t>
      </w:r>
    </w:p>
    <w:p w:rsidR="00420C0E" w:rsidRDefault="00420C0E" w:rsidP="008A40AF">
      <w:pPr>
        <w:autoSpaceDE w:val="0"/>
        <w:autoSpaceDN w:val="0"/>
        <w:adjustRightInd w:val="0"/>
        <w:ind w:left="720" w:hanging="720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Laursen</w:t>
      </w:r>
      <w:proofErr w:type="spellEnd"/>
      <w:r>
        <w:rPr>
          <w:rFonts w:cs="Times New Roman"/>
          <w:szCs w:val="24"/>
        </w:rPr>
        <w:t xml:space="preserve">, S., Liston, C., </w:t>
      </w:r>
      <w:proofErr w:type="spellStart"/>
      <w:r>
        <w:rPr>
          <w:rFonts w:cs="Times New Roman"/>
          <w:szCs w:val="24"/>
        </w:rPr>
        <w:t>Thiry</w:t>
      </w:r>
      <w:proofErr w:type="spellEnd"/>
      <w:r>
        <w:rPr>
          <w:rFonts w:cs="Times New Roman"/>
          <w:szCs w:val="24"/>
        </w:rPr>
        <w:t xml:space="preserve">, H., &amp; Graf, J. (2007). </w:t>
      </w:r>
      <w:r>
        <w:rPr>
          <w:rFonts w:cs="Times New Roman"/>
          <w:szCs w:val="24"/>
        </w:rPr>
        <w:t xml:space="preserve">What good is a scientist in the </w:t>
      </w:r>
      <w:r>
        <w:rPr>
          <w:rFonts w:cs="Times New Roman"/>
          <w:szCs w:val="24"/>
        </w:rPr>
        <w:t>classroom? Participant outcomes and program desig</w:t>
      </w:r>
      <w:r>
        <w:rPr>
          <w:rFonts w:cs="Times New Roman"/>
          <w:szCs w:val="24"/>
        </w:rPr>
        <w:t xml:space="preserve">n features for a short-duration </w:t>
      </w:r>
      <w:r>
        <w:rPr>
          <w:rFonts w:cs="Times New Roman"/>
          <w:szCs w:val="24"/>
        </w:rPr>
        <w:t xml:space="preserve">science outreach intervention in K–12 classrooms. </w:t>
      </w:r>
      <w:r>
        <w:rPr>
          <w:rFonts w:cs="Times New Roman"/>
          <w:i/>
          <w:iCs/>
          <w:szCs w:val="24"/>
        </w:rPr>
        <w:t xml:space="preserve">CBE-Life Sciences Education, </w:t>
      </w:r>
      <w:r>
        <w:rPr>
          <w:rFonts w:cs="Times New Roman"/>
          <w:i/>
          <w:iCs/>
          <w:szCs w:val="24"/>
        </w:rPr>
        <w:t>6</w:t>
      </w:r>
      <w:r>
        <w:rPr>
          <w:rFonts w:cs="Times New Roman"/>
          <w:szCs w:val="24"/>
        </w:rPr>
        <w:t>(1), 49-64.</w:t>
      </w:r>
    </w:p>
    <w:p w:rsidR="00420C0E" w:rsidRDefault="00420C0E" w:rsidP="008A40AF">
      <w:pPr>
        <w:autoSpaceDE w:val="0"/>
        <w:autoSpaceDN w:val="0"/>
        <w:adjustRightInd w:val="0"/>
        <w:ind w:left="720" w:hanging="72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McBride, B. B., Brewer, C. A., Bricker, M., &amp; </w:t>
      </w:r>
      <w:proofErr w:type="spellStart"/>
      <w:r>
        <w:rPr>
          <w:rFonts w:cs="Times New Roman"/>
          <w:szCs w:val="24"/>
        </w:rPr>
        <w:t>Machur</w:t>
      </w:r>
      <w:r>
        <w:rPr>
          <w:rFonts w:cs="Times New Roman"/>
          <w:szCs w:val="24"/>
        </w:rPr>
        <w:t>a</w:t>
      </w:r>
      <w:proofErr w:type="spellEnd"/>
      <w:r>
        <w:rPr>
          <w:rFonts w:cs="Times New Roman"/>
          <w:szCs w:val="24"/>
        </w:rPr>
        <w:t xml:space="preserve">, M. (2011). Training the next </w:t>
      </w:r>
      <w:r>
        <w:rPr>
          <w:rFonts w:cs="Times New Roman"/>
          <w:szCs w:val="24"/>
        </w:rPr>
        <w:t>generation of renaissance scientists: The GK-12 eco</w:t>
      </w:r>
      <w:r>
        <w:rPr>
          <w:rFonts w:cs="Times New Roman"/>
          <w:szCs w:val="24"/>
        </w:rPr>
        <w:t xml:space="preserve">logists, educators, and schools program at the </w:t>
      </w:r>
      <w:proofErr w:type="gramStart"/>
      <w:r>
        <w:rPr>
          <w:rFonts w:cs="Times New Roman"/>
          <w:szCs w:val="24"/>
        </w:rPr>
        <w:t>university</w:t>
      </w:r>
      <w:proofErr w:type="gramEnd"/>
      <w:r>
        <w:rPr>
          <w:rFonts w:cs="Times New Roman"/>
          <w:szCs w:val="24"/>
        </w:rPr>
        <w:t xml:space="preserve"> of M</w:t>
      </w:r>
      <w:r>
        <w:rPr>
          <w:rFonts w:cs="Times New Roman"/>
          <w:szCs w:val="24"/>
        </w:rPr>
        <w:t xml:space="preserve">ontana. </w:t>
      </w:r>
      <w:proofErr w:type="spellStart"/>
      <w:r>
        <w:rPr>
          <w:rFonts w:cs="Times New Roman"/>
          <w:i/>
          <w:iCs/>
          <w:szCs w:val="24"/>
        </w:rPr>
        <w:t>BioScience</w:t>
      </w:r>
      <w:proofErr w:type="spellEnd"/>
      <w:r>
        <w:rPr>
          <w:rFonts w:cs="Times New Roman"/>
          <w:i/>
          <w:iCs/>
          <w:szCs w:val="24"/>
        </w:rPr>
        <w:t>, 61</w:t>
      </w:r>
      <w:r>
        <w:rPr>
          <w:rFonts w:cs="Times New Roman"/>
          <w:szCs w:val="24"/>
        </w:rPr>
        <w:t xml:space="preserve">(6), 466-476. </w:t>
      </w:r>
      <w:proofErr w:type="spellStart"/>
      <w:proofErr w:type="gramStart"/>
      <w:r>
        <w:rPr>
          <w:rFonts w:cs="Times New Roman"/>
          <w:szCs w:val="24"/>
        </w:rPr>
        <w:t>doi</w:t>
      </w:r>
      <w:proofErr w:type="spellEnd"/>
      <w:proofErr w:type="gramEnd"/>
      <w:r>
        <w:rPr>
          <w:rFonts w:cs="Times New Roman"/>
          <w:szCs w:val="24"/>
        </w:rPr>
        <w:t xml:space="preserve">: </w:t>
      </w:r>
      <w:r>
        <w:rPr>
          <w:rFonts w:cs="Times New Roman"/>
          <w:szCs w:val="24"/>
        </w:rPr>
        <w:t>10.1525/bio.2011.61.6.9</w:t>
      </w:r>
    </w:p>
    <w:p w:rsidR="00420C0E" w:rsidRPr="00863E43" w:rsidRDefault="00420C0E" w:rsidP="008A40AF">
      <w:pPr>
        <w:autoSpaceDE w:val="0"/>
        <w:autoSpaceDN w:val="0"/>
        <w:adjustRightInd w:val="0"/>
        <w:ind w:left="720" w:hanging="720"/>
        <w:rPr>
          <w:rFonts w:cs="Times New Roman"/>
          <w:i/>
          <w:iCs/>
          <w:szCs w:val="24"/>
        </w:rPr>
      </w:pPr>
      <w:r>
        <w:rPr>
          <w:rFonts w:cs="Times New Roman"/>
          <w:szCs w:val="24"/>
        </w:rPr>
        <w:t xml:space="preserve">Miles, M. B., </w:t>
      </w:r>
      <w:proofErr w:type="spellStart"/>
      <w:r>
        <w:rPr>
          <w:rFonts w:cs="Times New Roman"/>
          <w:szCs w:val="24"/>
        </w:rPr>
        <w:t>Huberman</w:t>
      </w:r>
      <w:proofErr w:type="spellEnd"/>
      <w:r>
        <w:rPr>
          <w:rFonts w:cs="Times New Roman"/>
          <w:szCs w:val="24"/>
        </w:rPr>
        <w:t xml:space="preserve">, A. M., &amp; </w:t>
      </w:r>
      <w:proofErr w:type="spellStart"/>
      <w:r>
        <w:rPr>
          <w:rFonts w:cs="Times New Roman"/>
          <w:szCs w:val="24"/>
        </w:rPr>
        <w:t>Saldaña</w:t>
      </w:r>
      <w:proofErr w:type="spellEnd"/>
      <w:r>
        <w:rPr>
          <w:rFonts w:cs="Times New Roman"/>
          <w:szCs w:val="24"/>
        </w:rPr>
        <w:t xml:space="preserve">, J. (2014). </w:t>
      </w:r>
      <w:r>
        <w:rPr>
          <w:rFonts w:cs="Times New Roman"/>
          <w:i/>
          <w:iCs/>
          <w:szCs w:val="24"/>
        </w:rPr>
        <w:t xml:space="preserve">Qualitative data analysis: A </w:t>
      </w:r>
      <w:r>
        <w:rPr>
          <w:rFonts w:cs="Times New Roman"/>
          <w:i/>
          <w:iCs/>
          <w:szCs w:val="24"/>
        </w:rPr>
        <w:t>methods sourcebook</w:t>
      </w:r>
      <w:r>
        <w:rPr>
          <w:rFonts w:cs="Times New Roman"/>
          <w:szCs w:val="24"/>
        </w:rPr>
        <w:t>. Thousand Oaks, California: Sage Publications.</w:t>
      </w:r>
    </w:p>
    <w:p w:rsidR="00420C0E" w:rsidRDefault="00420C0E" w:rsidP="008A40AF">
      <w:pPr>
        <w:autoSpaceDE w:val="0"/>
        <w:autoSpaceDN w:val="0"/>
        <w:adjustRightInd w:val="0"/>
        <w:ind w:left="720" w:hanging="72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Patton, M. Q. (2002). </w:t>
      </w:r>
      <w:r>
        <w:rPr>
          <w:rFonts w:cs="Times New Roman"/>
          <w:i/>
          <w:iCs/>
          <w:szCs w:val="24"/>
        </w:rPr>
        <w:t xml:space="preserve">Qualitative research and evaluation methods </w:t>
      </w:r>
      <w:r>
        <w:rPr>
          <w:rFonts w:cs="Times New Roman"/>
          <w:szCs w:val="24"/>
        </w:rPr>
        <w:t xml:space="preserve">(3 </w:t>
      </w:r>
      <w:proofErr w:type="gramStart"/>
      <w:r>
        <w:rPr>
          <w:rFonts w:cs="Times New Roman"/>
          <w:szCs w:val="24"/>
        </w:rPr>
        <w:t>ed</w:t>
      </w:r>
      <w:proofErr w:type="gramEnd"/>
      <w:r>
        <w:rPr>
          <w:rFonts w:cs="Times New Roman"/>
          <w:szCs w:val="24"/>
        </w:rPr>
        <w:t xml:space="preserve">.). Thousand </w:t>
      </w:r>
      <w:r>
        <w:rPr>
          <w:rFonts w:cs="Times New Roman"/>
          <w:szCs w:val="24"/>
        </w:rPr>
        <w:t>Oaks, California: Sage Publications.</w:t>
      </w:r>
    </w:p>
    <w:p w:rsidR="00420C0E" w:rsidRDefault="00420C0E" w:rsidP="008A40AF">
      <w:pPr>
        <w:autoSpaceDE w:val="0"/>
        <w:autoSpaceDN w:val="0"/>
        <w:adjustRightInd w:val="0"/>
        <w:ind w:left="720" w:hanging="720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Saldaña</w:t>
      </w:r>
      <w:proofErr w:type="spellEnd"/>
      <w:r>
        <w:rPr>
          <w:rFonts w:cs="Times New Roman"/>
          <w:szCs w:val="24"/>
        </w:rPr>
        <w:t xml:space="preserve">, J. (2013). </w:t>
      </w:r>
      <w:r>
        <w:rPr>
          <w:rFonts w:cs="Times New Roman"/>
          <w:i/>
          <w:iCs/>
          <w:szCs w:val="24"/>
        </w:rPr>
        <w:t xml:space="preserve">The coding manual for qualitative researchers </w:t>
      </w:r>
      <w:r>
        <w:rPr>
          <w:rFonts w:cs="Times New Roman"/>
          <w:szCs w:val="24"/>
        </w:rPr>
        <w:t xml:space="preserve">(second </w:t>
      </w:r>
      <w:proofErr w:type="gramStart"/>
      <w:r>
        <w:rPr>
          <w:rFonts w:cs="Times New Roman"/>
          <w:szCs w:val="24"/>
        </w:rPr>
        <w:t>ed</w:t>
      </w:r>
      <w:proofErr w:type="gramEnd"/>
      <w:r>
        <w:rPr>
          <w:rFonts w:cs="Times New Roman"/>
          <w:szCs w:val="24"/>
        </w:rPr>
        <w:t>.). Thousand Oaks, California: Sage Publications.</w:t>
      </w:r>
    </w:p>
    <w:p w:rsidR="00420C0E" w:rsidRDefault="00420C0E" w:rsidP="008A40AF">
      <w:pPr>
        <w:autoSpaceDE w:val="0"/>
        <w:autoSpaceDN w:val="0"/>
        <w:adjustRightInd w:val="0"/>
        <w:ind w:left="720" w:hanging="720"/>
        <w:rPr>
          <w:rFonts w:cs="Times New Roman"/>
          <w:szCs w:val="24"/>
        </w:rPr>
      </w:pPr>
      <w:r>
        <w:rPr>
          <w:rFonts w:cs="Times New Roman"/>
          <w:szCs w:val="24"/>
        </w:rPr>
        <w:t>Smith, B., Baron, N., English, C., Galindo, H., Goldman, E</w:t>
      </w:r>
      <w:r>
        <w:rPr>
          <w:rFonts w:cs="Times New Roman"/>
          <w:szCs w:val="24"/>
        </w:rPr>
        <w:t xml:space="preserve">., McLeod, K., </w:t>
      </w:r>
      <w:proofErr w:type="spellStart"/>
      <w:r>
        <w:rPr>
          <w:rFonts w:cs="Times New Roman"/>
          <w:szCs w:val="24"/>
        </w:rPr>
        <w:t>Neeley</w:t>
      </w:r>
      <w:proofErr w:type="spellEnd"/>
      <w:r>
        <w:rPr>
          <w:rFonts w:cs="Times New Roman"/>
          <w:szCs w:val="24"/>
        </w:rPr>
        <w:t xml:space="preserve">, E. </w:t>
      </w:r>
      <w:r>
        <w:rPr>
          <w:rFonts w:cs="Times New Roman"/>
          <w:szCs w:val="24"/>
        </w:rPr>
        <w:t xml:space="preserve">(2013). COMPASS: Navigating the rules of scientific engagement. </w:t>
      </w:r>
      <w:proofErr w:type="spellStart"/>
      <w:r>
        <w:rPr>
          <w:rFonts w:cs="Times New Roman"/>
          <w:i/>
          <w:iCs/>
          <w:szCs w:val="24"/>
        </w:rPr>
        <w:t>PLoS</w:t>
      </w:r>
      <w:proofErr w:type="spellEnd"/>
      <w:r>
        <w:rPr>
          <w:rFonts w:cs="Times New Roman"/>
          <w:i/>
          <w:iCs/>
          <w:szCs w:val="24"/>
        </w:rPr>
        <w:t xml:space="preserve"> Biology,</w:t>
      </w:r>
      <w:r>
        <w:rPr>
          <w:rFonts w:cs="Times New Roman"/>
          <w:szCs w:val="24"/>
        </w:rPr>
        <w:t xml:space="preserve"> </w:t>
      </w:r>
      <w:r>
        <w:rPr>
          <w:rFonts w:cs="Times New Roman"/>
          <w:i/>
          <w:iCs/>
          <w:szCs w:val="24"/>
        </w:rPr>
        <w:t>11</w:t>
      </w:r>
      <w:r>
        <w:rPr>
          <w:rFonts w:cs="Times New Roman"/>
          <w:szCs w:val="24"/>
        </w:rPr>
        <w:t xml:space="preserve">(4), 1-5. </w:t>
      </w:r>
      <w:proofErr w:type="spellStart"/>
      <w:proofErr w:type="gramStart"/>
      <w:r>
        <w:rPr>
          <w:rFonts w:cs="Times New Roman"/>
          <w:szCs w:val="24"/>
        </w:rPr>
        <w:t>doi</w:t>
      </w:r>
      <w:proofErr w:type="spellEnd"/>
      <w:proofErr w:type="gramEnd"/>
      <w:r>
        <w:rPr>
          <w:rFonts w:cs="Times New Roman"/>
          <w:szCs w:val="24"/>
        </w:rPr>
        <w:t>: 10.1371/journal.pbio.1001552</w:t>
      </w:r>
    </w:p>
    <w:p w:rsidR="00185938" w:rsidRDefault="00420C0E" w:rsidP="008A40AF">
      <w:pPr>
        <w:autoSpaceDE w:val="0"/>
        <w:autoSpaceDN w:val="0"/>
        <w:adjustRightInd w:val="0"/>
        <w:ind w:left="720" w:hanging="720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Tschannen</w:t>
      </w:r>
      <w:proofErr w:type="spellEnd"/>
      <w:r>
        <w:rPr>
          <w:rFonts w:cs="Times New Roman"/>
          <w:szCs w:val="24"/>
        </w:rPr>
        <w:t>-Moran, M., &amp; Hoy, A. W. (2001). Teacher</w:t>
      </w:r>
      <w:r>
        <w:rPr>
          <w:rFonts w:cs="Times New Roman"/>
          <w:szCs w:val="24"/>
        </w:rPr>
        <w:t xml:space="preserve"> efficacy: Capturing an elusive </w:t>
      </w:r>
      <w:r>
        <w:rPr>
          <w:rFonts w:cs="Times New Roman"/>
          <w:szCs w:val="24"/>
        </w:rPr>
        <w:t xml:space="preserve">construct. </w:t>
      </w:r>
      <w:r>
        <w:rPr>
          <w:rFonts w:cs="Times New Roman"/>
          <w:i/>
          <w:iCs/>
          <w:szCs w:val="24"/>
        </w:rPr>
        <w:t>Teaching and Teacher Education, 17</w:t>
      </w:r>
      <w:r>
        <w:rPr>
          <w:rFonts w:cs="Times New Roman"/>
          <w:szCs w:val="24"/>
        </w:rPr>
        <w:t xml:space="preserve">(7), 783-805. </w:t>
      </w:r>
      <w:proofErr w:type="spellStart"/>
      <w:proofErr w:type="gramStart"/>
      <w:r>
        <w:rPr>
          <w:rFonts w:cs="Times New Roman"/>
          <w:szCs w:val="24"/>
        </w:rPr>
        <w:t>doi</w:t>
      </w:r>
      <w:proofErr w:type="spellEnd"/>
      <w:proofErr w:type="gramEnd"/>
      <w:r>
        <w:rPr>
          <w:rFonts w:cs="Times New Roman"/>
          <w:szCs w:val="24"/>
        </w:rPr>
        <w:t>:</w:t>
      </w:r>
      <w:r>
        <w:rPr>
          <w:rFonts w:cs="Times New Roman"/>
          <w:szCs w:val="24"/>
        </w:rPr>
        <w:t xml:space="preserve"> </w:t>
      </w:r>
      <w:r w:rsidRPr="00420C0E">
        <w:rPr>
          <w:rFonts w:cs="Times New Roman"/>
          <w:szCs w:val="24"/>
        </w:rPr>
        <w:t>http://dx.doi.org/10.1016/S0742-051X(01)00036-1</w:t>
      </w:r>
    </w:p>
    <w:sectPr w:rsidR="00185938" w:rsidSect="00A16C8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7333" w:rsidRDefault="004B7333" w:rsidP="004846A5">
      <w:r>
        <w:separator/>
      </w:r>
    </w:p>
  </w:endnote>
  <w:endnote w:type="continuationSeparator" w:id="0">
    <w:p w:rsidR="004B7333" w:rsidRDefault="004B7333" w:rsidP="00484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74D" w:rsidRDefault="00E5074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74D" w:rsidRDefault="00E5074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74D" w:rsidRDefault="00E5074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7333" w:rsidRDefault="004B7333" w:rsidP="004846A5">
      <w:r>
        <w:separator/>
      </w:r>
    </w:p>
  </w:footnote>
  <w:footnote w:type="continuationSeparator" w:id="0">
    <w:p w:rsidR="004B7333" w:rsidRDefault="004B7333" w:rsidP="004846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74D" w:rsidRDefault="00E5074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74D" w:rsidRDefault="00E5074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74D" w:rsidRDefault="00E5074D">
    <w:pPr>
      <w:pStyle w:val="Header"/>
    </w:pPr>
    <w:r>
      <w:ptab w:relativeTo="margin" w:alignment="center" w:leader="none"/>
    </w:r>
    <w:r>
      <w:ptab w:relativeTo="margin" w:alignment="right" w:leader="none"/>
    </w:r>
    <w:r>
      <w:t>Research Poster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571D22"/>
    <w:multiLevelType w:val="hybridMultilevel"/>
    <w:tmpl w:val="B202652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/ENInstantFormat&gt;"/>
    <w:docVar w:name="EN.Layout" w:val="&lt;ENLayout&gt;&lt;Style&gt;APA 6th&lt;/Style&gt;&lt;LeftDelim&gt;{&lt;/LeftDelim&gt;&lt;RightDelim&gt;}&lt;/RightDelim&gt;&lt;FontName&gt;Times New Roman&lt;/FontName&gt;&lt;FontSize&gt;12&lt;/FontSize&gt;&lt;ReflistTitle&gt;References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item db-id=&quot;awvt0szrnds2t4extp6px5pjfx5taff09zep&quot;&gt;SelfEff&lt;record-ids&gt;&lt;item&gt;2&lt;/item&gt;&lt;/record-ids&gt;&lt;/item&gt;&lt;item db-id=&quot;fvvwe95rdwr00qef0vjvtd2g2t5e9vser5p5&quot;&gt;Reform STEM Reviews&lt;record-ids&gt;&lt;item&gt;17&lt;/item&gt;&lt;/record-ids&gt;&lt;/item&gt;&lt;item db-id=&quot;rt950a52xer0t3e5ewzxrpvlpwedfpfvv2wv&quot;&gt;InstrumentLitReview&lt;record-ids&gt;&lt;item&gt;2&lt;/item&gt;&lt;item&gt;10&lt;/item&gt;&lt;item&gt;11&lt;/item&gt;&lt;/record-ids&gt;&lt;/item&gt;&lt;item db-id=&quot;v2r2papw5wxe5de5f5z59z5zp2t9wv5sfvwf&quot;&gt;SourcesSelfEff&lt;record-ids&gt;&lt;item&gt;3&lt;/item&gt;&lt;item&gt;5&lt;/item&gt;&lt;item&gt;6&lt;/item&gt;&lt;/record-ids&gt;&lt;/item&gt;&lt;item db-id=&quot;vw2dffatl2ae9te90v4xzpdo2z50f5de020f&quot;&gt;Phenomenography&lt;record-ids&gt;&lt;item&gt;1&lt;/item&gt;&lt;item&gt;37&lt;/item&gt;&lt;/record-ids&gt;&lt;/item&gt;&lt;/Libraries&gt;"/>
  </w:docVars>
  <w:rsids>
    <w:rsidRoot w:val="00503198"/>
    <w:rsid w:val="00005E52"/>
    <w:rsid w:val="00024471"/>
    <w:rsid w:val="000434BC"/>
    <w:rsid w:val="0005178E"/>
    <w:rsid w:val="00057E56"/>
    <w:rsid w:val="000679EB"/>
    <w:rsid w:val="0007286C"/>
    <w:rsid w:val="000819CD"/>
    <w:rsid w:val="000A4522"/>
    <w:rsid w:val="000C413A"/>
    <w:rsid w:val="000E1835"/>
    <w:rsid w:val="000E2FBE"/>
    <w:rsid w:val="000E7C2E"/>
    <w:rsid w:val="001106ED"/>
    <w:rsid w:val="00115714"/>
    <w:rsid w:val="00115809"/>
    <w:rsid w:val="0011778B"/>
    <w:rsid w:val="00122F40"/>
    <w:rsid w:val="00146E2F"/>
    <w:rsid w:val="00150746"/>
    <w:rsid w:val="00180212"/>
    <w:rsid w:val="00185938"/>
    <w:rsid w:val="00185B9E"/>
    <w:rsid w:val="001A156D"/>
    <w:rsid w:val="001A1C68"/>
    <w:rsid w:val="001A7E25"/>
    <w:rsid w:val="001B5C8C"/>
    <w:rsid w:val="001C0ECC"/>
    <w:rsid w:val="001C3645"/>
    <w:rsid w:val="001C7836"/>
    <w:rsid w:val="001D2683"/>
    <w:rsid w:val="001E6CCF"/>
    <w:rsid w:val="001F3FB9"/>
    <w:rsid w:val="001F7130"/>
    <w:rsid w:val="00202249"/>
    <w:rsid w:val="002076FA"/>
    <w:rsid w:val="00217CBD"/>
    <w:rsid w:val="002319D0"/>
    <w:rsid w:val="00250209"/>
    <w:rsid w:val="00256D37"/>
    <w:rsid w:val="00266171"/>
    <w:rsid w:val="0027490D"/>
    <w:rsid w:val="002979F5"/>
    <w:rsid w:val="00297C3F"/>
    <w:rsid w:val="002C244B"/>
    <w:rsid w:val="002D5919"/>
    <w:rsid w:val="002F5C4C"/>
    <w:rsid w:val="0030695B"/>
    <w:rsid w:val="0032116B"/>
    <w:rsid w:val="00322383"/>
    <w:rsid w:val="003251B7"/>
    <w:rsid w:val="003552CA"/>
    <w:rsid w:val="0036117C"/>
    <w:rsid w:val="00363BA4"/>
    <w:rsid w:val="003655A3"/>
    <w:rsid w:val="00371C63"/>
    <w:rsid w:val="00375A65"/>
    <w:rsid w:val="00391F9F"/>
    <w:rsid w:val="003A3FD0"/>
    <w:rsid w:val="003B0A37"/>
    <w:rsid w:val="003C09FB"/>
    <w:rsid w:val="003D05F2"/>
    <w:rsid w:val="003D0FD3"/>
    <w:rsid w:val="00420C0E"/>
    <w:rsid w:val="00442BC8"/>
    <w:rsid w:val="00445A9D"/>
    <w:rsid w:val="0045640F"/>
    <w:rsid w:val="004666D4"/>
    <w:rsid w:val="004720DA"/>
    <w:rsid w:val="004731BC"/>
    <w:rsid w:val="00477F2D"/>
    <w:rsid w:val="00481C34"/>
    <w:rsid w:val="00482F65"/>
    <w:rsid w:val="00484218"/>
    <w:rsid w:val="004846A5"/>
    <w:rsid w:val="00491B76"/>
    <w:rsid w:val="00497205"/>
    <w:rsid w:val="00497425"/>
    <w:rsid w:val="004A2264"/>
    <w:rsid w:val="004B4E0C"/>
    <w:rsid w:val="004B7333"/>
    <w:rsid w:val="004C7C09"/>
    <w:rsid w:val="004D77F9"/>
    <w:rsid w:val="004E30E9"/>
    <w:rsid w:val="00502512"/>
    <w:rsid w:val="00503198"/>
    <w:rsid w:val="00506DE7"/>
    <w:rsid w:val="00512E3B"/>
    <w:rsid w:val="00513F15"/>
    <w:rsid w:val="00517365"/>
    <w:rsid w:val="00542767"/>
    <w:rsid w:val="00563D0C"/>
    <w:rsid w:val="00563FC5"/>
    <w:rsid w:val="00570F8E"/>
    <w:rsid w:val="005717AD"/>
    <w:rsid w:val="00571A8B"/>
    <w:rsid w:val="005948C0"/>
    <w:rsid w:val="005D4AAF"/>
    <w:rsid w:val="005D4D91"/>
    <w:rsid w:val="00602276"/>
    <w:rsid w:val="006275BA"/>
    <w:rsid w:val="00636023"/>
    <w:rsid w:val="0064553B"/>
    <w:rsid w:val="00677DCF"/>
    <w:rsid w:val="006A2C40"/>
    <w:rsid w:val="006A30AB"/>
    <w:rsid w:val="006A53B1"/>
    <w:rsid w:val="006E5B30"/>
    <w:rsid w:val="006F3CE4"/>
    <w:rsid w:val="006F555E"/>
    <w:rsid w:val="00744847"/>
    <w:rsid w:val="00745DF4"/>
    <w:rsid w:val="0075499D"/>
    <w:rsid w:val="00771A14"/>
    <w:rsid w:val="00772BF6"/>
    <w:rsid w:val="0078423E"/>
    <w:rsid w:val="00793F0C"/>
    <w:rsid w:val="0079720B"/>
    <w:rsid w:val="007A4E4C"/>
    <w:rsid w:val="007B78F6"/>
    <w:rsid w:val="007E530B"/>
    <w:rsid w:val="007F5119"/>
    <w:rsid w:val="00800B6E"/>
    <w:rsid w:val="00811A79"/>
    <w:rsid w:val="00820099"/>
    <w:rsid w:val="0082236D"/>
    <w:rsid w:val="00832C6B"/>
    <w:rsid w:val="00833C86"/>
    <w:rsid w:val="00835A37"/>
    <w:rsid w:val="00841BEF"/>
    <w:rsid w:val="008425E5"/>
    <w:rsid w:val="00842E1C"/>
    <w:rsid w:val="00843E5D"/>
    <w:rsid w:val="00863E43"/>
    <w:rsid w:val="008662AC"/>
    <w:rsid w:val="00867660"/>
    <w:rsid w:val="008A40AF"/>
    <w:rsid w:val="008D5543"/>
    <w:rsid w:val="008E0A01"/>
    <w:rsid w:val="008F6D60"/>
    <w:rsid w:val="00906DEE"/>
    <w:rsid w:val="00912DC1"/>
    <w:rsid w:val="00916E30"/>
    <w:rsid w:val="00925EC4"/>
    <w:rsid w:val="00932FA2"/>
    <w:rsid w:val="00933F13"/>
    <w:rsid w:val="0095317E"/>
    <w:rsid w:val="009817C6"/>
    <w:rsid w:val="00985FAC"/>
    <w:rsid w:val="009860DB"/>
    <w:rsid w:val="00991786"/>
    <w:rsid w:val="009919EC"/>
    <w:rsid w:val="009A1ECE"/>
    <w:rsid w:val="009B0034"/>
    <w:rsid w:val="009D6F90"/>
    <w:rsid w:val="009E41EC"/>
    <w:rsid w:val="009E733C"/>
    <w:rsid w:val="009F4405"/>
    <w:rsid w:val="009F508E"/>
    <w:rsid w:val="009F5D24"/>
    <w:rsid w:val="00A16C8F"/>
    <w:rsid w:val="00A24089"/>
    <w:rsid w:val="00A250C0"/>
    <w:rsid w:val="00A262B0"/>
    <w:rsid w:val="00A520FF"/>
    <w:rsid w:val="00A60947"/>
    <w:rsid w:val="00A64B11"/>
    <w:rsid w:val="00A87B98"/>
    <w:rsid w:val="00AA6E45"/>
    <w:rsid w:val="00AA7833"/>
    <w:rsid w:val="00AA7872"/>
    <w:rsid w:val="00AB43F2"/>
    <w:rsid w:val="00AB7000"/>
    <w:rsid w:val="00AC6C20"/>
    <w:rsid w:val="00AF0115"/>
    <w:rsid w:val="00B0158A"/>
    <w:rsid w:val="00B06D1C"/>
    <w:rsid w:val="00B12CE0"/>
    <w:rsid w:val="00B330FA"/>
    <w:rsid w:val="00B43AE0"/>
    <w:rsid w:val="00B500E8"/>
    <w:rsid w:val="00B55F89"/>
    <w:rsid w:val="00B63A6B"/>
    <w:rsid w:val="00B71F5D"/>
    <w:rsid w:val="00B8610B"/>
    <w:rsid w:val="00B867CD"/>
    <w:rsid w:val="00B9251E"/>
    <w:rsid w:val="00BA7E9A"/>
    <w:rsid w:val="00BC0B2D"/>
    <w:rsid w:val="00BC6279"/>
    <w:rsid w:val="00BE56E8"/>
    <w:rsid w:val="00BF089A"/>
    <w:rsid w:val="00BF79FD"/>
    <w:rsid w:val="00C02C6C"/>
    <w:rsid w:val="00C13090"/>
    <w:rsid w:val="00C25FD7"/>
    <w:rsid w:val="00C26B88"/>
    <w:rsid w:val="00C377A9"/>
    <w:rsid w:val="00C441CC"/>
    <w:rsid w:val="00C52ADD"/>
    <w:rsid w:val="00C6618C"/>
    <w:rsid w:val="00C73E2E"/>
    <w:rsid w:val="00C748A6"/>
    <w:rsid w:val="00C82CDD"/>
    <w:rsid w:val="00C84F7F"/>
    <w:rsid w:val="00C87B21"/>
    <w:rsid w:val="00C90828"/>
    <w:rsid w:val="00C919AE"/>
    <w:rsid w:val="00C946CB"/>
    <w:rsid w:val="00CA1F38"/>
    <w:rsid w:val="00CA481A"/>
    <w:rsid w:val="00CB6446"/>
    <w:rsid w:val="00CD041E"/>
    <w:rsid w:val="00CF0E3E"/>
    <w:rsid w:val="00CF3AE6"/>
    <w:rsid w:val="00CF4A04"/>
    <w:rsid w:val="00D16977"/>
    <w:rsid w:val="00D31974"/>
    <w:rsid w:val="00D34075"/>
    <w:rsid w:val="00D35F5F"/>
    <w:rsid w:val="00D373CE"/>
    <w:rsid w:val="00D43EE2"/>
    <w:rsid w:val="00D501D0"/>
    <w:rsid w:val="00D60D2C"/>
    <w:rsid w:val="00D63529"/>
    <w:rsid w:val="00D65C73"/>
    <w:rsid w:val="00D97A7B"/>
    <w:rsid w:val="00DB37E2"/>
    <w:rsid w:val="00DB3905"/>
    <w:rsid w:val="00DD0309"/>
    <w:rsid w:val="00DD1A4E"/>
    <w:rsid w:val="00DE5932"/>
    <w:rsid w:val="00E0253B"/>
    <w:rsid w:val="00E3096A"/>
    <w:rsid w:val="00E315B1"/>
    <w:rsid w:val="00E44804"/>
    <w:rsid w:val="00E5074D"/>
    <w:rsid w:val="00E5357F"/>
    <w:rsid w:val="00E93736"/>
    <w:rsid w:val="00EA470C"/>
    <w:rsid w:val="00EB3EF5"/>
    <w:rsid w:val="00EC0F8C"/>
    <w:rsid w:val="00EC1743"/>
    <w:rsid w:val="00EE49C6"/>
    <w:rsid w:val="00EF2AF9"/>
    <w:rsid w:val="00F05F42"/>
    <w:rsid w:val="00F066E2"/>
    <w:rsid w:val="00F15921"/>
    <w:rsid w:val="00F25D6B"/>
    <w:rsid w:val="00F37776"/>
    <w:rsid w:val="00F555DA"/>
    <w:rsid w:val="00F6262C"/>
    <w:rsid w:val="00F62759"/>
    <w:rsid w:val="00FB3FAC"/>
    <w:rsid w:val="00FB607A"/>
    <w:rsid w:val="00FB630B"/>
    <w:rsid w:val="00FD1359"/>
    <w:rsid w:val="00FD5570"/>
    <w:rsid w:val="00FE0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E61163-E583-4442-BC89-76F114DCA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03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spacing1">
    <w:name w:val="nospacing1"/>
    <w:basedOn w:val="Normal"/>
    <w:rsid w:val="001F3FB9"/>
    <w:pPr>
      <w:spacing w:before="100" w:beforeAutospacing="1" w:after="100" w:afterAutospacing="1"/>
    </w:pPr>
    <w:rPr>
      <w:rFonts w:eastAsia="Times New Roman" w:cs="Times New Roman"/>
      <w:szCs w:val="24"/>
    </w:rPr>
  </w:style>
  <w:style w:type="character" w:styleId="Hyperlink">
    <w:name w:val="Hyperlink"/>
    <w:basedOn w:val="DefaultParagraphFont"/>
    <w:uiPriority w:val="99"/>
    <w:unhideWhenUsed/>
    <w:rsid w:val="0064553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4846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846A5"/>
  </w:style>
  <w:style w:type="paragraph" w:styleId="Footer">
    <w:name w:val="footer"/>
    <w:basedOn w:val="Normal"/>
    <w:link w:val="FooterChar"/>
    <w:uiPriority w:val="99"/>
    <w:semiHidden/>
    <w:unhideWhenUsed/>
    <w:rsid w:val="004846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846A5"/>
  </w:style>
  <w:style w:type="paragraph" w:styleId="BalloonText">
    <w:name w:val="Balloon Text"/>
    <w:basedOn w:val="Normal"/>
    <w:link w:val="BalloonTextChar"/>
    <w:uiPriority w:val="99"/>
    <w:semiHidden/>
    <w:unhideWhenUsed/>
    <w:rsid w:val="004846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6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8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knobloc@purdue.ed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drmwelsh@umd.ed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4</Pages>
  <Words>1738</Words>
  <Characters>9822</Characters>
  <Application>Microsoft Office Word</Application>
  <DocSecurity>0</DocSecurity>
  <Lines>233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Knobloch, Neil A</dc:creator>
  <cp:lastModifiedBy>Knobloch, Neil A</cp:lastModifiedBy>
  <cp:revision>3</cp:revision>
  <cp:lastPrinted>2012-02-16T18:36:00Z</cp:lastPrinted>
  <dcterms:created xsi:type="dcterms:W3CDTF">2015-02-28T01:38:00Z</dcterms:created>
  <dcterms:modified xsi:type="dcterms:W3CDTF">2015-02-28T03:52:00Z</dcterms:modified>
</cp:coreProperties>
</file>