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0FCE" w:rsidRPr="00E00FCE" w:rsidRDefault="00E00FCE" w:rsidP="00E00FCE">
      <w:pPr>
        <w:pStyle w:val="Title"/>
        <w:rPr>
          <w:rFonts w:cs="Times New Roman"/>
          <w:szCs w:val="24"/>
        </w:rPr>
      </w:pPr>
      <w:r w:rsidRPr="00E00FCE">
        <w:rPr>
          <w:rFonts w:cs="Times New Roman"/>
          <w:bCs w:val="0"/>
          <w:szCs w:val="24"/>
        </w:rPr>
        <w:t>Aligning the Educational Foci in a College of Agriculture</w:t>
      </w:r>
      <w:r w:rsidRPr="00E00FCE">
        <w:rPr>
          <w:rFonts w:cs="Times New Roman"/>
          <w:bCs w:val="0"/>
          <w:noProof/>
          <w:szCs w:val="24"/>
        </w:rPr>
        <w:t>: Gaining Student Feedback</w:t>
      </w:r>
    </w:p>
    <w:p w:rsidR="00E00FCE" w:rsidRPr="00E00FCE" w:rsidRDefault="00E00FCE" w:rsidP="00E00FCE">
      <w:pPr>
        <w:pStyle w:val="Title"/>
        <w:rPr>
          <w:rFonts w:cs="Times New Roman"/>
          <w:b w:val="0"/>
          <w:szCs w:val="24"/>
        </w:rPr>
      </w:pPr>
    </w:p>
    <w:p w:rsidR="00E00FCE" w:rsidRPr="00E00FCE" w:rsidRDefault="00E00FCE" w:rsidP="00E00FCE">
      <w:pPr>
        <w:pStyle w:val="Title"/>
        <w:rPr>
          <w:rFonts w:cs="Times New Roman"/>
          <w:b w:val="0"/>
          <w:szCs w:val="24"/>
        </w:rPr>
      </w:pPr>
      <w:r w:rsidRPr="00E00FCE">
        <w:rPr>
          <w:rFonts w:cs="Times New Roman"/>
          <w:b w:val="0"/>
          <w:szCs w:val="24"/>
        </w:rPr>
        <w:t xml:space="preserve">M’Randa R. Sandlin </w:t>
      </w:r>
    </w:p>
    <w:p w:rsidR="00E00FCE" w:rsidRPr="00E00FCE" w:rsidRDefault="00E00FCE" w:rsidP="00E00FCE">
      <w:pPr>
        <w:pStyle w:val="Title"/>
        <w:rPr>
          <w:rFonts w:cs="Times New Roman"/>
          <w:b w:val="0"/>
          <w:szCs w:val="24"/>
        </w:rPr>
      </w:pPr>
      <w:r w:rsidRPr="00E00FCE">
        <w:rPr>
          <w:rFonts w:cs="Times New Roman"/>
          <w:b w:val="0"/>
          <w:szCs w:val="24"/>
        </w:rPr>
        <w:t>Department of Tropical Plant &amp; Soil Sciences</w:t>
      </w:r>
    </w:p>
    <w:p w:rsidR="00E00FCE" w:rsidRPr="00E00FCE" w:rsidRDefault="00E00FCE" w:rsidP="00E00FCE">
      <w:pPr>
        <w:pStyle w:val="Title"/>
        <w:rPr>
          <w:rFonts w:cs="Times New Roman"/>
          <w:b w:val="0"/>
          <w:szCs w:val="24"/>
        </w:rPr>
      </w:pPr>
      <w:r w:rsidRPr="00E00FCE">
        <w:rPr>
          <w:rFonts w:cs="Times New Roman"/>
          <w:b w:val="0"/>
          <w:szCs w:val="24"/>
        </w:rPr>
        <w:t>University of Hawai‘i at Mānoa</w:t>
      </w:r>
    </w:p>
    <w:p w:rsidR="00E00FCE" w:rsidRPr="00E00FCE" w:rsidRDefault="00E00FCE" w:rsidP="00E00FCE">
      <w:pPr>
        <w:pStyle w:val="Title"/>
        <w:rPr>
          <w:rFonts w:cs="Times New Roman"/>
          <w:b w:val="0"/>
          <w:szCs w:val="24"/>
        </w:rPr>
      </w:pPr>
      <w:r w:rsidRPr="00E00FCE">
        <w:rPr>
          <w:rFonts w:cs="Times New Roman"/>
          <w:b w:val="0"/>
          <w:szCs w:val="24"/>
        </w:rPr>
        <w:t xml:space="preserve">3190 </w:t>
      </w:r>
      <w:proofErr w:type="spellStart"/>
      <w:r w:rsidRPr="00E00FCE">
        <w:rPr>
          <w:rFonts w:cs="Times New Roman"/>
          <w:b w:val="0"/>
          <w:szCs w:val="24"/>
        </w:rPr>
        <w:t>Maile</w:t>
      </w:r>
      <w:proofErr w:type="spellEnd"/>
      <w:r w:rsidRPr="00E00FCE">
        <w:rPr>
          <w:rFonts w:cs="Times New Roman"/>
          <w:b w:val="0"/>
          <w:szCs w:val="24"/>
        </w:rPr>
        <w:t xml:space="preserve"> Way, St. John 102</w:t>
      </w:r>
    </w:p>
    <w:p w:rsidR="00E00FCE" w:rsidRPr="00E00FCE" w:rsidRDefault="00E00FCE" w:rsidP="00E00FCE">
      <w:pPr>
        <w:pStyle w:val="Title"/>
        <w:rPr>
          <w:rFonts w:cs="Times New Roman"/>
          <w:b w:val="0"/>
          <w:szCs w:val="24"/>
        </w:rPr>
      </w:pPr>
      <w:r w:rsidRPr="00E00FCE">
        <w:rPr>
          <w:rFonts w:cs="Times New Roman"/>
          <w:b w:val="0"/>
          <w:szCs w:val="24"/>
        </w:rPr>
        <w:t>Honolulu, HI  96822-2279</w:t>
      </w:r>
    </w:p>
    <w:p w:rsidR="00E00FCE" w:rsidRPr="00E00FCE" w:rsidRDefault="00E00FCE" w:rsidP="00E00FCE">
      <w:pPr>
        <w:pStyle w:val="Title"/>
        <w:rPr>
          <w:rFonts w:cs="Times New Roman"/>
          <w:b w:val="0"/>
          <w:szCs w:val="24"/>
        </w:rPr>
      </w:pPr>
      <w:r w:rsidRPr="00E00FCE">
        <w:rPr>
          <w:rFonts w:cs="Times New Roman"/>
          <w:b w:val="0"/>
          <w:szCs w:val="24"/>
        </w:rPr>
        <w:t>808-956-7232</w:t>
      </w:r>
    </w:p>
    <w:p w:rsidR="00E00FCE" w:rsidRPr="00E00FCE" w:rsidRDefault="00E00FCE" w:rsidP="00E00FCE">
      <w:pPr>
        <w:pStyle w:val="ListParagraph"/>
        <w:spacing w:after="0" w:line="240" w:lineRule="auto"/>
        <w:ind w:left="0"/>
        <w:jc w:val="center"/>
        <w:rPr>
          <w:rFonts w:ascii="Times New Roman" w:hAnsi="Times New Roman"/>
          <w:bCs/>
          <w:sz w:val="24"/>
          <w:szCs w:val="24"/>
        </w:rPr>
      </w:pPr>
      <w:r w:rsidRPr="00E00FCE">
        <w:rPr>
          <w:rFonts w:ascii="Times New Roman" w:hAnsi="Times New Roman"/>
          <w:sz w:val="24"/>
          <w:szCs w:val="24"/>
        </w:rPr>
        <w:t>msandlin@hawaii.edu</w:t>
      </w:r>
    </w:p>
    <w:p w:rsidR="00E00FCE" w:rsidRDefault="00E00FCE" w:rsidP="00E00FCE">
      <w:pPr>
        <w:pStyle w:val="ListParagraph"/>
        <w:spacing w:after="0" w:line="240" w:lineRule="auto"/>
        <w:ind w:left="0"/>
        <w:jc w:val="center"/>
        <w:rPr>
          <w:rFonts w:ascii="Times New Roman" w:hAnsi="Times New Roman"/>
          <w:b/>
          <w:bCs/>
          <w:sz w:val="24"/>
          <w:szCs w:val="24"/>
        </w:rPr>
      </w:pPr>
    </w:p>
    <w:p w:rsidR="00E00FCE" w:rsidRPr="00E00FCE" w:rsidRDefault="00E00FCE" w:rsidP="00E00FCE">
      <w:pPr>
        <w:pStyle w:val="ListParagraph"/>
        <w:spacing w:after="0" w:line="240" w:lineRule="auto"/>
        <w:ind w:left="0"/>
        <w:jc w:val="center"/>
        <w:rPr>
          <w:rFonts w:ascii="Times New Roman" w:hAnsi="Times New Roman"/>
          <w:b/>
          <w:bCs/>
          <w:sz w:val="24"/>
          <w:szCs w:val="24"/>
        </w:rPr>
      </w:pPr>
    </w:p>
    <w:p w:rsidR="00E00FCE" w:rsidRPr="00E00FCE" w:rsidRDefault="00E00FCE" w:rsidP="00E00FCE">
      <w:pPr>
        <w:pStyle w:val="ListParagraph"/>
        <w:spacing w:after="0" w:line="240" w:lineRule="auto"/>
        <w:ind w:left="0"/>
        <w:jc w:val="center"/>
        <w:rPr>
          <w:rFonts w:ascii="Times New Roman" w:hAnsi="Times New Roman"/>
          <w:sz w:val="24"/>
          <w:szCs w:val="24"/>
        </w:rPr>
      </w:pPr>
      <w:proofErr w:type="spellStart"/>
      <w:r w:rsidRPr="00E00FCE">
        <w:rPr>
          <w:rFonts w:ascii="Times New Roman" w:hAnsi="Times New Roman"/>
          <w:sz w:val="24"/>
          <w:szCs w:val="24"/>
        </w:rPr>
        <w:t>Kahaui</w:t>
      </w:r>
      <w:proofErr w:type="spellEnd"/>
      <w:r w:rsidRPr="00E00FCE">
        <w:rPr>
          <w:rFonts w:ascii="Times New Roman" w:hAnsi="Times New Roman"/>
          <w:sz w:val="24"/>
          <w:szCs w:val="24"/>
        </w:rPr>
        <w:t xml:space="preserve"> Perez</w:t>
      </w:r>
    </w:p>
    <w:p w:rsidR="00E00FCE" w:rsidRPr="00E00FCE" w:rsidRDefault="00E00FCE" w:rsidP="00E00FCE">
      <w:pPr>
        <w:pStyle w:val="ListParagraph"/>
        <w:spacing w:after="0" w:line="240" w:lineRule="auto"/>
        <w:ind w:left="0"/>
        <w:jc w:val="center"/>
        <w:rPr>
          <w:rFonts w:ascii="Times New Roman" w:hAnsi="Times New Roman"/>
          <w:bCs/>
          <w:sz w:val="24"/>
          <w:szCs w:val="24"/>
        </w:rPr>
      </w:pPr>
      <w:r w:rsidRPr="00E00FCE">
        <w:rPr>
          <w:rFonts w:ascii="Times New Roman" w:hAnsi="Times New Roman"/>
          <w:sz w:val="24"/>
          <w:szCs w:val="24"/>
        </w:rPr>
        <w:t>Department of Tropical Plant &amp; Soil Sciences</w:t>
      </w:r>
    </w:p>
    <w:p w:rsidR="00E00FCE" w:rsidRPr="00E00FCE" w:rsidRDefault="00E00FCE" w:rsidP="00E00FCE">
      <w:pPr>
        <w:pStyle w:val="Title"/>
        <w:rPr>
          <w:rFonts w:cs="Times New Roman"/>
          <w:b w:val="0"/>
          <w:szCs w:val="24"/>
        </w:rPr>
      </w:pPr>
      <w:r w:rsidRPr="00E00FCE">
        <w:rPr>
          <w:rFonts w:cs="Times New Roman"/>
          <w:b w:val="0"/>
          <w:szCs w:val="24"/>
        </w:rPr>
        <w:t>University of Hawai‘i at Mānoa</w:t>
      </w:r>
    </w:p>
    <w:p w:rsidR="00E00FCE" w:rsidRPr="00E00FCE" w:rsidRDefault="00E00FCE" w:rsidP="00E00FCE">
      <w:pPr>
        <w:pStyle w:val="Title"/>
        <w:rPr>
          <w:rFonts w:cs="Times New Roman"/>
          <w:b w:val="0"/>
          <w:szCs w:val="24"/>
        </w:rPr>
      </w:pPr>
      <w:r w:rsidRPr="00E00FCE">
        <w:rPr>
          <w:rFonts w:cs="Times New Roman"/>
          <w:b w:val="0"/>
          <w:szCs w:val="24"/>
        </w:rPr>
        <w:t xml:space="preserve">3190 </w:t>
      </w:r>
      <w:proofErr w:type="spellStart"/>
      <w:r w:rsidRPr="00E00FCE">
        <w:rPr>
          <w:rFonts w:cs="Times New Roman"/>
          <w:b w:val="0"/>
          <w:szCs w:val="24"/>
        </w:rPr>
        <w:t>Maile</w:t>
      </w:r>
      <w:proofErr w:type="spellEnd"/>
      <w:r w:rsidRPr="00E00FCE">
        <w:rPr>
          <w:rFonts w:cs="Times New Roman"/>
          <w:b w:val="0"/>
          <w:szCs w:val="24"/>
        </w:rPr>
        <w:t xml:space="preserve"> Way, St. John 102</w:t>
      </w:r>
    </w:p>
    <w:p w:rsidR="00E00FCE" w:rsidRPr="00E00FCE" w:rsidRDefault="00E00FCE" w:rsidP="00E00FCE">
      <w:pPr>
        <w:pStyle w:val="Title"/>
        <w:rPr>
          <w:rFonts w:cs="Times New Roman"/>
          <w:b w:val="0"/>
          <w:szCs w:val="24"/>
        </w:rPr>
      </w:pPr>
      <w:r w:rsidRPr="00E00FCE">
        <w:rPr>
          <w:rFonts w:cs="Times New Roman"/>
          <w:b w:val="0"/>
          <w:szCs w:val="24"/>
        </w:rPr>
        <w:t>Honolulu, HI  96822-2279</w:t>
      </w:r>
    </w:p>
    <w:p w:rsidR="00E00FCE" w:rsidRPr="00E00FCE" w:rsidRDefault="00E00FCE" w:rsidP="00E00FCE">
      <w:pPr>
        <w:pStyle w:val="Title"/>
        <w:rPr>
          <w:rFonts w:cs="Times New Roman"/>
          <w:b w:val="0"/>
          <w:szCs w:val="24"/>
        </w:rPr>
      </w:pPr>
      <w:r w:rsidRPr="00E00FCE">
        <w:rPr>
          <w:rFonts w:cs="Times New Roman"/>
          <w:b w:val="0"/>
          <w:szCs w:val="24"/>
        </w:rPr>
        <w:t>808-956-7232</w:t>
      </w:r>
    </w:p>
    <w:p w:rsidR="00E00FCE" w:rsidRPr="00E00FCE" w:rsidRDefault="00E00FCE" w:rsidP="00E00FCE">
      <w:pPr>
        <w:pStyle w:val="ListParagraph"/>
        <w:spacing w:after="0" w:line="240" w:lineRule="auto"/>
        <w:ind w:left="0"/>
        <w:jc w:val="center"/>
        <w:rPr>
          <w:rFonts w:ascii="Times New Roman" w:hAnsi="Times New Roman"/>
          <w:bCs/>
          <w:sz w:val="24"/>
          <w:szCs w:val="24"/>
        </w:rPr>
      </w:pPr>
      <w:r>
        <w:rPr>
          <w:rFonts w:ascii="Times New Roman" w:hAnsi="Times New Roman"/>
          <w:sz w:val="24"/>
          <w:szCs w:val="24"/>
        </w:rPr>
        <w:t>perezk@ctahr.hawaii.edu</w:t>
      </w:r>
      <w:bookmarkStart w:id="0" w:name="_GoBack"/>
      <w:bookmarkEnd w:id="0"/>
    </w:p>
    <w:p w:rsidR="00421A33" w:rsidRPr="00E00FCE" w:rsidRDefault="00E00FCE" w:rsidP="00E00FCE">
      <w:pPr>
        <w:pStyle w:val="ListParagraph"/>
        <w:spacing w:after="0" w:line="240" w:lineRule="auto"/>
        <w:ind w:left="0"/>
        <w:jc w:val="center"/>
        <w:rPr>
          <w:rFonts w:ascii="Times New Roman" w:hAnsi="Times New Roman"/>
          <w:b/>
          <w:sz w:val="24"/>
          <w:szCs w:val="24"/>
        </w:rPr>
      </w:pPr>
      <w:r w:rsidRPr="00E00FCE">
        <w:rPr>
          <w:rFonts w:ascii="Times New Roman" w:hAnsi="Times New Roman"/>
          <w:b/>
          <w:bCs/>
          <w:sz w:val="24"/>
          <w:szCs w:val="24"/>
        </w:rPr>
        <w:br w:type="column"/>
      </w:r>
      <w:r w:rsidR="00421A33" w:rsidRPr="00E00FCE">
        <w:rPr>
          <w:rFonts w:ascii="Times New Roman" w:hAnsi="Times New Roman"/>
          <w:b/>
          <w:bCs/>
          <w:sz w:val="24"/>
          <w:szCs w:val="24"/>
        </w:rPr>
        <w:lastRenderedPageBreak/>
        <w:t>Aligning the Educational Foci in a College of Agriculture</w:t>
      </w:r>
      <w:r w:rsidR="00421A33" w:rsidRPr="00E00FCE">
        <w:rPr>
          <w:rFonts w:ascii="Times New Roman" w:hAnsi="Times New Roman"/>
          <w:b/>
          <w:bCs/>
          <w:noProof/>
          <w:sz w:val="24"/>
          <w:szCs w:val="24"/>
        </w:rPr>
        <w:t>: Gaining Student Feedback</w:t>
      </w:r>
    </w:p>
    <w:p w:rsidR="00421A33" w:rsidRPr="00E00FCE" w:rsidRDefault="00421A33" w:rsidP="0043554E">
      <w:pPr>
        <w:jc w:val="center"/>
      </w:pPr>
    </w:p>
    <w:p w:rsidR="00421A33" w:rsidRPr="00E00FCE" w:rsidRDefault="00421A33" w:rsidP="0043554E">
      <w:pPr>
        <w:jc w:val="center"/>
        <w:rPr>
          <w:b/>
        </w:rPr>
      </w:pPr>
      <w:r w:rsidRPr="00E00FCE">
        <w:rPr>
          <w:b/>
        </w:rPr>
        <w:t>Introduction</w:t>
      </w:r>
    </w:p>
    <w:p w:rsidR="00421A33" w:rsidRPr="00E00FCE" w:rsidRDefault="00421A33" w:rsidP="0043554E">
      <w:r w:rsidRPr="00E00FCE">
        <w:tab/>
        <w:t xml:space="preserve">New educational approaches are constantly being introduced to increase student learning. Reform efforts have been made through curriculum creation and changes (Lambert, Velez, &amp; Elliott, 2014; </w:t>
      </w:r>
      <w:proofErr w:type="spellStart"/>
      <w:r w:rsidRPr="00E00FCE">
        <w:t>Warnick</w:t>
      </w:r>
      <w:proofErr w:type="spellEnd"/>
      <w:r w:rsidRPr="00E00FCE">
        <w:t xml:space="preserve">, Thompson, &amp; Gummer, 2004), delivery methods (Sandlin, </w:t>
      </w:r>
      <w:proofErr w:type="spellStart"/>
      <w:r w:rsidRPr="00E00FCE">
        <w:t>Murphrey</w:t>
      </w:r>
      <w:proofErr w:type="spellEnd"/>
      <w:r w:rsidRPr="00E00FCE">
        <w:t xml:space="preserve">, Lindner, &amp; Dooley, 2013; Williams, Warner, Flowers, &amp; </w:t>
      </w:r>
      <w:proofErr w:type="spellStart"/>
      <w:r w:rsidRPr="00E00FCE">
        <w:t>Croom</w:t>
      </w:r>
      <w:proofErr w:type="spellEnd"/>
      <w:r w:rsidRPr="00E00FCE">
        <w:t xml:space="preserve">, 2014), educator professional development (Shoulders &amp; Myers, 2014), and more. One notable addition to this list was student inclusion in the educational decision making process (Levin, 2000; </w:t>
      </w:r>
      <w:proofErr w:type="spellStart"/>
      <w:r w:rsidRPr="00E00FCE">
        <w:t>Platz</w:t>
      </w:r>
      <w:proofErr w:type="spellEnd"/>
      <w:r w:rsidRPr="00E00FCE">
        <w:t>, 1994). Levin (2000) argued that “education reform cannot succeed and should not proceed without much more direct involvement of students in all its aspects” (p. 155). Historically, agricultural education fosters student engagement in the education process (Dyer &amp; Osborne, 1996) and requires agriculture students to think and act on an interdisciplinary, system-level (</w:t>
      </w:r>
      <w:proofErr w:type="spellStart"/>
      <w:r w:rsidRPr="00E00FCE">
        <w:t>Bawden</w:t>
      </w:r>
      <w:proofErr w:type="spellEnd"/>
      <w:r w:rsidRPr="00E00FCE">
        <w:t>, 1991).</w:t>
      </w:r>
    </w:p>
    <w:p w:rsidR="00421A33" w:rsidRPr="00E00FCE" w:rsidRDefault="00421A33" w:rsidP="0043554E">
      <w:r w:rsidRPr="00E00FCE">
        <w:tab/>
        <w:t xml:space="preserve">As part of the strategic planning process, administration and faculty in </w:t>
      </w:r>
      <w:r w:rsidR="00FD5981" w:rsidRPr="00E00FCE">
        <w:t>the College of Tropical Agriculture and Human Resources (CTAHR)</w:t>
      </w:r>
      <w:r w:rsidRPr="00E00FCE">
        <w:t xml:space="preserve"> developed four educational foci to describe the primary areas in which students are trained as life-long learners</w:t>
      </w:r>
      <w:r w:rsidR="00183B0C" w:rsidRPr="00E00FCE">
        <w:t xml:space="preserve"> in</w:t>
      </w:r>
      <w:r w:rsidRPr="00E00FCE">
        <w:t xml:space="preserve"> </w:t>
      </w:r>
      <w:r w:rsidR="00FD5981" w:rsidRPr="00E00FCE">
        <w:t>CTAHR</w:t>
      </w:r>
      <w:r w:rsidRPr="00E00FCE">
        <w:t xml:space="preserve">. These foci, in part, are meant to present programs in </w:t>
      </w:r>
      <w:r w:rsidR="00FD5981" w:rsidRPr="00E00FCE">
        <w:t>CTAHR</w:t>
      </w:r>
      <w:r w:rsidRPr="00E00FCE">
        <w:t xml:space="preserve"> in a broader, interdisciplinary format and attract potential students. To promote student involvement in the academic planning process, administration and faculty sought student opinions of the foci, gained student perceptions on how the foci can be used, and explored student-vetted titles for each focus.</w:t>
      </w:r>
    </w:p>
    <w:p w:rsidR="00421A33" w:rsidRPr="00E00FCE" w:rsidRDefault="00421A33" w:rsidP="0043554E">
      <w:pPr>
        <w:jc w:val="center"/>
        <w:rPr>
          <w:b/>
        </w:rPr>
      </w:pPr>
      <w:r w:rsidRPr="00E00FCE">
        <w:rPr>
          <w:b/>
        </w:rPr>
        <w:t>Conceptual framework</w:t>
      </w:r>
    </w:p>
    <w:p w:rsidR="00421A33" w:rsidRPr="00E00FCE" w:rsidRDefault="00421A33" w:rsidP="00A0089D">
      <w:r w:rsidRPr="00E00FCE">
        <w:tab/>
        <w:t xml:space="preserve">The framework for this study is the andragogical process model (Knowles, Holton, &amp; Swanson, 2011). This model allows for the instructor to plan/carry out needs assessments, implement, and evaluate in a collaborative effort with the learners. </w:t>
      </w:r>
      <w:r w:rsidRPr="00E00FCE" w:rsidDel="00D37171">
        <w:t xml:space="preserve">Specifically, this study is focused on the planning stage of the process model. </w:t>
      </w:r>
      <w:r w:rsidRPr="00E00FCE">
        <w:t>This type of involvement creates motivation, ownership, and a more relevant experience for the learner (Knowles et al., 2011). This is supported by Priority 4-</w:t>
      </w:r>
      <w:r w:rsidRPr="00E00FCE">
        <w:rPr>
          <w:rFonts w:eastAsia="Times New Roman"/>
        </w:rPr>
        <w:t xml:space="preserve">Meaningful, Engaged Learning in All Environments </w:t>
      </w:r>
      <w:r w:rsidRPr="00E00FCE">
        <w:t>and Priority 5-Efficient Effective Agricultural Programs of the American Association for Agricultural Educator’s (AAAE) National Research Agenda (</w:t>
      </w:r>
      <w:proofErr w:type="spellStart"/>
      <w:r w:rsidRPr="00E00FCE">
        <w:t>Doerfert</w:t>
      </w:r>
      <w:proofErr w:type="spellEnd"/>
      <w:r w:rsidRPr="00E00FCE">
        <w:t xml:space="preserve">, 2011). </w:t>
      </w:r>
    </w:p>
    <w:p w:rsidR="00421A33" w:rsidRPr="00E00FCE" w:rsidRDefault="00421A33" w:rsidP="0043554E">
      <w:pPr>
        <w:jc w:val="center"/>
        <w:rPr>
          <w:b/>
        </w:rPr>
      </w:pPr>
      <w:r w:rsidRPr="00E00FCE">
        <w:rPr>
          <w:b/>
        </w:rPr>
        <w:t>Methodology</w:t>
      </w:r>
    </w:p>
    <w:p w:rsidR="00421A33" w:rsidRPr="00E00FCE" w:rsidRDefault="00421A33" w:rsidP="0043554E">
      <w:pPr>
        <w:pStyle w:val="ListParagraph"/>
        <w:spacing w:after="0" w:line="240" w:lineRule="auto"/>
        <w:ind w:left="0"/>
        <w:rPr>
          <w:rFonts w:ascii="Times New Roman" w:hAnsi="Times New Roman"/>
          <w:sz w:val="24"/>
          <w:szCs w:val="24"/>
        </w:rPr>
      </w:pPr>
      <w:r w:rsidRPr="00E00FCE">
        <w:rPr>
          <w:rFonts w:ascii="Times New Roman" w:hAnsi="Times New Roman"/>
          <w:sz w:val="24"/>
          <w:szCs w:val="24"/>
        </w:rPr>
        <w:tab/>
        <w:t xml:space="preserve">Data were collected according to focus group methods. Students were purposefully chosen (Lincoln &amp; </w:t>
      </w:r>
      <w:proofErr w:type="spellStart"/>
      <w:r w:rsidRPr="00E00FCE">
        <w:rPr>
          <w:rFonts w:ascii="Times New Roman" w:hAnsi="Times New Roman"/>
          <w:sz w:val="24"/>
          <w:szCs w:val="24"/>
        </w:rPr>
        <w:t>Guba</w:t>
      </w:r>
      <w:proofErr w:type="spellEnd"/>
      <w:r w:rsidRPr="00E00FCE">
        <w:rPr>
          <w:rFonts w:ascii="Times New Roman" w:hAnsi="Times New Roman"/>
          <w:sz w:val="24"/>
          <w:szCs w:val="24"/>
        </w:rPr>
        <w:t>, 1985) to represent the</w:t>
      </w:r>
      <w:r w:rsidR="00B1629E" w:rsidRPr="00E00FCE">
        <w:rPr>
          <w:rFonts w:ascii="Times New Roman" w:hAnsi="Times New Roman"/>
          <w:sz w:val="24"/>
          <w:szCs w:val="24"/>
        </w:rPr>
        <w:t xml:space="preserve"> undergraduate population of</w:t>
      </w:r>
      <w:r w:rsidRPr="00E00FCE">
        <w:rPr>
          <w:rFonts w:ascii="Times New Roman" w:hAnsi="Times New Roman"/>
          <w:sz w:val="24"/>
          <w:szCs w:val="24"/>
        </w:rPr>
        <w:t xml:space="preserve"> </w:t>
      </w:r>
      <w:r w:rsidR="00FD5981" w:rsidRPr="00E00FCE">
        <w:rPr>
          <w:rFonts w:ascii="Times New Roman" w:hAnsi="Times New Roman"/>
          <w:sz w:val="24"/>
          <w:szCs w:val="24"/>
        </w:rPr>
        <w:t>CTAHR</w:t>
      </w:r>
      <w:r w:rsidRPr="00E00FCE">
        <w:rPr>
          <w:rFonts w:ascii="Times New Roman" w:hAnsi="Times New Roman"/>
          <w:sz w:val="24"/>
          <w:szCs w:val="24"/>
        </w:rPr>
        <w:t xml:space="preserve"> at</w:t>
      </w:r>
      <w:r w:rsidR="00B1629E" w:rsidRPr="00E00FCE">
        <w:rPr>
          <w:rFonts w:ascii="Times New Roman" w:hAnsi="Times New Roman"/>
          <w:sz w:val="24"/>
          <w:szCs w:val="24"/>
        </w:rPr>
        <w:t xml:space="preserve"> the University of Hawai’i at Mānoa</w:t>
      </w:r>
      <w:r w:rsidRPr="00E00FCE">
        <w:rPr>
          <w:rFonts w:ascii="Times New Roman" w:hAnsi="Times New Roman"/>
          <w:sz w:val="24"/>
          <w:szCs w:val="24"/>
        </w:rPr>
        <w:t xml:space="preserve">. Participants were enrolled as undergraduate, degree-seeking students in </w:t>
      </w:r>
      <w:r w:rsidR="00FD5981" w:rsidRPr="00E00FCE">
        <w:rPr>
          <w:rFonts w:ascii="Times New Roman" w:hAnsi="Times New Roman"/>
          <w:sz w:val="24"/>
          <w:szCs w:val="24"/>
        </w:rPr>
        <w:t>CTAHR</w:t>
      </w:r>
      <w:r w:rsidRPr="00E00FCE">
        <w:rPr>
          <w:rFonts w:ascii="Times New Roman" w:hAnsi="Times New Roman"/>
          <w:sz w:val="24"/>
          <w:szCs w:val="24"/>
        </w:rPr>
        <w:t xml:space="preserve"> and a junior or senior by academic hours. Nine students participated. No identifying information was collected; students were coded S1-9. Students were asked to read a draft of the foci descriptions before participating in the focus group to enhance conversation quality. A semi-structured interview protocol was created to guide the focus group conversation. The data were analyzed using the constant comparative method (Glaser &amp; Strauss, 1967). Trustworthiness was established through credibility, transferability, dependability, and confirmability. Credibility was established through triangulation; transferability was established through purposive sampling; and dependability and confirmability were established through the creation of an audit trail and reflexive journal (Lincoln &amp; </w:t>
      </w:r>
      <w:proofErr w:type="spellStart"/>
      <w:r w:rsidRPr="00E00FCE">
        <w:rPr>
          <w:rFonts w:ascii="Times New Roman" w:hAnsi="Times New Roman"/>
          <w:sz w:val="24"/>
          <w:szCs w:val="24"/>
        </w:rPr>
        <w:t>Guba</w:t>
      </w:r>
      <w:proofErr w:type="spellEnd"/>
      <w:r w:rsidRPr="00E00FCE">
        <w:rPr>
          <w:rFonts w:ascii="Times New Roman" w:hAnsi="Times New Roman"/>
          <w:sz w:val="24"/>
          <w:szCs w:val="24"/>
        </w:rPr>
        <w:t>, 1985). Four themes emerged from the data: (a) Uses of educational foci, (b) accuracy of foci, (c) suggestions to improve the foci, and (d) foci titles.</w:t>
      </w:r>
    </w:p>
    <w:p w:rsidR="00421A33" w:rsidRPr="00E00FCE" w:rsidRDefault="00421A33" w:rsidP="0043554E">
      <w:pPr>
        <w:jc w:val="center"/>
        <w:rPr>
          <w:b/>
        </w:rPr>
      </w:pPr>
      <w:r w:rsidRPr="00E00FCE">
        <w:rPr>
          <w:b/>
        </w:rPr>
        <w:t>Results</w:t>
      </w:r>
    </w:p>
    <w:p w:rsidR="00421A33" w:rsidRPr="00E00FCE" w:rsidRDefault="00421A33" w:rsidP="0043554E">
      <w:r w:rsidRPr="00E00FCE">
        <w:lastRenderedPageBreak/>
        <w:tab/>
        <w:t>Students found the foci to be “attractive” (S1) because current and potential students will know what to expect in their field of study (S1, S2, S3) and be able to make interdisciplinary connections (S1-S9). Student S1 indicated that each department is doing their part, but system-connections are not being made. Students believed there was interesting work going on within the college that they are not exposed to, which would be interesting and potentially beneficial to explore. Interdisciplinary exposure and experiential learning was mentioned by all students as critical components in their personal career success and for success as an industry. Students also indicated the foci could attract potential students, provide insight into educational pathways and careers, and would be a good way to learn “a little more about what they are getting into” (S2).</w:t>
      </w:r>
    </w:p>
    <w:p w:rsidR="00421A33" w:rsidRPr="00E00FCE" w:rsidRDefault="00421A33" w:rsidP="0043554E">
      <w:r w:rsidRPr="00E00FCE">
        <w:tab/>
        <w:t xml:space="preserve">All students were concerned with the accuracy of the foci descriptions. They felt some of the information is exaggerated and misrepresents what </w:t>
      </w:r>
      <w:r w:rsidR="00FD5981" w:rsidRPr="00E00FCE">
        <w:t>CTAHR</w:t>
      </w:r>
      <w:r w:rsidRPr="00E00FCE">
        <w:t xml:space="preserve"> is doing. For example, student S9 said, “I like what these statements are saying, but if someone was to look at courses they can take for sustainability or organic production, the reality is those aren’t available.” Additionally, students S2, S3, and S9 mentioned the inclusion of cultural terms and concepts into the descriptions. “F</w:t>
      </w:r>
      <w:r w:rsidR="002A4635" w:rsidRPr="00E00FCE">
        <w:t>ocus 3 mentions ‘</w:t>
      </w:r>
      <w:proofErr w:type="spellStart"/>
      <w:r w:rsidR="00154BDD" w:rsidRPr="00E00FCE">
        <w:t>ahupua’a</w:t>
      </w:r>
      <w:proofErr w:type="spellEnd"/>
      <w:r w:rsidR="002A4635" w:rsidRPr="00E00FCE">
        <w:t>’</w:t>
      </w:r>
      <w:r w:rsidRPr="00E00FCE">
        <w:t xml:space="preserve"> and I have never heard anything related to our </w:t>
      </w:r>
      <w:proofErr w:type="spellStart"/>
      <w:r w:rsidR="00154BDD" w:rsidRPr="00E00FCE">
        <w:t>ahupua’a</w:t>
      </w:r>
      <w:proofErr w:type="spellEnd"/>
      <w:r w:rsidRPr="00E00FCE">
        <w:t xml:space="preserve"> in the environmental stuff that I’ve done in </w:t>
      </w:r>
      <w:r w:rsidR="00FD5981" w:rsidRPr="00E00FCE">
        <w:t>CTAHR</w:t>
      </w:r>
      <w:r w:rsidRPr="00E00FCE">
        <w:t>” (S2).</w:t>
      </w:r>
    </w:p>
    <w:p w:rsidR="00421A33" w:rsidRPr="00E00FCE" w:rsidRDefault="00421A33" w:rsidP="0043554E">
      <w:r w:rsidRPr="00E00FCE">
        <w:tab/>
        <w:t xml:space="preserve">Students were also asked to provide points of improvement. Students found the descriptions of the foci to be too academic. “A lot of these words &lt;pointing to foci descriptions&gt; are words that old professors come up with” (S6). Student S3 suggested each foci description begin with a concise summary statement that can be easily understood. The descriptions also needed to include buzz words to grab the attention of potential students, stakeholders, and general readers (S1, S6). “I like big, bold statements. ‘I go to </w:t>
      </w:r>
      <w:r w:rsidR="00FD5981" w:rsidRPr="00E00FCE">
        <w:t>CTAHR</w:t>
      </w:r>
      <w:r w:rsidRPr="00E00FCE">
        <w:t xml:space="preserve"> to train to become a superhero and save the world’” (S6).</w:t>
      </w:r>
    </w:p>
    <w:p w:rsidR="00421A33" w:rsidRPr="00E00FCE" w:rsidRDefault="00421A33" w:rsidP="0043554E">
      <w:pPr>
        <w:widowControl w:val="0"/>
        <w:autoSpaceDE w:val="0"/>
        <w:autoSpaceDN w:val="0"/>
        <w:adjustRightInd w:val="0"/>
      </w:pPr>
      <w:r w:rsidRPr="00E00FCE">
        <w:rPr>
          <w:bCs/>
        </w:rPr>
        <w:tab/>
        <w:t xml:space="preserve">At the end of the discussion, students were asked to suggest titles for each of the foci that would be interesting to them and representative of what </w:t>
      </w:r>
      <w:r w:rsidR="00FD5981" w:rsidRPr="00E00FCE">
        <w:rPr>
          <w:bCs/>
        </w:rPr>
        <w:t>CTAHR</w:t>
      </w:r>
      <w:r w:rsidRPr="00E00FCE">
        <w:rPr>
          <w:bCs/>
        </w:rPr>
        <w:t xml:space="preserve"> does. The students presented a number of titles, and the faculty and administration agreed with and formally titled the educational foci as: Community Health and Resiliency, Food and Agricultural Systems, Environment and Ecosystem Management, and Global Markets and Innovative Design.</w:t>
      </w:r>
    </w:p>
    <w:p w:rsidR="00421A33" w:rsidRPr="00E00FCE" w:rsidRDefault="00421A33" w:rsidP="0043554E">
      <w:pPr>
        <w:jc w:val="center"/>
        <w:rPr>
          <w:b/>
        </w:rPr>
      </w:pPr>
      <w:r w:rsidRPr="00E00FCE">
        <w:rPr>
          <w:b/>
        </w:rPr>
        <w:t>Conclusions and Recommendations</w:t>
      </w:r>
    </w:p>
    <w:p w:rsidR="00421A33" w:rsidRPr="00E00FCE" w:rsidRDefault="00421A33" w:rsidP="00726D70">
      <w:r w:rsidRPr="00E00FCE">
        <w:tab/>
        <w:t xml:space="preserve">In accordance with the andragogical process model (Knowles et al., 2011), this study sought learner input into the alignment of the </w:t>
      </w:r>
      <w:r w:rsidR="00FD5981" w:rsidRPr="00E00FCE">
        <w:t>CTAHR</w:t>
      </w:r>
      <w:r w:rsidRPr="00E00FCE">
        <w:t xml:space="preserve"> curriculum. Levin (2000) wrote that educational reform will not succeed without the involvement of the learners and, from the findings of this study, it can be concluded that the creation and use of these foci without student input may have resulted in negative or neutral response from the intended audiences. Although the students were supportive of the presented foci, they were concerned with the content and cultural accuracy of the foci descriptions, the academic language used, and the lack of passion and excitement that they feel about their disciplines. It can be concluded that, like educators (Lambert et al., 2014; Sandlin et al., 2013; Shoulders &amp; Myers, 2014; </w:t>
      </w:r>
      <w:proofErr w:type="spellStart"/>
      <w:r w:rsidRPr="00E00FCE">
        <w:t>Warnick</w:t>
      </w:r>
      <w:proofErr w:type="spellEnd"/>
      <w:r w:rsidRPr="00E00FCE">
        <w:t xml:space="preserve"> et al., 2004; Williams et al., 2014), students are also looking for new and engaging learning environments. The students’ focus on interdisciplinary learning and experiential education reiterates the andragogical need for content relevance and learner input (Knowles et al., 2011). </w:t>
      </w:r>
    </w:p>
    <w:p w:rsidR="00421A33" w:rsidRPr="00E00FCE" w:rsidRDefault="00421A33" w:rsidP="00726D70">
      <w:r w:rsidRPr="00E00FCE">
        <w:tab/>
        <w:t>It is recommended that educational programs seek input from former, current, and potential learners to create content and approaches that are meaningful, effective, and engaging to the target audiences (Knowles et al., 2011; Levin, 2000). These efforts will result in agricultural programs that are in alignment with Priorities 4 and 5 of the AAAE’s National Research Agenda (</w:t>
      </w:r>
      <w:proofErr w:type="spellStart"/>
      <w:r w:rsidRPr="00E00FCE">
        <w:t>Doerfert</w:t>
      </w:r>
      <w:proofErr w:type="spellEnd"/>
      <w:r w:rsidRPr="00E00FCE">
        <w:t>, 2011).</w:t>
      </w:r>
    </w:p>
    <w:p w:rsidR="00421A33" w:rsidRPr="00E00FCE" w:rsidRDefault="00421A33" w:rsidP="00C30445">
      <w:pPr>
        <w:jc w:val="center"/>
      </w:pPr>
      <w:r w:rsidRPr="00E00FCE">
        <w:br w:type="column"/>
      </w:r>
      <w:r w:rsidRPr="00E00FCE">
        <w:rPr>
          <w:b/>
        </w:rPr>
        <w:lastRenderedPageBreak/>
        <w:t>References</w:t>
      </w:r>
    </w:p>
    <w:p w:rsidR="00421A33" w:rsidRPr="00E00FCE" w:rsidRDefault="00421A33" w:rsidP="0043554E">
      <w:pPr>
        <w:jc w:val="center"/>
      </w:pPr>
    </w:p>
    <w:p w:rsidR="00421A33" w:rsidRPr="00E00FCE" w:rsidRDefault="00421A33" w:rsidP="0043554E">
      <w:pPr>
        <w:ind w:left="720" w:hanging="720"/>
      </w:pPr>
      <w:proofErr w:type="spellStart"/>
      <w:r w:rsidRPr="00E00FCE">
        <w:t>Bawden</w:t>
      </w:r>
      <w:proofErr w:type="spellEnd"/>
      <w:r w:rsidRPr="00E00FCE">
        <w:t xml:space="preserve">, R. J. (1991). </w:t>
      </w:r>
      <w:proofErr w:type="gramStart"/>
      <w:r w:rsidRPr="00E00FCE">
        <w:t>Systems thinking in agriculture.</w:t>
      </w:r>
      <w:proofErr w:type="gramEnd"/>
      <w:r w:rsidRPr="00E00FCE">
        <w:t xml:space="preserve"> </w:t>
      </w:r>
      <w:proofErr w:type="gramStart"/>
      <w:r w:rsidRPr="00E00FCE">
        <w:rPr>
          <w:i/>
        </w:rPr>
        <w:t>Journal of Dairy Science, 74</w:t>
      </w:r>
      <w:r w:rsidRPr="00E00FCE">
        <w:t>(7), 2362-2373.</w:t>
      </w:r>
      <w:proofErr w:type="gramEnd"/>
      <w:r w:rsidRPr="00E00FCE">
        <w:t xml:space="preserve"> Retrieved from http://www.journalofdairyscience.org/article/S0022-</w:t>
      </w:r>
      <w:proofErr w:type="gramStart"/>
      <w:r w:rsidRPr="00E00FCE">
        <w:t>0302(</w:t>
      </w:r>
      <w:proofErr w:type="gramEnd"/>
      <w:r w:rsidRPr="00E00FCE">
        <w:t>91)78410 -5/pdf</w:t>
      </w:r>
    </w:p>
    <w:p w:rsidR="00421A33" w:rsidRPr="00E00FCE" w:rsidRDefault="00421A33" w:rsidP="0043554E">
      <w:pPr>
        <w:pStyle w:val="NoSpacing"/>
        <w:ind w:left="720" w:hanging="720"/>
        <w:rPr>
          <w:rFonts w:ascii="Times New Roman" w:hAnsi="Times New Roman"/>
          <w:sz w:val="24"/>
          <w:szCs w:val="24"/>
        </w:rPr>
      </w:pPr>
      <w:proofErr w:type="spellStart"/>
      <w:proofErr w:type="gramStart"/>
      <w:r w:rsidRPr="00E00FCE">
        <w:rPr>
          <w:rFonts w:ascii="Times New Roman" w:hAnsi="Times New Roman"/>
          <w:sz w:val="24"/>
          <w:szCs w:val="24"/>
        </w:rPr>
        <w:t>Doerfert</w:t>
      </w:r>
      <w:proofErr w:type="spellEnd"/>
      <w:r w:rsidRPr="00E00FCE">
        <w:rPr>
          <w:rFonts w:ascii="Times New Roman" w:hAnsi="Times New Roman"/>
          <w:sz w:val="24"/>
          <w:szCs w:val="24"/>
        </w:rPr>
        <w:t>, D. L. (Ed.).</w:t>
      </w:r>
      <w:proofErr w:type="gramEnd"/>
      <w:r w:rsidRPr="00E00FCE">
        <w:rPr>
          <w:rFonts w:ascii="Times New Roman" w:hAnsi="Times New Roman"/>
          <w:sz w:val="24"/>
          <w:szCs w:val="24"/>
        </w:rPr>
        <w:t xml:space="preserve"> (2011). </w:t>
      </w:r>
      <w:r w:rsidRPr="00E00FCE">
        <w:rPr>
          <w:rFonts w:ascii="Times New Roman" w:hAnsi="Times New Roman"/>
          <w:i/>
          <w:sz w:val="24"/>
          <w:szCs w:val="24"/>
        </w:rPr>
        <w:t>National research agenda: American Association for Agricultural Education’s research priority areas for 2011-2015</w:t>
      </w:r>
      <w:r w:rsidRPr="00E00FCE">
        <w:rPr>
          <w:rFonts w:ascii="Times New Roman" w:hAnsi="Times New Roman"/>
          <w:sz w:val="24"/>
          <w:szCs w:val="24"/>
        </w:rPr>
        <w:t>. Lubbock, TX: Texas Tech University, Department of Agricultural Education and Communications.</w:t>
      </w:r>
    </w:p>
    <w:p w:rsidR="00421A33" w:rsidRPr="00E00FCE" w:rsidRDefault="00421A33" w:rsidP="0043554E">
      <w:pPr>
        <w:ind w:left="720" w:hanging="720"/>
      </w:pPr>
      <w:r w:rsidRPr="00E00FCE">
        <w:t xml:space="preserve">Dyer, J. E., &amp; Osborne, E. W. (1996). Developing a model for supervised agricultural experience program quality: A synthesis of research. </w:t>
      </w:r>
      <w:proofErr w:type="gramStart"/>
      <w:r w:rsidRPr="00E00FCE">
        <w:rPr>
          <w:i/>
        </w:rPr>
        <w:t>Journal of Agricultural Education, 37</w:t>
      </w:r>
      <w:r w:rsidRPr="00E00FCE">
        <w:t>(2), 24-33.</w:t>
      </w:r>
      <w:proofErr w:type="gramEnd"/>
      <w:r w:rsidRPr="00E00FCE">
        <w:t xml:space="preserve"> </w:t>
      </w:r>
      <w:proofErr w:type="spellStart"/>
      <w:proofErr w:type="gramStart"/>
      <w:r w:rsidRPr="00E00FCE">
        <w:t>doi</w:t>
      </w:r>
      <w:proofErr w:type="spellEnd"/>
      <w:proofErr w:type="gramEnd"/>
      <w:r w:rsidRPr="00E00FCE">
        <w:t>: 10.5032/jae.1996.02024</w:t>
      </w:r>
    </w:p>
    <w:p w:rsidR="00421A33" w:rsidRPr="00E00FCE" w:rsidRDefault="00421A33" w:rsidP="0043554E">
      <w:pPr>
        <w:ind w:left="720" w:hanging="720"/>
      </w:pPr>
      <w:r w:rsidRPr="00E00FCE">
        <w:t xml:space="preserve">Glaser, B., &amp; Strauss, A. (1967). </w:t>
      </w:r>
      <w:proofErr w:type="gramStart"/>
      <w:r w:rsidRPr="00E00FCE">
        <w:rPr>
          <w:i/>
        </w:rPr>
        <w:t>The discovery of grounded theory</w:t>
      </w:r>
      <w:r w:rsidRPr="00E00FCE">
        <w:t>.</w:t>
      </w:r>
      <w:proofErr w:type="gramEnd"/>
      <w:r w:rsidRPr="00E00FCE">
        <w:t xml:space="preserve"> Chicago, IL: Aldine.</w:t>
      </w:r>
    </w:p>
    <w:p w:rsidR="00421A33" w:rsidRPr="00E00FCE" w:rsidRDefault="00421A33" w:rsidP="0043554E">
      <w:pPr>
        <w:ind w:left="720" w:hanging="720"/>
      </w:pPr>
      <w:r w:rsidRPr="00E00FCE">
        <w:t xml:space="preserve">Knowles, M. S., Holton, E. F., &amp; Swanson, R. A. (2011). </w:t>
      </w:r>
      <w:r w:rsidRPr="00E00FCE">
        <w:rPr>
          <w:i/>
        </w:rPr>
        <w:t>The adult learner: The definitive classic in adult education and human resource development</w:t>
      </w:r>
      <w:r w:rsidRPr="00E00FCE">
        <w:t xml:space="preserve"> (7th ed.). Burlington, MA: Elsevier.</w:t>
      </w:r>
    </w:p>
    <w:p w:rsidR="00421A33" w:rsidRPr="00E00FCE" w:rsidRDefault="00421A33" w:rsidP="0043554E">
      <w:pPr>
        <w:ind w:left="720" w:hanging="720"/>
      </w:pPr>
      <w:proofErr w:type="gramStart"/>
      <w:r w:rsidRPr="00E00FCE">
        <w:t>Lambert, M. D., Velez, J. J., &amp; Elliott, K. M. (2014).</w:t>
      </w:r>
      <w:proofErr w:type="gramEnd"/>
      <w:r w:rsidRPr="00E00FCE">
        <w:t xml:space="preserve"> What are the teachers’ experiences when implementing the curriculum for agricultural science education? </w:t>
      </w:r>
      <w:proofErr w:type="gramStart"/>
      <w:r w:rsidRPr="00E00FCE">
        <w:rPr>
          <w:i/>
        </w:rPr>
        <w:t>Journal of Agricultural Education, 55</w:t>
      </w:r>
      <w:r w:rsidRPr="00E00FCE">
        <w:t>(4), 100-115.</w:t>
      </w:r>
      <w:proofErr w:type="gramEnd"/>
      <w:r w:rsidRPr="00E00FCE">
        <w:t xml:space="preserve"> </w:t>
      </w:r>
      <w:proofErr w:type="spellStart"/>
      <w:proofErr w:type="gramStart"/>
      <w:r w:rsidRPr="00E00FCE">
        <w:t>doi</w:t>
      </w:r>
      <w:proofErr w:type="spellEnd"/>
      <w:proofErr w:type="gramEnd"/>
      <w:r w:rsidRPr="00E00FCE">
        <w:t>: 10.5032/jae.2014.04100</w:t>
      </w:r>
    </w:p>
    <w:p w:rsidR="00421A33" w:rsidRPr="00E00FCE" w:rsidRDefault="00421A33" w:rsidP="0043554E">
      <w:pPr>
        <w:ind w:left="720" w:hanging="720"/>
      </w:pPr>
      <w:r w:rsidRPr="00E00FCE">
        <w:t xml:space="preserve">Levin, B. (2000). Putting students at the </w:t>
      </w:r>
      <w:proofErr w:type="spellStart"/>
      <w:r w:rsidRPr="00E00FCE">
        <w:t>centre</w:t>
      </w:r>
      <w:proofErr w:type="spellEnd"/>
      <w:r w:rsidRPr="00E00FCE">
        <w:t xml:space="preserve"> in education reform. </w:t>
      </w:r>
      <w:proofErr w:type="gramStart"/>
      <w:r w:rsidRPr="00E00FCE">
        <w:rPr>
          <w:i/>
        </w:rPr>
        <w:t>Journal of Educational Change, 1</w:t>
      </w:r>
      <w:r w:rsidRPr="00E00FCE">
        <w:t>(2), 155-172.</w:t>
      </w:r>
      <w:proofErr w:type="gramEnd"/>
      <w:r w:rsidRPr="00E00FCE">
        <w:t xml:space="preserve"> </w:t>
      </w:r>
      <w:proofErr w:type="spellStart"/>
      <w:proofErr w:type="gramStart"/>
      <w:r w:rsidRPr="00E00FCE">
        <w:t>doi</w:t>
      </w:r>
      <w:proofErr w:type="spellEnd"/>
      <w:proofErr w:type="gramEnd"/>
      <w:r w:rsidRPr="00E00FCE">
        <w:t>: 10.1023/A:1010024225888</w:t>
      </w:r>
    </w:p>
    <w:p w:rsidR="00421A33" w:rsidRPr="00E00FCE" w:rsidRDefault="00421A33" w:rsidP="0043554E">
      <w:pPr>
        <w:ind w:left="720" w:hanging="720"/>
      </w:pPr>
      <w:r w:rsidRPr="00E00FCE">
        <w:t xml:space="preserve">Lincoln, Y. S., &amp; </w:t>
      </w:r>
      <w:proofErr w:type="spellStart"/>
      <w:r w:rsidRPr="00E00FCE">
        <w:t>Guba</w:t>
      </w:r>
      <w:proofErr w:type="spellEnd"/>
      <w:r w:rsidRPr="00E00FCE">
        <w:t xml:space="preserve">, E. G. (1985). </w:t>
      </w:r>
      <w:r w:rsidRPr="00E00FCE">
        <w:rPr>
          <w:i/>
        </w:rPr>
        <w:t>Naturalistic inquiry</w:t>
      </w:r>
      <w:r w:rsidRPr="00E00FCE">
        <w:t>. Newbury Park, CA: Sage Publications, Inc.</w:t>
      </w:r>
    </w:p>
    <w:p w:rsidR="00421A33" w:rsidRPr="00E00FCE" w:rsidRDefault="00421A33" w:rsidP="0043554E">
      <w:pPr>
        <w:ind w:left="720" w:hanging="720"/>
      </w:pPr>
      <w:proofErr w:type="spellStart"/>
      <w:proofErr w:type="gramStart"/>
      <w:r w:rsidRPr="00E00FCE">
        <w:t>Platz</w:t>
      </w:r>
      <w:proofErr w:type="spellEnd"/>
      <w:r w:rsidRPr="00E00FCE">
        <w:t>, D. L. (1994).</w:t>
      </w:r>
      <w:proofErr w:type="gramEnd"/>
      <w:r w:rsidRPr="00E00FCE">
        <w:t xml:space="preserve"> Student directed planning: Fostering student ownership in learning. </w:t>
      </w:r>
      <w:proofErr w:type="gramStart"/>
      <w:r w:rsidRPr="00E00FCE">
        <w:rPr>
          <w:i/>
        </w:rPr>
        <w:t>Education, 114</w:t>
      </w:r>
      <w:r w:rsidRPr="00E00FCE">
        <w:t>(3), 420-422.</w:t>
      </w:r>
      <w:proofErr w:type="gramEnd"/>
    </w:p>
    <w:p w:rsidR="00421A33" w:rsidRPr="00E00FCE" w:rsidRDefault="00421A33" w:rsidP="0043554E">
      <w:pPr>
        <w:ind w:left="720" w:hanging="720"/>
      </w:pPr>
      <w:r w:rsidRPr="00E00FCE">
        <w:t xml:space="preserve">Sandlin, M. R., </w:t>
      </w:r>
      <w:proofErr w:type="spellStart"/>
      <w:r w:rsidRPr="00E00FCE">
        <w:t>Murphrey</w:t>
      </w:r>
      <w:proofErr w:type="spellEnd"/>
      <w:r w:rsidRPr="00E00FCE">
        <w:t xml:space="preserve">, T. P., Lindner, J. R., &amp; Dooley, K. E. (2013). Impacts of a faculty abroad experience on teaching style and technology use in a college of agriculture and life sciences. </w:t>
      </w:r>
      <w:proofErr w:type="gramStart"/>
      <w:r w:rsidRPr="00E00FCE">
        <w:rPr>
          <w:i/>
        </w:rPr>
        <w:t>Journal of Agricultural Education, 54</w:t>
      </w:r>
      <w:r w:rsidRPr="00E00FCE">
        <w:t>(3), 186-197.</w:t>
      </w:r>
      <w:proofErr w:type="gramEnd"/>
      <w:r w:rsidRPr="00E00FCE">
        <w:t xml:space="preserve"> </w:t>
      </w:r>
      <w:proofErr w:type="spellStart"/>
      <w:proofErr w:type="gramStart"/>
      <w:r w:rsidRPr="00E00FCE">
        <w:t>doi</w:t>
      </w:r>
      <w:proofErr w:type="spellEnd"/>
      <w:proofErr w:type="gramEnd"/>
      <w:r w:rsidRPr="00E00FCE">
        <w:t>: 10.5032/jae.2013 .03186</w:t>
      </w:r>
    </w:p>
    <w:p w:rsidR="00421A33" w:rsidRPr="00E00FCE" w:rsidRDefault="00421A33" w:rsidP="0043554E">
      <w:pPr>
        <w:ind w:left="720" w:hanging="720"/>
      </w:pPr>
      <w:proofErr w:type="gramStart"/>
      <w:r w:rsidRPr="00E00FCE">
        <w:t>Shoulders, C. W., &amp; Myers, B. E. (2014).</w:t>
      </w:r>
      <w:proofErr w:type="gramEnd"/>
      <w:r w:rsidRPr="00E00FCE">
        <w:t xml:space="preserve"> Effective professional development in </w:t>
      </w:r>
      <w:proofErr w:type="spellStart"/>
      <w:r w:rsidRPr="00E00FCE">
        <w:t>agriscience</w:t>
      </w:r>
      <w:proofErr w:type="spellEnd"/>
      <w:r w:rsidRPr="00E00FCE">
        <w:t xml:space="preserve"> education: An examination of core features. </w:t>
      </w:r>
      <w:proofErr w:type="gramStart"/>
      <w:r w:rsidRPr="00E00FCE">
        <w:rPr>
          <w:i/>
        </w:rPr>
        <w:t>Journal of Agricultural Education, 55</w:t>
      </w:r>
      <w:r w:rsidRPr="00E00FCE">
        <w:t>(1), 167-185.</w:t>
      </w:r>
      <w:proofErr w:type="gramEnd"/>
      <w:r w:rsidRPr="00E00FCE">
        <w:t xml:space="preserve"> </w:t>
      </w:r>
      <w:proofErr w:type="spellStart"/>
      <w:proofErr w:type="gramStart"/>
      <w:r w:rsidRPr="00E00FCE">
        <w:t>doi</w:t>
      </w:r>
      <w:proofErr w:type="spellEnd"/>
      <w:proofErr w:type="gramEnd"/>
      <w:r w:rsidRPr="00E00FCE">
        <w:t>: 105032/jae.2014.01167</w:t>
      </w:r>
    </w:p>
    <w:p w:rsidR="00421A33" w:rsidRPr="00E00FCE" w:rsidRDefault="00421A33" w:rsidP="0043554E">
      <w:pPr>
        <w:ind w:left="720" w:hanging="720"/>
      </w:pPr>
      <w:proofErr w:type="spellStart"/>
      <w:r w:rsidRPr="00E00FCE">
        <w:t>Warnick</w:t>
      </w:r>
      <w:proofErr w:type="spellEnd"/>
      <w:r w:rsidRPr="00E00FCE">
        <w:t xml:space="preserve">, B. K., Thompson, G. W., &amp; Gummer, E. S. (2004). </w:t>
      </w:r>
      <w:proofErr w:type="gramStart"/>
      <w:r w:rsidRPr="00E00FCE">
        <w:t>Perceptions of science teachers regarding the integration of science into the agricultural education curriculum.</w:t>
      </w:r>
      <w:proofErr w:type="gramEnd"/>
      <w:r w:rsidRPr="00E00FCE">
        <w:t xml:space="preserve"> </w:t>
      </w:r>
      <w:proofErr w:type="gramStart"/>
      <w:r w:rsidRPr="00E00FCE">
        <w:rPr>
          <w:i/>
        </w:rPr>
        <w:t>Journal of Agricultural Education, 45</w:t>
      </w:r>
      <w:r w:rsidRPr="00E00FCE">
        <w:t>(1), 62-73.</w:t>
      </w:r>
      <w:proofErr w:type="gramEnd"/>
      <w:r w:rsidRPr="00E00FCE">
        <w:t xml:space="preserve"> </w:t>
      </w:r>
      <w:proofErr w:type="spellStart"/>
      <w:proofErr w:type="gramStart"/>
      <w:r w:rsidRPr="00E00FCE">
        <w:t>doi</w:t>
      </w:r>
      <w:proofErr w:type="spellEnd"/>
      <w:proofErr w:type="gramEnd"/>
      <w:r w:rsidRPr="00E00FCE">
        <w:t>: 10.5032/jae.2004.01062</w:t>
      </w:r>
    </w:p>
    <w:p w:rsidR="00421A33" w:rsidRPr="00E00FCE" w:rsidRDefault="00421A33" w:rsidP="00BB5364">
      <w:pPr>
        <w:ind w:left="720" w:hanging="720"/>
        <w:rPr>
          <w:rFonts w:eastAsia="Times New Roman"/>
        </w:rPr>
      </w:pPr>
      <w:r w:rsidRPr="00E00FCE">
        <w:rPr>
          <w:rFonts w:eastAsia="Times New Roman"/>
          <w:shd w:val="clear" w:color="auto" w:fill="FFFFFF"/>
        </w:rPr>
        <w:t xml:space="preserve">Williams, M. R., Warner, W. J., Flowers, J. L., &amp; </w:t>
      </w:r>
      <w:proofErr w:type="spellStart"/>
      <w:r w:rsidRPr="00E00FCE">
        <w:rPr>
          <w:rFonts w:eastAsia="Times New Roman"/>
          <w:shd w:val="clear" w:color="auto" w:fill="FFFFFF"/>
        </w:rPr>
        <w:t>Croom</w:t>
      </w:r>
      <w:proofErr w:type="spellEnd"/>
      <w:r w:rsidRPr="00E00FCE">
        <w:rPr>
          <w:rFonts w:eastAsia="Times New Roman"/>
          <w:shd w:val="clear" w:color="auto" w:fill="FFFFFF"/>
        </w:rPr>
        <w:t xml:space="preserve">, D. B. (2014). Teaching with technology: North Carolina agriculture teachers’ knowledge acquisition, attitudes, and identified barriers. </w:t>
      </w:r>
      <w:proofErr w:type="gramStart"/>
      <w:r w:rsidRPr="00E00FCE">
        <w:rPr>
          <w:rFonts w:eastAsia="Times New Roman"/>
          <w:i/>
          <w:shd w:val="clear" w:color="auto" w:fill="FFFFFF"/>
        </w:rPr>
        <w:t>Journal of Agricultural Education, 55</w:t>
      </w:r>
      <w:r w:rsidRPr="00E00FCE">
        <w:rPr>
          <w:rFonts w:eastAsia="Times New Roman"/>
          <w:shd w:val="clear" w:color="auto" w:fill="FFFFFF"/>
        </w:rPr>
        <w:t>(5), 1-15.</w:t>
      </w:r>
      <w:proofErr w:type="gramEnd"/>
      <w:r w:rsidRPr="00E00FCE">
        <w:rPr>
          <w:rFonts w:eastAsia="Times New Roman"/>
          <w:shd w:val="clear" w:color="auto" w:fill="FFFFFF"/>
        </w:rPr>
        <w:t xml:space="preserve"> </w:t>
      </w:r>
      <w:proofErr w:type="spellStart"/>
      <w:proofErr w:type="gramStart"/>
      <w:r w:rsidRPr="00E00FCE">
        <w:rPr>
          <w:rFonts w:eastAsia="Times New Roman"/>
          <w:shd w:val="clear" w:color="auto" w:fill="FFFFFF"/>
        </w:rPr>
        <w:t>doi</w:t>
      </w:r>
      <w:proofErr w:type="spellEnd"/>
      <w:proofErr w:type="gramEnd"/>
      <w:r w:rsidRPr="00E00FCE">
        <w:rPr>
          <w:rFonts w:eastAsia="Times New Roman"/>
          <w:shd w:val="clear" w:color="auto" w:fill="FFFFFF"/>
        </w:rPr>
        <w:t>: 10.5032/jae.2014 .05001</w:t>
      </w:r>
    </w:p>
    <w:p w:rsidR="00421A33" w:rsidRPr="00E00FCE" w:rsidRDefault="00421A33" w:rsidP="0043554E">
      <w:pPr>
        <w:ind w:left="720" w:hanging="720"/>
      </w:pPr>
    </w:p>
    <w:p w:rsidR="00421A33" w:rsidRPr="00E00FCE" w:rsidRDefault="00421A33" w:rsidP="0043554E">
      <w:pPr>
        <w:jc w:val="center"/>
      </w:pPr>
    </w:p>
    <w:sectPr w:rsidR="00421A33" w:rsidRPr="00E00FCE" w:rsidSect="00EF4E52">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2739" w:rsidRDefault="00432739" w:rsidP="00EF6B7B">
      <w:r>
        <w:separator/>
      </w:r>
    </w:p>
  </w:endnote>
  <w:endnote w:type="continuationSeparator" w:id="0">
    <w:p w:rsidR="00432739" w:rsidRDefault="00432739" w:rsidP="00EF6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ngs">
    <w:altName w:val="w"/>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2739" w:rsidRDefault="00432739" w:rsidP="00EF6B7B">
      <w:r>
        <w:separator/>
      </w:r>
    </w:p>
  </w:footnote>
  <w:footnote w:type="continuationSeparator" w:id="0">
    <w:p w:rsidR="00432739" w:rsidRDefault="00432739" w:rsidP="00EF6B7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739" w:rsidRDefault="00432739" w:rsidP="00EF6B7B">
    <w:pPr>
      <w:pStyle w:val="Header"/>
      <w:jc w:val="right"/>
    </w:pPr>
    <w:r>
      <w:t>Research</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C2375"/>
    <w:multiLevelType w:val="hybridMultilevel"/>
    <w:tmpl w:val="DA801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removeDateAndTim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66B"/>
    <w:rsid w:val="00005839"/>
    <w:rsid w:val="00042DCB"/>
    <w:rsid w:val="000439DC"/>
    <w:rsid w:val="00067CB4"/>
    <w:rsid w:val="00071CE4"/>
    <w:rsid w:val="000A41E6"/>
    <w:rsid w:val="000B10C9"/>
    <w:rsid w:val="00104EDB"/>
    <w:rsid w:val="00114AEC"/>
    <w:rsid w:val="0011774E"/>
    <w:rsid w:val="0014236A"/>
    <w:rsid w:val="00154BDD"/>
    <w:rsid w:val="00183B0C"/>
    <w:rsid w:val="00186866"/>
    <w:rsid w:val="00193F30"/>
    <w:rsid w:val="001F3E35"/>
    <w:rsid w:val="00205ED4"/>
    <w:rsid w:val="00221180"/>
    <w:rsid w:val="00230705"/>
    <w:rsid w:val="00241307"/>
    <w:rsid w:val="00252405"/>
    <w:rsid w:val="00256969"/>
    <w:rsid w:val="00293563"/>
    <w:rsid w:val="00293683"/>
    <w:rsid w:val="00297341"/>
    <w:rsid w:val="002A4635"/>
    <w:rsid w:val="002B06C5"/>
    <w:rsid w:val="002B5724"/>
    <w:rsid w:val="002E5D48"/>
    <w:rsid w:val="00321059"/>
    <w:rsid w:val="00324128"/>
    <w:rsid w:val="00352ADD"/>
    <w:rsid w:val="003B0591"/>
    <w:rsid w:val="003B23B4"/>
    <w:rsid w:val="003D4CFE"/>
    <w:rsid w:val="003D5BD0"/>
    <w:rsid w:val="00403C24"/>
    <w:rsid w:val="00421A33"/>
    <w:rsid w:val="00432739"/>
    <w:rsid w:val="0043554E"/>
    <w:rsid w:val="0047456B"/>
    <w:rsid w:val="00475C53"/>
    <w:rsid w:val="00484B32"/>
    <w:rsid w:val="004A48C7"/>
    <w:rsid w:val="004E4C5E"/>
    <w:rsid w:val="004F7B05"/>
    <w:rsid w:val="0051327F"/>
    <w:rsid w:val="005207E2"/>
    <w:rsid w:val="00532157"/>
    <w:rsid w:val="005430EB"/>
    <w:rsid w:val="00546CC0"/>
    <w:rsid w:val="00555D4D"/>
    <w:rsid w:val="0057466B"/>
    <w:rsid w:val="00574814"/>
    <w:rsid w:val="00590834"/>
    <w:rsid w:val="00595761"/>
    <w:rsid w:val="005966B0"/>
    <w:rsid w:val="005A041B"/>
    <w:rsid w:val="005C0023"/>
    <w:rsid w:val="005D1722"/>
    <w:rsid w:val="005E722F"/>
    <w:rsid w:val="00610C86"/>
    <w:rsid w:val="00614AC1"/>
    <w:rsid w:val="00620E93"/>
    <w:rsid w:val="006346DA"/>
    <w:rsid w:val="00664AFE"/>
    <w:rsid w:val="006D7037"/>
    <w:rsid w:val="006F2566"/>
    <w:rsid w:val="006F6DD7"/>
    <w:rsid w:val="00703E97"/>
    <w:rsid w:val="00726D70"/>
    <w:rsid w:val="00734C22"/>
    <w:rsid w:val="00757105"/>
    <w:rsid w:val="00790A4D"/>
    <w:rsid w:val="008354D6"/>
    <w:rsid w:val="008732A0"/>
    <w:rsid w:val="00874C9D"/>
    <w:rsid w:val="008F113F"/>
    <w:rsid w:val="009031B7"/>
    <w:rsid w:val="00916FDE"/>
    <w:rsid w:val="00941421"/>
    <w:rsid w:val="00946EF3"/>
    <w:rsid w:val="00954F91"/>
    <w:rsid w:val="009555F4"/>
    <w:rsid w:val="00976F63"/>
    <w:rsid w:val="00982F56"/>
    <w:rsid w:val="00A007AC"/>
    <w:rsid w:val="00A0089D"/>
    <w:rsid w:val="00A00D0F"/>
    <w:rsid w:val="00A24E3A"/>
    <w:rsid w:val="00A4519A"/>
    <w:rsid w:val="00A97007"/>
    <w:rsid w:val="00AC6197"/>
    <w:rsid w:val="00AE6A13"/>
    <w:rsid w:val="00AF4C3F"/>
    <w:rsid w:val="00AF5E2C"/>
    <w:rsid w:val="00B029AF"/>
    <w:rsid w:val="00B1629E"/>
    <w:rsid w:val="00B423CB"/>
    <w:rsid w:val="00B570A1"/>
    <w:rsid w:val="00B64EF9"/>
    <w:rsid w:val="00BA34C4"/>
    <w:rsid w:val="00BB4E5C"/>
    <w:rsid w:val="00BB5364"/>
    <w:rsid w:val="00BD07B1"/>
    <w:rsid w:val="00BE3E8B"/>
    <w:rsid w:val="00BF5A84"/>
    <w:rsid w:val="00C24E2C"/>
    <w:rsid w:val="00C30445"/>
    <w:rsid w:val="00C604B5"/>
    <w:rsid w:val="00CF6FED"/>
    <w:rsid w:val="00D123E4"/>
    <w:rsid w:val="00D37171"/>
    <w:rsid w:val="00D5254B"/>
    <w:rsid w:val="00D838CC"/>
    <w:rsid w:val="00DC4D69"/>
    <w:rsid w:val="00DD2297"/>
    <w:rsid w:val="00DD63B5"/>
    <w:rsid w:val="00DE381A"/>
    <w:rsid w:val="00E00FCE"/>
    <w:rsid w:val="00E0321B"/>
    <w:rsid w:val="00E15D56"/>
    <w:rsid w:val="00E472D0"/>
    <w:rsid w:val="00E537E3"/>
    <w:rsid w:val="00E66E5C"/>
    <w:rsid w:val="00EC326E"/>
    <w:rsid w:val="00EF4E52"/>
    <w:rsid w:val="00EF61EC"/>
    <w:rsid w:val="00EF6B7B"/>
    <w:rsid w:val="00F2310A"/>
    <w:rsid w:val="00F709F2"/>
    <w:rsid w:val="00FA658D"/>
    <w:rsid w:val="00FD3474"/>
    <w:rsid w:val="00FD5981"/>
    <w:rsid w:val="00FD65DE"/>
    <w:rsid w:val="00FD7C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ngs"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7E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EF6B7B"/>
    <w:pPr>
      <w:tabs>
        <w:tab w:val="center" w:pos="4320"/>
        <w:tab w:val="right" w:pos="8640"/>
      </w:tabs>
    </w:pPr>
  </w:style>
  <w:style w:type="character" w:customStyle="1" w:styleId="HeaderChar">
    <w:name w:val="Header Char"/>
    <w:basedOn w:val="DefaultParagraphFont"/>
    <w:link w:val="Header"/>
    <w:uiPriority w:val="99"/>
    <w:locked/>
    <w:rsid w:val="00EF6B7B"/>
    <w:rPr>
      <w:rFonts w:cs="Times New Roman"/>
    </w:rPr>
  </w:style>
  <w:style w:type="paragraph" w:styleId="Footer">
    <w:name w:val="footer"/>
    <w:basedOn w:val="Normal"/>
    <w:link w:val="FooterChar"/>
    <w:uiPriority w:val="99"/>
    <w:unhideWhenUsed/>
    <w:rsid w:val="00EF6B7B"/>
    <w:pPr>
      <w:tabs>
        <w:tab w:val="center" w:pos="4320"/>
        <w:tab w:val="right" w:pos="8640"/>
      </w:tabs>
    </w:pPr>
  </w:style>
  <w:style w:type="character" w:customStyle="1" w:styleId="FooterChar">
    <w:name w:val="Footer Char"/>
    <w:basedOn w:val="DefaultParagraphFont"/>
    <w:link w:val="Footer"/>
    <w:uiPriority w:val="99"/>
    <w:locked/>
    <w:rsid w:val="00EF6B7B"/>
    <w:rPr>
      <w:rFonts w:cs="Times New Roman"/>
    </w:rPr>
  </w:style>
  <w:style w:type="paragraph" w:styleId="ListParagraph">
    <w:name w:val="List Paragraph"/>
    <w:basedOn w:val="Normal"/>
    <w:uiPriority w:val="34"/>
    <w:qFormat/>
    <w:rsid w:val="00256969"/>
    <w:pPr>
      <w:spacing w:after="200" w:line="276" w:lineRule="auto"/>
      <w:ind w:left="720"/>
      <w:contextualSpacing/>
    </w:pPr>
    <w:rPr>
      <w:rFonts w:ascii="Cambria" w:eastAsia="Times New Roman" w:hAnsi="Cambria"/>
      <w:sz w:val="22"/>
      <w:szCs w:val="22"/>
    </w:rPr>
  </w:style>
  <w:style w:type="paragraph" w:styleId="NoSpacing">
    <w:name w:val="No Spacing"/>
    <w:uiPriority w:val="1"/>
    <w:qFormat/>
    <w:rsid w:val="009555F4"/>
    <w:rPr>
      <w:rFonts w:ascii="Cambria" w:eastAsia="Times New Roman" w:hAnsi="Cambria"/>
      <w:sz w:val="22"/>
      <w:szCs w:val="22"/>
    </w:rPr>
  </w:style>
  <w:style w:type="character" w:styleId="CommentReference">
    <w:name w:val="annotation reference"/>
    <w:basedOn w:val="DefaultParagraphFont"/>
    <w:uiPriority w:val="99"/>
    <w:semiHidden/>
    <w:unhideWhenUsed/>
    <w:rsid w:val="00EC326E"/>
    <w:rPr>
      <w:rFonts w:cs="Times New Roman"/>
      <w:sz w:val="18"/>
      <w:szCs w:val="18"/>
    </w:rPr>
  </w:style>
  <w:style w:type="paragraph" w:styleId="CommentText">
    <w:name w:val="annotation text"/>
    <w:basedOn w:val="Normal"/>
    <w:link w:val="CommentTextChar"/>
    <w:uiPriority w:val="99"/>
    <w:semiHidden/>
    <w:unhideWhenUsed/>
    <w:rsid w:val="00EC326E"/>
  </w:style>
  <w:style w:type="character" w:customStyle="1" w:styleId="CommentTextChar">
    <w:name w:val="Comment Text Char"/>
    <w:basedOn w:val="DefaultParagraphFont"/>
    <w:link w:val="CommentText"/>
    <w:uiPriority w:val="99"/>
    <w:semiHidden/>
    <w:locked/>
    <w:rsid w:val="00EC326E"/>
    <w:rPr>
      <w:rFonts w:cs="Times New Roman"/>
    </w:rPr>
  </w:style>
  <w:style w:type="paragraph" w:styleId="CommentSubject">
    <w:name w:val="annotation subject"/>
    <w:basedOn w:val="CommentText"/>
    <w:next w:val="CommentText"/>
    <w:link w:val="CommentSubjectChar"/>
    <w:uiPriority w:val="99"/>
    <w:semiHidden/>
    <w:unhideWhenUsed/>
    <w:rsid w:val="00EC326E"/>
    <w:rPr>
      <w:b/>
      <w:bCs/>
      <w:sz w:val="20"/>
      <w:szCs w:val="20"/>
    </w:rPr>
  </w:style>
  <w:style w:type="character" w:customStyle="1" w:styleId="CommentSubjectChar">
    <w:name w:val="Comment Subject Char"/>
    <w:basedOn w:val="CommentTextChar"/>
    <w:link w:val="CommentSubject"/>
    <w:uiPriority w:val="99"/>
    <w:semiHidden/>
    <w:locked/>
    <w:rsid w:val="00EC326E"/>
    <w:rPr>
      <w:rFonts w:cs="Times New Roman"/>
      <w:b/>
      <w:bCs/>
      <w:sz w:val="20"/>
      <w:szCs w:val="20"/>
    </w:rPr>
  </w:style>
  <w:style w:type="paragraph" w:styleId="BalloonText">
    <w:name w:val="Balloon Text"/>
    <w:basedOn w:val="Normal"/>
    <w:link w:val="BalloonTextChar"/>
    <w:uiPriority w:val="99"/>
    <w:semiHidden/>
    <w:unhideWhenUsed/>
    <w:rsid w:val="00EC326E"/>
    <w:rPr>
      <w:rFonts w:ascii="Lucida Grande" w:hAnsi="Lucida Grande"/>
      <w:sz w:val="18"/>
      <w:szCs w:val="18"/>
    </w:rPr>
  </w:style>
  <w:style w:type="character" w:customStyle="1" w:styleId="BalloonTextChar">
    <w:name w:val="Balloon Text Char"/>
    <w:basedOn w:val="DefaultParagraphFont"/>
    <w:link w:val="BalloonText"/>
    <w:uiPriority w:val="99"/>
    <w:semiHidden/>
    <w:locked/>
    <w:rsid w:val="00EC326E"/>
    <w:rPr>
      <w:rFonts w:ascii="Lucida Grande" w:hAnsi="Lucida Grande" w:cs="Times New Roman"/>
      <w:sz w:val="18"/>
      <w:szCs w:val="18"/>
    </w:rPr>
  </w:style>
  <w:style w:type="paragraph" w:styleId="Revision">
    <w:name w:val="Revision"/>
    <w:hidden/>
    <w:uiPriority w:val="99"/>
    <w:semiHidden/>
    <w:rsid w:val="00EC326E"/>
    <w:rPr>
      <w:sz w:val="24"/>
      <w:szCs w:val="24"/>
    </w:rPr>
  </w:style>
  <w:style w:type="character" w:styleId="Hyperlink">
    <w:name w:val="Hyperlink"/>
    <w:basedOn w:val="DefaultParagraphFont"/>
    <w:uiPriority w:val="99"/>
    <w:unhideWhenUsed/>
    <w:rsid w:val="00E537E3"/>
    <w:rPr>
      <w:rFonts w:cs="Times New Roman"/>
      <w:color w:val="0000FF"/>
      <w:u w:val="single"/>
    </w:rPr>
  </w:style>
  <w:style w:type="paragraph" w:styleId="Title">
    <w:name w:val="Title"/>
    <w:basedOn w:val="Normal"/>
    <w:link w:val="TitleChar"/>
    <w:qFormat/>
    <w:rsid w:val="00E00FCE"/>
    <w:pPr>
      <w:spacing w:after="60"/>
      <w:jc w:val="center"/>
      <w:outlineLvl w:val="0"/>
    </w:pPr>
    <w:rPr>
      <w:rFonts w:eastAsia="Times New Roman" w:cs="Arial"/>
      <w:b/>
      <w:bCs/>
      <w:kern w:val="28"/>
      <w:szCs w:val="32"/>
    </w:rPr>
  </w:style>
  <w:style w:type="character" w:customStyle="1" w:styleId="TitleChar">
    <w:name w:val="Title Char"/>
    <w:basedOn w:val="DefaultParagraphFont"/>
    <w:link w:val="Title"/>
    <w:rsid w:val="00E00FCE"/>
    <w:rPr>
      <w:rFonts w:eastAsia="Times New Roman" w:cs="Arial"/>
      <w:b/>
      <w:bCs/>
      <w:kern w:val="28"/>
      <w:sz w:val="24"/>
      <w:szCs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ngs"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7E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EF6B7B"/>
    <w:pPr>
      <w:tabs>
        <w:tab w:val="center" w:pos="4320"/>
        <w:tab w:val="right" w:pos="8640"/>
      </w:tabs>
    </w:pPr>
  </w:style>
  <w:style w:type="character" w:customStyle="1" w:styleId="HeaderChar">
    <w:name w:val="Header Char"/>
    <w:basedOn w:val="DefaultParagraphFont"/>
    <w:link w:val="Header"/>
    <w:uiPriority w:val="99"/>
    <w:locked/>
    <w:rsid w:val="00EF6B7B"/>
    <w:rPr>
      <w:rFonts w:cs="Times New Roman"/>
    </w:rPr>
  </w:style>
  <w:style w:type="paragraph" w:styleId="Footer">
    <w:name w:val="footer"/>
    <w:basedOn w:val="Normal"/>
    <w:link w:val="FooterChar"/>
    <w:uiPriority w:val="99"/>
    <w:unhideWhenUsed/>
    <w:rsid w:val="00EF6B7B"/>
    <w:pPr>
      <w:tabs>
        <w:tab w:val="center" w:pos="4320"/>
        <w:tab w:val="right" w:pos="8640"/>
      </w:tabs>
    </w:pPr>
  </w:style>
  <w:style w:type="character" w:customStyle="1" w:styleId="FooterChar">
    <w:name w:val="Footer Char"/>
    <w:basedOn w:val="DefaultParagraphFont"/>
    <w:link w:val="Footer"/>
    <w:uiPriority w:val="99"/>
    <w:locked/>
    <w:rsid w:val="00EF6B7B"/>
    <w:rPr>
      <w:rFonts w:cs="Times New Roman"/>
    </w:rPr>
  </w:style>
  <w:style w:type="paragraph" w:styleId="ListParagraph">
    <w:name w:val="List Paragraph"/>
    <w:basedOn w:val="Normal"/>
    <w:uiPriority w:val="34"/>
    <w:qFormat/>
    <w:rsid w:val="00256969"/>
    <w:pPr>
      <w:spacing w:after="200" w:line="276" w:lineRule="auto"/>
      <w:ind w:left="720"/>
      <w:contextualSpacing/>
    </w:pPr>
    <w:rPr>
      <w:rFonts w:ascii="Cambria" w:eastAsia="Times New Roman" w:hAnsi="Cambria"/>
      <w:sz w:val="22"/>
      <w:szCs w:val="22"/>
    </w:rPr>
  </w:style>
  <w:style w:type="paragraph" w:styleId="NoSpacing">
    <w:name w:val="No Spacing"/>
    <w:uiPriority w:val="1"/>
    <w:qFormat/>
    <w:rsid w:val="009555F4"/>
    <w:rPr>
      <w:rFonts w:ascii="Cambria" w:eastAsia="Times New Roman" w:hAnsi="Cambria"/>
      <w:sz w:val="22"/>
      <w:szCs w:val="22"/>
    </w:rPr>
  </w:style>
  <w:style w:type="character" w:styleId="CommentReference">
    <w:name w:val="annotation reference"/>
    <w:basedOn w:val="DefaultParagraphFont"/>
    <w:uiPriority w:val="99"/>
    <w:semiHidden/>
    <w:unhideWhenUsed/>
    <w:rsid w:val="00EC326E"/>
    <w:rPr>
      <w:rFonts w:cs="Times New Roman"/>
      <w:sz w:val="18"/>
      <w:szCs w:val="18"/>
    </w:rPr>
  </w:style>
  <w:style w:type="paragraph" w:styleId="CommentText">
    <w:name w:val="annotation text"/>
    <w:basedOn w:val="Normal"/>
    <w:link w:val="CommentTextChar"/>
    <w:uiPriority w:val="99"/>
    <w:semiHidden/>
    <w:unhideWhenUsed/>
    <w:rsid w:val="00EC326E"/>
  </w:style>
  <w:style w:type="character" w:customStyle="1" w:styleId="CommentTextChar">
    <w:name w:val="Comment Text Char"/>
    <w:basedOn w:val="DefaultParagraphFont"/>
    <w:link w:val="CommentText"/>
    <w:uiPriority w:val="99"/>
    <w:semiHidden/>
    <w:locked/>
    <w:rsid w:val="00EC326E"/>
    <w:rPr>
      <w:rFonts w:cs="Times New Roman"/>
    </w:rPr>
  </w:style>
  <w:style w:type="paragraph" w:styleId="CommentSubject">
    <w:name w:val="annotation subject"/>
    <w:basedOn w:val="CommentText"/>
    <w:next w:val="CommentText"/>
    <w:link w:val="CommentSubjectChar"/>
    <w:uiPriority w:val="99"/>
    <w:semiHidden/>
    <w:unhideWhenUsed/>
    <w:rsid w:val="00EC326E"/>
    <w:rPr>
      <w:b/>
      <w:bCs/>
      <w:sz w:val="20"/>
      <w:szCs w:val="20"/>
    </w:rPr>
  </w:style>
  <w:style w:type="character" w:customStyle="1" w:styleId="CommentSubjectChar">
    <w:name w:val="Comment Subject Char"/>
    <w:basedOn w:val="CommentTextChar"/>
    <w:link w:val="CommentSubject"/>
    <w:uiPriority w:val="99"/>
    <w:semiHidden/>
    <w:locked/>
    <w:rsid w:val="00EC326E"/>
    <w:rPr>
      <w:rFonts w:cs="Times New Roman"/>
      <w:b/>
      <w:bCs/>
      <w:sz w:val="20"/>
      <w:szCs w:val="20"/>
    </w:rPr>
  </w:style>
  <w:style w:type="paragraph" w:styleId="BalloonText">
    <w:name w:val="Balloon Text"/>
    <w:basedOn w:val="Normal"/>
    <w:link w:val="BalloonTextChar"/>
    <w:uiPriority w:val="99"/>
    <w:semiHidden/>
    <w:unhideWhenUsed/>
    <w:rsid w:val="00EC326E"/>
    <w:rPr>
      <w:rFonts w:ascii="Lucida Grande" w:hAnsi="Lucida Grande"/>
      <w:sz w:val="18"/>
      <w:szCs w:val="18"/>
    </w:rPr>
  </w:style>
  <w:style w:type="character" w:customStyle="1" w:styleId="BalloonTextChar">
    <w:name w:val="Balloon Text Char"/>
    <w:basedOn w:val="DefaultParagraphFont"/>
    <w:link w:val="BalloonText"/>
    <w:uiPriority w:val="99"/>
    <w:semiHidden/>
    <w:locked/>
    <w:rsid w:val="00EC326E"/>
    <w:rPr>
      <w:rFonts w:ascii="Lucida Grande" w:hAnsi="Lucida Grande" w:cs="Times New Roman"/>
      <w:sz w:val="18"/>
      <w:szCs w:val="18"/>
    </w:rPr>
  </w:style>
  <w:style w:type="paragraph" w:styleId="Revision">
    <w:name w:val="Revision"/>
    <w:hidden/>
    <w:uiPriority w:val="99"/>
    <w:semiHidden/>
    <w:rsid w:val="00EC326E"/>
    <w:rPr>
      <w:sz w:val="24"/>
      <w:szCs w:val="24"/>
    </w:rPr>
  </w:style>
  <w:style w:type="character" w:styleId="Hyperlink">
    <w:name w:val="Hyperlink"/>
    <w:basedOn w:val="DefaultParagraphFont"/>
    <w:uiPriority w:val="99"/>
    <w:unhideWhenUsed/>
    <w:rsid w:val="00E537E3"/>
    <w:rPr>
      <w:rFonts w:cs="Times New Roman"/>
      <w:color w:val="0000FF"/>
      <w:u w:val="single"/>
    </w:rPr>
  </w:style>
  <w:style w:type="paragraph" w:styleId="Title">
    <w:name w:val="Title"/>
    <w:basedOn w:val="Normal"/>
    <w:link w:val="TitleChar"/>
    <w:qFormat/>
    <w:rsid w:val="00E00FCE"/>
    <w:pPr>
      <w:spacing w:after="60"/>
      <w:jc w:val="center"/>
      <w:outlineLvl w:val="0"/>
    </w:pPr>
    <w:rPr>
      <w:rFonts w:eastAsia="Times New Roman" w:cs="Arial"/>
      <w:b/>
      <w:bCs/>
      <w:kern w:val="28"/>
      <w:szCs w:val="32"/>
    </w:rPr>
  </w:style>
  <w:style w:type="character" w:customStyle="1" w:styleId="TitleChar">
    <w:name w:val="Title Char"/>
    <w:basedOn w:val="DefaultParagraphFont"/>
    <w:link w:val="Title"/>
    <w:rsid w:val="00E00FCE"/>
    <w:rPr>
      <w:rFonts w:eastAsia="Times New Roman" w:cs="Arial"/>
      <w:b/>
      <w:bCs/>
      <w:kern w:val="28"/>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468693">
      <w:marLeft w:val="0"/>
      <w:marRight w:val="0"/>
      <w:marTop w:val="0"/>
      <w:marBottom w:val="0"/>
      <w:divBdr>
        <w:top w:val="none" w:sz="0" w:space="0" w:color="auto"/>
        <w:left w:val="none" w:sz="0" w:space="0" w:color="auto"/>
        <w:bottom w:val="none" w:sz="0" w:space="0" w:color="auto"/>
        <w:right w:val="none" w:sz="0" w:space="0" w:color="auto"/>
      </w:divBdr>
    </w:div>
    <w:div w:id="193468694">
      <w:marLeft w:val="0"/>
      <w:marRight w:val="0"/>
      <w:marTop w:val="0"/>
      <w:marBottom w:val="0"/>
      <w:divBdr>
        <w:top w:val="none" w:sz="0" w:space="0" w:color="auto"/>
        <w:left w:val="none" w:sz="0" w:space="0" w:color="auto"/>
        <w:bottom w:val="none" w:sz="0" w:space="0" w:color="auto"/>
        <w:right w:val="none" w:sz="0" w:space="0" w:color="auto"/>
      </w:divBdr>
    </w:div>
    <w:div w:id="19346869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1587</Words>
  <Characters>9049</Characters>
  <Application>Microsoft Macintosh Word</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2015-08-13T22:54:00Z</dcterms:created>
  <dcterms:modified xsi:type="dcterms:W3CDTF">2015-08-13T22:54:00Z</dcterms:modified>
</cp:coreProperties>
</file>