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30BF" w:rsidRPr="004D5827" w:rsidRDefault="005230BF" w:rsidP="004D5827">
      <w:pPr>
        <w:jc w:val="center"/>
        <w:rPr>
          <w:b/>
        </w:rPr>
      </w:pPr>
      <w:r w:rsidRPr="004D5827">
        <w:rPr>
          <w:b/>
        </w:rPr>
        <w:t>Bioenergy Science and Engineering as Components of Ag Education Curricula</w:t>
      </w:r>
    </w:p>
    <w:p w:rsidR="00BF71D8" w:rsidRDefault="00BF71D8" w:rsidP="00BF71D8">
      <w:pPr>
        <w:pStyle w:val="NormalWeb"/>
        <w:spacing w:before="0" w:beforeAutospacing="0" w:after="0" w:afterAutospacing="0"/>
        <w:rPr>
          <w:rFonts w:ascii="Arial" w:hAnsi="Arial" w:cs="Arial"/>
          <w:color w:val="252525"/>
          <w:sz w:val="27"/>
          <w:szCs w:val="27"/>
          <w:shd w:val="clear" w:color="auto" w:fill="F2F2F2"/>
        </w:rPr>
      </w:pPr>
    </w:p>
    <w:p w:rsidR="00BF71D8" w:rsidRPr="00BF71D8" w:rsidRDefault="00BF71D8" w:rsidP="00BF71D8">
      <w:pPr>
        <w:pStyle w:val="NormalWeb"/>
        <w:spacing w:before="0" w:beforeAutospacing="0" w:after="0" w:afterAutospacing="0"/>
        <w:jc w:val="center"/>
        <w:rPr>
          <w:rFonts w:ascii="Times New Roman" w:hAnsi="Times New Roman"/>
          <w:sz w:val="24"/>
          <w:szCs w:val="24"/>
        </w:rPr>
      </w:pPr>
      <w:r w:rsidRPr="00BF71D8">
        <w:rPr>
          <w:rFonts w:ascii="Times New Roman" w:hAnsi="Times New Roman"/>
          <w:sz w:val="24"/>
          <w:szCs w:val="24"/>
        </w:rPr>
        <w:t>Brian Hartman</w:t>
      </w:r>
    </w:p>
    <w:p w:rsidR="00BF71D8" w:rsidRDefault="00BF71D8" w:rsidP="00BF71D8">
      <w:pPr>
        <w:pStyle w:val="NormalWeb"/>
        <w:spacing w:before="0" w:beforeAutospacing="0" w:after="0" w:afterAutospacing="0"/>
        <w:jc w:val="center"/>
        <w:rPr>
          <w:rFonts w:ascii="Times New Roman" w:hAnsi="Times New Roman"/>
          <w:sz w:val="24"/>
          <w:szCs w:val="24"/>
        </w:rPr>
      </w:pPr>
      <w:r w:rsidRPr="00BF71D8">
        <w:rPr>
          <w:rFonts w:ascii="Times New Roman" w:hAnsi="Times New Roman"/>
          <w:sz w:val="24"/>
          <w:szCs w:val="24"/>
        </w:rPr>
        <w:t>Oregon State University, </w:t>
      </w:r>
    </w:p>
    <w:p w:rsid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354 Nash Hall</w:t>
      </w:r>
    </w:p>
    <w:p w:rsidR="00BF71D8" w:rsidRP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Corvallis, OR</w:t>
      </w:r>
      <w:r w:rsidRPr="00BF71D8">
        <w:rPr>
          <w:rFonts w:ascii="Times New Roman" w:hAnsi="Times New Roman"/>
          <w:sz w:val="24"/>
          <w:szCs w:val="24"/>
        </w:rPr>
        <w:t>, 97331</w:t>
      </w:r>
    </w:p>
    <w:p w:rsidR="00BF71D8" w:rsidRP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 xml:space="preserve">(541) </w:t>
      </w:r>
      <w:r w:rsidRPr="00BF71D8">
        <w:rPr>
          <w:rFonts w:ascii="Times New Roman" w:hAnsi="Times New Roman"/>
          <w:sz w:val="24"/>
          <w:szCs w:val="24"/>
        </w:rPr>
        <w:t>740-6757</w:t>
      </w:r>
    </w:p>
    <w:p w:rsidR="00BF71D8" w:rsidRPr="00BF71D8" w:rsidRDefault="00BF71D8" w:rsidP="00BF71D8">
      <w:pPr>
        <w:pStyle w:val="NormalWeb"/>
        <w:spacing w:before="0" w:beforeAutospacing="0" w:after="0" w:afterAutospacing="0"/>
        <w:jc w:val="center"/>
        <w:rPr>
          <w:rFonts w:ascii="Times New Roman" w:hAnsi="Times New Roman"/>
          <w:sz w:val="24"/>
          <w:szCs w:val="24"/>
        </w:rPr>
      </w:pPr>
      <w:hyperlink r:id="rId8" w:history="1">
        <w:r w:rsidRPr="00BF71D8">
          <w:rPr>
            <w:rFonts w:ascii="Times New Roman" w:hAnsi="Times New Roman"/>
            <w:sz w:val="24"/>
            <w:szCs w:val="24"/>
          </w:rPr>
          <w:t>hartmanb@onid.orst.edu</w:t>
        </w:r>
      </w:hyperlink>
    </w:p>
    <w:p w:rsidR="00BF71D8" w:rsidRDefault="00BF71D8" w:rsidP="00BF71D8">
      <w:pPr>
        <w:spacing w:line="259" w:lineRule="auto"/>
        <w:jc w:val="center"/>
        <w:rPr>
          <w:color w:val="000000"/>
        </w:rPr>
      </w:pPr>
    </w:p>
    <w:p w:rsidR="00BF71D8" w:rsidRDefault="00BF71D8" w:rsidP="00BF71D8">
      <w:pPr>
        <w:spacing w:line="259" w:lineRule="auto"/>
        <w:jc w:val="center"/>
      </w:pPr>
      <w:proofErr w:type="spellStart"/>
      <w:r w:rsidRPr="00BF71D8">
        <w:t>Kimi</w:t>
      </w:r>
      <w:proofErr w:type="spellEnd"/>
      <w:r w:rsidRPr="00BF71D8">
        <w:t xml:space="preserve"> </w:t>
      </w:r>
      <w:proofErr w:type="spellStart"/>
      <w:r w:rsidRPr="00BF71D8">
        <w:t>Grzyb</w:t>
      </w:r>
      <w:proofErr w:type="spellEnd"/>
    </w:p>
    <w:p w:rsidR="00BF71D8" w:rsidRDefault="00BF71D8" w:rsidP="00BF71D8">
      <w:pPr>
        <w:pStyle w:val="NormalWeb"/>
        <w:spacing w:before="0" w:beforeAutospacing="0" w:after="0" w:afterAutospacing="0"/>
        <w:jc w:val="center"/>
        <w:rPr>
          <w:rFonts w:ascii="Times New Roman" w:hAnsi="Times New Roman"/>
          <w:sz w:val="24"/>
          <w:szCs w:val="24"/>
        </w:rPr>
      </w:pPr>
      <w:r w:rsidRPr="00BF71D8">
        <w:rPr>
          <w:rFonts w:ascii="Times New Roman" w:hAnsi="Times New Roman"/>
          <w:sz w:val="24"/>
          <w:szCs w:val="24"/>
        </w:rPr>
        <w:t>Oregon State University, </w:t>
      </w:r>
    </w:p>
    <w:p w:rsid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354 Nash Hall</w:t>
      </w:r>
    </w:p>
    <w:p w:rsidR="00BF71D8" w:rsidRP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Corvallis, OR</w:t>
      </w:r>
      <w:r w:rsidRPr="00BF71D8">
        <w:rPr>
          <w:rFonts w:ascii="Times New Roman" w:hAnsi="Times New Roman"/>
          <w:sz w:val="24"/>
          <w:szCs w:val="24"/>
        </w:rPr>
        <w:t>, 97331</w:t>
      </w:r>
    </w:p>
    <w:p w:rsidR="00BF71D8" w:rsidRDefault="00BF71D8" w:rsidP="00BF71D8">
      <w:pPr>
        <w:spacing w:line="259" w:lineRule="auto"/>
        <w:jc w:val="center"/>
      </w:pPr>
      <w:r>
        <w:t>(541) 737-1837</w:t>
      </w:r>
    </w:p>
    <w:p w:rsidR="00BF71D8" w:rsidRDefault="00BF71D8" w:rsidP="00BF71D8">
      <w:pPr>
        <w:spacing w:line="259" w:lineRule="auto"/>
        <w:jc w:val="center"/>
      </w:pPr>
      <w:proofErr w:type="spellStart"/>
      <w:proofErr w:type="gramStart"/>
      <w:r w:rsidRPr="00BF71D8">
        <w:t>kimi</w:t>
      </w:r>
      <w:proofErr w:type="spellEnd"/>
      <w:proofErr w:type="gramEnd"/>
      <w:r w:rsidRPr="00BF71D8">
        <w:t xml:space="preserve"> </w:t>
      </w:r>
      <w:hyperlink r:id="rId9" w:history="1">
        <w:r w:rsidRPr="00BF71D8">
          <w:t>grzybk@onid.oregonstate.edu</w:t>
        </w:r>
      </w:hyperlink>
    </w:p>
    <w:p w:rsidR="00BF71D8" w:rsidRDefault="00BF71D8" w:rsidP="00BF71D8">
      <w:pPr>
        <w:spacing w:line="259" w:lineRule="auto"/>
        <w:jc w:val="center"/>
        <w:rPr>
          <w:color w:val="000000"/>
        </w:rPr>
      </w:pPr>
    </w:p>
    <w:p w:rsidR="00BF71D8" w:rsidRDefault="00BF71D8" w:rsidP="00BF71D8">
      <w:pPr>
        <w:spacing w:line="259" w:lineRule="auto"/>
        <w:jc w:val="center"/>
        <w:rPr>
          <w:color w:val="000000"/>
        </w:rPr>
      </w:pPr>
      <w:r>
        <w:rPr>
          <w:color w:val="000000"/>
        </w:rPr>
        <w:t>Tyson J. Sorensen</w:t>
      </w:r>
    </w:p>
    <w:p w:rsidR="00BF71D8" w:rsidRDefault="00BF71D8" w:rsidP="00BF71D8">
      <w:pPr>
        <w:spacing w:line="259" w:lineRule="auto"/>
        <w:jc w:val="center"/>
        <w:rPr>
          <w:color w:val="000000"/>
        </w:rPr>
      </w:pPr>
      <w:r>
        <w:rPr>
          <w:color w:val="000000"/>
        </w:rPr>
        <w:t>Utah State University</w:t>
      </w:r>
    </w:p>
    <w:p w:rsidR="00BF71D8" w:rsidRDefault="00BF71D8" w:rsidP="00BF71D8">
      <w:pPr>
        <w:spacing w:line="259" w:lineRule="auto"/>
        <w:jc w:val="center"/>
        <w:rPr>
          <w:color w:val="000000"/>
        </w:rPr>
      </w:pPr>
      <w:r>
        <w:rPr>
          <w:color w:val="000000"/>
        </w:rPr>
        <w:t>2300 Old Main Hill</w:t>
      </w:r>
    </w:p>
    <w:p w:rsidR="00BF71D8" w:rsidRDefault="00BF71D8" w:rsidP="00BF71D8">
      <w:pPr>
        <w:spacing w:line="259" w:lineRule="auto"/>
        <w:jc w:val="center"/>
        <w:rPr>
          <w:color w:val="000000"/>
        </w:rPr>
      </w:pPr>
      <w:r>
        <w:rPr>
          <w:color w:val="000000"/>
        </w:rPr>
        <w:t>Logan, UT 84322-2300</w:t>
      </w:r>
    </w:p>
    <w:p w:rsidR="00BF71D8" w:rsidRDefault="00BF71D8" w:rsidP="00BF71D8">
      <w:pPr>
        <w:spacing w:line="259" w:lineRule="auto"/>
        <w:jc w:val="center"/>
        <w:rPr>
          <w:color w:val="000000"/>
        </w:rPr>
      </w:pPr>
      <w:r>
        <w:rPr>
          <w:color w:val="000000"/>
        </w:rPr>
        <w:t>(435) 797-5741</w:t>
      </w:r>
    </w:p>
    <w:p w:rsidR="00BF71D8" w:rsidRDefault="00BF71D8" w:rsidP="00BF71D8">
      <w:pPr>
        <w:spacing w:line="259" w:lineRule="auto"/>
        <w:jc w:val="center"/>
        <w:rPr>
          <w:color w:val="000000"/>
        </w:rPr>
      </w:pPr>
      <w:r>
        <w:rPr>
          <w:color w:val="000000"/>
        </w:rPr>
        <w:t>tyson.sorensen@usu.edu</w:t>
      </w:r>
    </w:p>
    <w:p w:rsidR="00BF71D8" w:rsidRDefault="00BF71D8" w:rsidP="00BF71D8">
      <w:pPr>
        <w:spacing w:line="259" w:lineRule="auto"/>
        <w:jc w:val="center"/>
        <w:rPr>
          <w:color w:val="000000"/>
        </w:rPr>
      </w:pPr>
    </w:p>
    <w:p w:rsidR="00BF71D8" w:rsidRPr="00BF71D8" w:rsidRDefault="00BF71D8" w:rsidP="00BF71D8">
      <w:pPr>
        <w:pStyle w:val="NormalWeb"/>
        <w:spacing w:before="0" w:beforeAutospacing="0" w:after="0" w:afterAutospacing="0"/>
        <w:jc w:val="center"/>
        <w:rPr>
          <w:rFonts w:ascii="Times New Roman" w:hAnsi="Times New Roman"/>
          <w:sz w:val="24"/>
          <w:szCs w:val="24"/>
        </w:rPr>
      </w:pPr>
      <w:r w:rsidRPr="00BF71D8">
        <w:rPr>
          <w:rFonts w:ascii="Times New Roman" w:hAnsi="Times New Roman"/>
          <w:sz w:val="24"/>
          <w:szCs w:val="24"/>
        </w:rPr>
        <w:t>Katherine G. Fields</w:t>
      </w:r>
    </w:p>
    <w:p w:rsidR="00BF71D8" w:rsidRDefault="00BF71D8" w:rsidP="00BF71D8">
      <w:pPr>
        <w:spacing w:line="259" w:lineRule="auto"/>
        <w:jc w:val="center"/>
      </w:pPr>
      <w:r>
        <w:t>Oregon State University</w:t>
      </w:r>
    </w:p>
    <w:p w:rsid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354 Nash Hall</w:t>
      </w:r>
    </w:p>
    <w:p w:rsidR="00BF71D8" w:rsidRPr="00BF71D8" w:rsidRDefault="00BF71D8" w:rsidP="00BF71D8">
      <w:pPr>
        <w:pStyle w:val="NormalWeb"/>
        <w:spacing w:before="0" w:beforeAutospacing="0" w:after="0" w:afterAutospacing="0"/>
        <w:jc w:val="center"/>
        <w:rPr>
          <w:rFonts w:ascii="Times New Roman" w:hAnsi="Times New Roman"/>
          <w:sz w:val="24"/>
          <w:szCs w:val="24"/>
        </w:rPr>
      </w:pPr>
      <w:r>
        <w:rPr>
          <w:rFonts w:ascii="Times New Roman" w:hAnsi="Times New Roman"/>
          <w:sz w:val="24"/>
          <w:szCs w:val="24"/>
        </w:rPr>
        <w:t>Corvallis, OR</w:t>
      </w:r>
      <w:r w:rsidRPr="00BF71D8">
        <w:rPr>
          <w:rFonts w:ascii="Times New Roman" w:hAnsi="Times New Roman"/>
          <w:sz w:val="24"/>
          <w:szCs w:val="24"/>
        </w:rPr>
        <w:t>, 97331</w:t>
      </w:r>
    </w:p>
    <w:p w:rsidR="00BF71D8" w:rsidRDefault="00BF71D8" w:rsidP="00BF71D8">
      <w:pPr>
        <w:spacing w:line="259" w:lineRule="auto"/>
        <w:jc w:val="center"/>
      </w:pPr>
      <w:r>
        <w:t>(541) 737-1837</w:t>
      </w:r>
    </w:p>
    <w:p w:rsidR="00BF71D8" w:rsidRDefault="00BF71D8" w:rsidP="00BF71D8">
      <w:pPr>
        <w:spacing w:line="259" w:lineRule="auto"/>
        <w:jc w:val="center"/>
      </w:pPr>
      <w:hyperlink r:id="rId10" w:history="1">
        <w:r w:rsidRPr="00BF71D8">
          <w:t>kate.field@oregonstate.edu</w:t>
        </w:r>
      </w:hyperlink>
    </w:p>
    <w:p w:rsidR="00BF71D8" w:rsidRDefault="00BF71D8" w:rsidP="00BF71D8">
      <w:pPr>
        <w:spacing w:line="259" w:lineRule="auto"/>
        <w:jc w:val="center"/>
      </w:pPr>
      <w:r>
        <w:t xml:space="preserve"> </w:t>
      </w:r>
    </w:p>
    <w:p w:rsidR="00BF71D8" w:rsidRDefault="00BF71D8" w:rsidP="00BF71D8">
      <w:pPr>
        <w:pStyle w:val="NormalWeb"/>
        <w:spacing w:before="0" w:beforeAutospacing="0" w:after="0" w:afterAutospacing="0"/>
        <w:rPr>
          <w:rFonts w:ascii="Arial" w:hAnsi="Arial" w:cs="Arial"/>
          <w:color w:val="252525"/>
          <w:sz w:val="27"/>
          <w:szCs w:val="27"/>
          <w:shd w:val="clear" w:color="auto" w:fill="F2F2F2"/>
        </w:rPr>
      </w:pPr>
    </w:p>
    <w:p w:rsidR="00BF71D8" w:rsidRPr="00BF71D8" w:rsidRDefault="00BF71D8" w:rsidP="00BF71D8">
      <w:pPr>
        <w:pStyle w:val="NormalWeb"/>
        <w:spacing w:before="0" w:beforeAutospacing="0" w:after="0" w:afterAutospacing="0"/>
        <w:rPr>
          <w:rFonts w:ascii="Times New Roman" w:hAnsi="Times New Roman"/>
          <w:sz w:val="24"/>
          <w:szCs w:val="24"/>
        </w:rPr>
      </w:pPr>
    </w:p>
    <w:p w:rsidR="00BF71D8" w:rsidRPr="00BF71D8" w:rsidRDefault="00BF71D8" w:rsidP="00BF71D8">
      <w:pPr>
        <w:pStyle w:val="NormalWeb"/>
        <w:spacing w:before="0" w:beforeAutospacing="0" w:after="0" w:afterAutospacing="0"/>
        <w:rPr>
          <w:rFonts w:ascii="Times New Roman" w:hAnsi="Times New Roman"/>
          <w:sz w:val="24"/>
          <w:szCs w:val="24"/>
        </w:rPr>
      </w:pPr>
    </w:p>
    <w:p w:rsidR="00C3058C" w:rsidRPr="0051315D" w:rsidRDefault="00BF71D8" w:rsidP="00C3058C">
      <w:pPr>
        <w:jc w:val="center"/>
        <w:rPr>
          <w:b/>
        </w:rPr>
      </w:pPr>
      <w:r w:rsidRPr="00BF71D8">
        <w:br w:type="page"/>
      </w:r>
      <w:r w:rsidR="00C3058C" w:rsidRPr="0051315D">
        <w:rPr>
          <w:b/>
        </w:rPr>
        <w:lastRenderedPageBreak/>
        <w:t>Bioenergy Science and Engineering as Components of Ag Education Curricula</w:t>
      </w:r>
    </w:p>
    <w:p w:rsidR="00C3058C" w:rsidRDefault="00C3058C" w:rsidP="00C3058C">
      <w:pPr>
        <w:jc w:val="center"/>
        <w:rPr>
          <w:b/>
        </w:rPr>
      </w:pPr>
    </w:p>
    <w:p w:rsidR="00C3058C" w:rsidRPr="0051315D" w:rsidRDefault="00C3058C" w:rsidP="00C3058C">
      <w:pPr>
        <w:jc w:val="center"/>
        <w:rPr>
          <w:b/>
        </w:rPr>
      </w:pPr>
      <w:r w:rsidRPr="0051315D">
        <w:rPr>
          <w:b/>
        </w:rPr>
        <w:t>Introduction/ Need for Research</w:t>
      </w:r>
    </w:p>
    <w:p w:rsidR="00C3058C" w:rsidRDefault="00C3058C" w:rsidP="00C3058C">
      <w:pPr>
        <w:spacing w:before="240"/>
        <w:ind w:firstLine="720"/>
      </w:pPr>
      <w:r>
        <w:t>It is important for the “entire global food and agriculture system be reflected in the [agricultural education] curriculum (</w:t>
      </w:r>
      <w:proofErr w:type="spellStart"/>
      <w:r>
        <w:t>Doerfert</w:t>
      </w:r>
      <w:proofErr w:type="spellEnd"/>
      <w:r>
        <w:t>, 2011, p. 26). However, teaching about energy crops is new in the agricultural education field (</w:t>
      </w:r>
      <w:proofErr w:type="spellStart"/>
      <w:r>
        <w:t>Sallee</w:t>
      </w:r>
      <w:proofErr w:type="spellEnd"/>
      <w:r>
        <w:t xml:space="preserve">, Edgar, &amp; Johnson, 2013). Teachers recognize the importance of bioenergy careers but do not have confidence in their knowledge about these career choices (Christensen, Warnick, </w:t>
      </w:r>
      <w:proofErr w:type="spellStart"/>
      <w:r>
        <w:t>Spielmaker</w:t>
      </w:r>
      <w:proofErr w:type="spellEnd"/>
      <w:r>
        <w:t xml:space="preserve">, Tarpley, &amp; </w:t>
      </w:r>
      <w:proofErr w:type="spellStart"/>
      <w:r>
        <w:t>Straquadine</w:t>
      </w:r>
      <w:proofErr w:type="spellEnd"/>
      <w:r>
        <w:t>, 2009). Additionally, teachers agree on the importance of biomass production and believe it should be taught in existing agricultural education classes (Han, 2014). However, curricula have not yet been developed to meet this need (Acker, 2008). In accordance with priority five of the National Research Agenda (</w:t>
      </w:r>
      <w:proofErr w:type="spellStart"/>
      <w:r>
        <w:t>Doerfert</w:t>
      </w:r>
      <w:proofErr w:type="spellEnd"/>
      <w:r>
        <w:t xml:space="preserve">, 2011), </w:t>
      </w:r>
      <w:r>
        <w:t>this study aimed</w:t>
      </w:r>
      <w:r>
        <w:t xml:space="preserve"> to develop a list of </w:t>
      </w:r>
      <w:r>
        <w:t xml:space="preserve">key </w:t>
      </w:r>
      <w:r>
        <w:t>bioenergy concepts for use in agricultural education programs. These concepts can be used to guide the development of curriculum to support the teaching of bioenergy concepts, including biomass production.</w:t>
      </w:r>
    </w:p>
    <w:p w:rsidR="00C3058C" w:rsidRDefault="00C3058C" w:rsidP="00C3058C"/>
    <w:p w:rsidR="00C3058C" w:rsidRPr="000539C6" w:rsidRDefault="00C3058C" w:rsidP="00C3058C">
      <w:pPr>
        <w:spacing w:after="240"/>
        <w:jc w:val="center"/>
        <w:rPr>
          <w:b/>
        </w:rPr>
      </w:pPr>
      <w:r w:rsidRPr="000539C6">
        <w:rPr>
          <w:b/>
        </w:rPr>
        <w:t>Theoretical Framework</w:t>
      </w:r>
    </w:p>
    <w:p w:rsidR="00C3058C" w:rsidRPr="003C135B" w:rsidRDefault="00C3058C" w:rsidP="00C3058C">
      <w:pPr>
        <w:ind w:firstLine="720"/>
      </w:pPr>
      <w:r>
        <w:t>Learning is most effective when it occurs in a meaningful context (</w:t>
      </w:r>
      <w:proofErr w:type="spellStart"/>
      <w:r>
        <w:t>Doerfert</w:t>
      </w:r>
      <w:proofErr w:type="spellEnd"/>
      <w:r>
        <w:t xml:space="preserve">, 2011). Bioenergy provides a context for students to learn concepts of biology, chemistry, physics, earth science, and economics. Situated learning (Lave &amp; Wenger, 1991) places the learner in a community of practice which provides a context for knowing the background and practices of the community. The inclusion of bioenergy in agricultural education allows students to take on the role of a biomass producer who must understand the larger issues associated with biomass crops and alternative energy needs. This approach situates </w:t>
      </w:r>
      <w:proofErr w:type="spellStart"/>
      <w:r>
        <w:t>agriscience</w:t>
      </w:r>
      <w:proofErr w:type="spellEnd"/>
      <w:r>
        <w:t xml:space="preserve"> concepts in a real-life context and allows students to better understand the issues. </w:t>
      </w:r>
    </w:p>
    <w:p w:rsidR="00C3058C" w:rsidRDefault="00C3058C" w:rsidP="00C3058C"/>
    <w:p w:rsidR="00C3058C" w:rsidRPr="000539C6" w:rsidRDefault="00C3058C" w:rsidP="00C3058C">
      <w:pPr>
        <w:spacing w:after="240"/>
        <w:jc w:val="center"/>
        <w:rPr>
          <w:b/>
        </w:rPr>
      </w:pPr>
      <w:r>
        <w:rPr>
          <w:b/>
        </w:rPr>
        <w:t>Methodology</w:t>
      </w:r>
    </w:p>
    <w:p w:rsidR="00C3058C" w:rsidRDefault="00C3058C" w:rsidP="00C3058C">
      <w:pPr>
        <w:ind w:firstLine="720"/>
      </w:pPr>
      <w:r>
        <w:t>This study was conducted using a mixed-method three-round “Classical Delphi” methodology (</w:t>
      </w:r>
      <w:proofErr w:type="spellStart"/>
      <w:r>
        <w:t>Dalkey</w:t>
      </w:r>
      <w:proofErr w:type="spellEnd"/>
      <w:r>
        <w:t xml:space="preserve"> &amp; Helmer, 1963; </w:t>
      </w:r>
      <w:proofErr w:type="spellStart"/>
      <w:r>
        <w:t>Okoli</w:t>
      </w:r>
      <w:proofErr w:type="spellEnd"/>
      <w:r>
        <w:t xml:space="preserve"> &amp; </w:t>
      </w:r>
      <w:proofErr w:type="spellStart"/>
      <w:r>
        <w:t>Pawlowski</w:t>
      </w:r>
      <w:proofErr w:type="spellEnd"/>
      <w:r>
        <w:t xml:space="preserve">, 2004). This approach was used to identify important concepts for a K12 bioenergy education framework and develop consensus among a group of bioenergy experts. </w:t>
      </w:r>
      <w:r w:rsidRPr="001E7A37">
        <w:t>To this end, educators and researchers (</w:t>
      </w:r>
      <w:r w:rsidRPr="00677E36">
        <w:rPr>
          <w:i/>
        </w:rPr>
        <w:t>N</w:t>
      </w:r>
      <w:r w:rsidRPr="001E7A37">
        <w:t xml:space="preserve">=20) from the </w:t>
      </w:r>
      <w:r>
        <w:t xml:space="preserve">National Institute of Food and Agriculture </w:t>
      </w:r>
      <w:r w:rsidRPr="001E7A37">
        <w:t xml:space="preserve">bioenergy </w:t>
      </w:r>
      <w:r>
        <w:t xml:space="preserve">grant research </w:t>
      </w:r>
      <w:r w:rsidRPr="001E7A37">
        <w:t>community were recruited to particip</w:t>
      </w:r>
      <w:r>
        <w:t xml:space="preserve">ate on an expert panel, </w:t>
      </w:r>
      <w:r w:rsidRPr="001E7A37">
        <w:t>charged with developing a consensus on the essential bioene</w:t>
      </w:r>
      <w:r>
        <w:t xml:space="preserve">rgy concepts for K12 students. </w:t>
      </w:r>
      <w:r w:rsidRPr="001E7A37">
        <w:t>A traditional three-round Delphi methodology was used to foster a consensus a</w:t>
      </w:r>
      <w:r>
        <w:t xml:space="preserve">round core bioenergy concepts. </w:t>
      </w:r>
      <w:r w:rsidRPr="001E7A37">
        <w:t xml:space="preserve">In round </w:t>
      </w:r>
      <w:r>
        <w:t xml:space="preserve">one, </w:t>
      </w:r>
      <w:r w:rsidRPr="001E7A37">
        <w:t>the experts were asked to list all the concepts they believed were essential to teachin</w:t>
      </w:r>
      <w:r>
        <w:t xml:space="preserve">g bioenergy at the K12 level. </w:t>
      </w:r>
      <w:r w:rsidRPr="001E7A37">
        <w:t>The participant’s responses were qualitatively coded for bioen</w:t>
      </w:r>
      <w:r>
        <w:t>ergy concept themes. In round two</w:t>
      </w:r>
      <w:r w:rsidRPr="001E7A37">
        <w:t>, experts were asked to rate (1=non-essential to 5=essenti</w:t>
      </w:r>
      <w:r>
        <w:t xml:space="preserve">al) how essential each of the themes were. </w:t>
      </w:r>
      <w:r w:rsidRPr="001E7A37">
        <w:t xml:space="preserve">Concepts with a rating below 4 were removed from the list as </w:t>
      </w:r>
      <w:r>
        <w:t>not being essential. In round three</w:t>
      </w:r>
      <w:r w:rsidRPr="001E7A37">
        <w:t>, participants again</w:t>
      </w:r>
      <w:r>
        <w:t xml:space="preserve"> rated the shortened list on importance</w:t>
      </w:r>
      <w:r w:rsidRPr="001E7A37">
        <w:t xml:space="preserve">.  </w:t>
      </w:r>
    </w:p>
    <w:p w:rsidR="00C3058C" w:rsidRDefault="00C3058C" w:rsidP="00C3058C"/>
    <w:p w:rsidR="00C3058C" w:rsidRPr="005E299F" w:rsidRDefault="00C3058C" w:rsidP="00C3058C">
      <w:pPr>
        <w:spacing w:after="240"/>
        <w:jc w:val="center"/>
      </w:pPr>
      <w:r w:rsidRPr="005E299F">
        <w:rPr>
          <w:b/>
          <w:color w:val="252525"/>
        </w:rPr>
        <w:t>Results/Findings</w:t>
      </w:r>
    </w:p>
    <w:p w:rsidR="00C3058C" w:rsidRDefault="00C3058C" w:rsidP="00C3058C">
      <w:pPr>
        <w:ind w:firstLine="720"/>
      </w:pPr>
      <w:r w:rsidRPr="009E4347">
        <w:t xml:space="preserve">Of the 21 experts who agreed to participate in the study, </w:t>
      </w:r>
      <w:r>
        <w:t xml:space="preserve">eight completed all three rounds.  After coding round one, 20 themes emerged. After round two, nine themes were removed from </w:t>
      </w:r>
      <w:r>
        <w:lastRenderedPageBreak/>
        <w:t xml:space="preserve">the list because they were rated below a 4 </w:t>
      </w:r>
      <w:r w:rsidRPr="001E7A37">
        <w:t>(1=non-essential to 5=essential)</w:t>
      </w:r>
      <w:r>
        <w:t xml:space="preserve"> by at least two-thirds of the respondents. Table 1 shows the final list of bioenergy themes and their ratings.</w:t>
      </w:r>
    </w:p>
    <w:p w:rsidR="00C3058C" w:rsidRDefault="00C3058C" w:rsidP="00C3058C"/>
    <w:p w:rsidR="00C3058C" w:rsidRDefault="00C3058C" w:rsidP="00C3058C">
      <w:r>
        <w:t>Table 1</w:t>
      </w:r>
    </w:p>
    <w:p w:rsidR="00C3058C" w:rsidRPr="00A45A45" w:rsidRDefault="00C3058C" w:rsidP="00C3058C">
      <w:pPr>
        <w:rPr>
          <w:i/>
        </w:rPr>
      </w:pPr>
      <w:r w:rsidRPr="00A45A45">
        <w:rPr>
          <w:i/>
        </w:rPr>
        <w:t>B</w:t>
      </w:r>
      <w:r>
        <w:rPr>
          <w:i/>
        </w:rPr>
        <w:t>ioenergy Science and Engineering Themes Identified by Experts for K12 Education (N=8)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1"/>
        <w:gridCol w:w="1389"/>
        <w:gridCol w:w="636"/>
        <w:gridCol w:w="636"/>
      </w:tblGrid>
      <w:tr w:rsidR="00C3058C" w:rsidTr="00196588">
        <w:tc>
          <w:tcPr>
            <w:tcW w:w="6699" w:type="dxa"/>
            <w:tcBorders>
              <w:top w:val="single" w:sz="8" w:space="0" w:color="auto"/>
              <w:left w:val="nil"/>
              <w:bottom w:val="single" w:sz="8" w:space="0" w:color="auto"/>
              <w:right w:val="nil"/>
            </w:tcBorders>
            <w:shd w:val="clear" w:color="auto" w:fill="auto"/>
          </w:tcPr>
          <w:p w:rsidR="00C3058C" w:rsidRDefault="00C3058C" w:rsidP="00196588">
            <w:r>
              <w:t>Theme</w:t>
            </w:r>
          </w:p>
        </w:tc>
        <w:tc>
          <w:tcPr>
            <w:tcW w:w="1389" w:type="dxa"/>
            <w:tcBorders>
              <w:top w:val="single" w:sz="8" w:space="0" w:color="auto"/>
              <w:left w:val="nil"/>
              <w:bottom w:val="single" w:sz="8" w:space="0" w:color="auto"/>
              <w:right w:val="nil"/>
            </w:tcBorders>
            <w:shd w:val="clear" w:color="auto" w:fill="auto"/>
          </w:tcPr>
          <w:p w:rsidR="00C3058C" w:rsidRDefault="00C3058C" w:rsidP="00196588">
            <w:pPr>
              <w:jc w:val="center"/>
            </w:pPr>
            <w:r>
              <w:t>Field</w:t>
            </w:r>
          </w:p>
        </w:tc>
        <w:tc>
          <w:tcPr>
            <w:tcW w:w="636" w:type="dxa"/>
            <w:tcBorders>
              <w:top w:val="single" w:sz="8" w:space="0" w:color="auto"/>
              <w:left w:val="nil"/>
              <w:bottom w:val="single" w:sz="8" w:space="0" w:color="auto"/>
              <w:right w:val="nil"/>
            </w:tcBorders>
            <w:shd w:val="clear" w:color="auto" w:fill="auto"/>
          </w:tcPr>
          <w:p w:rsidR="00C3058C" w:rsidRPr="000539C6" w:rsidRDefault="00C3058C" w:rsidP="00196588">
            <w:pPr>
              <w:jc w:val="center"/>
              <w:rPr>
                <w:i/>
              </w:rPr>
            </w:pPr>
            <w:r w:rsidRPr="000539C6">
              <w:rPr>
                <w:i/>
              </w:rPr>
              <w:t>M</w:t>
            </w:r>
          </w:p>
        </w:tc>
        <w:tc>
          <w:tcPr>
            <w:tcW w:w="636" w:type="dxa"/>
            <w:tcBorders>
              <w:top w:val="single" w:sz="8" w:space="0" w:color="auto"/>
              <w:left w:val="nil"/>
              <w:bottom w:val="single" w:sz="8" w:space="0" w:color="auto"/>
              <w:right w:val="nil"/>
            </w:tcBorders>
            <w:shd w:val="clear" w:color="auto" w:fill="auto"/>
          </w:tcPr>
          <w:p w:rsidR="00C3058C" w:rsidRPr="000539C6" w:rsidRDefault="00C3058C" w:rsidP="00196588">
            <w:pPr>
              <w:jc w:val="center"/>
              <w:rPr>
                <w:i/>
              </w:rPr>
            </w:pPr>
            <w:r w:rsidRPr="000539C6">
              <w:rPr>
                <w:i/>
              </w:rPr>
              <w:t>SD</w:t>
            </w:r>
          </w:p>
        </w:tc>
      </w:tr>
      <w:tr w:rsidR="00C3058C" w:rsidTr="00196588">
        <w:tc>
          <w:tcPr>
            <w:tcW w:w="6699" w:type="dxa"/>
            <w:tcBorders>
              <w:top w:val="single" w:sz="8" w:space="0" w:color="auto"/>
              <w:left w:val="nil"/>
              <w:bottom w:val="nil"/>
              <w:right w:val="nil"/>
            </w:tcBorders>
            <w:shd w:val="clear" w:color="auto" w:fill="auto"/>
          </w:tcPr>
          <w:p w:rsidR="00C3058C" w:rsidRDefault="00C3058C" w:rsidP="00196588">
            <w:pPr>
              <w:spacing w:line="276" w:lineRule="auto"/>
            </w:pPr>
            <w:r>
              <w:t>Energy requirements: Quantity and type of energy needed</w:t>
            </w:r>
          </w:p>
        </w:tc>
        <w:tc>
          <w:tcPr>
            <w:tcW w:w="1389" w:type="dxa"/>
            <w:tcBorders>
              <w:top w:val="single" w:sz="8" w:space="0" w:color="auto"/>
              <w:left w:val="nil"/>
              <w:bottom w:val="nil"/>
              <w:right w:val="nil"/>
            </w:tcBorders>
            <w:shd w:val="clear" w:color="auto" w:fill="auto"/>
          </w:tcPr>
          <w:p w:rsidR="00C3058C" w:rsidRDefault="00C3058C" w:rsidP="00196588">
            <w:pPr>
              <w:spacing w:line="276" w:lineRule="auto"/>
              <w:jc w:val="center"/>
            </w:pPr>
            <w:r>
              <w:t>Engineering</w:t>
            </w:r>
          </w:p>
        </w:tc>
        <w:tc>
          <w:tcPr>
            <w:tcW w:w="636" w:type="dxa"/>
            <w:tcBorders>
              <w:top w:val="single" w:sz="8" w:space="0" w:color="auto"/>
              <w:left w:val="nil"/>
              <w:bottom w:val="nil"/>
              <w:right w:val="nil"/>
            </w:tcBorders>
            <w:shd w:val="clear" w:color="auto" w:fill="auto"/>
          </w:tcPr>
          <w:p w:rsidR="00C3058C" w:rsidRDefault="00C3058C" w:rsidP="00196588">
            <w:pPr>
              <w:spacing w:line="276" w:lineRule="auto"/>
              <w:jc w:val="center"/>
            </w:pPr>
            <w:r>
              <w:t>4.88</w:t>
            </w:r>
          </w:p>
        </w:tc>
        <w:tc>
          <w:tcPr>
            <w:tcW w:w="636" w:type="dxa"/>
            <w:tcBorders>
              <w:top w:val="single" w:sz="8" w:space="0" w:color="auto"/>
              <w:left w:val="nil"/>
              <w:bottom w:val="nil"/>
              <w:right w:val="nil"/>
            </w:tcBorders>
            <w:shd w:val="clear" w:color="auto" w:fill="auto"/>
          </w:tcPr>
          <w:p w:rsidR="00C3058C" w:rsidRDefault="00C3058C" w:rsidP="00196588">
            <w:pPr>
              <w:spacing w:line="276" w:lineRule="auto"/>
              <w:jc w:val="center"/>
            </w:pPr>
            <w:r>
              <w:t>0.35</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ind w:left="252" w:hanging="252"/>
            </w:pPr>
            <w:r w:rsidRPr="00E76906">
              <w:t>Energy consumption: Current and historical energy sources</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Engineering</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4.88</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0.35</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ind w:left="252" w:hanging="252"/>
            </w:pPr>
            <w:r>
              <w:t>Climate change:  Historical record and projected consequences</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4.88</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0.52</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ind w:left="252" w:hanging="252"/>
            </w:pPr>
            <w:r>
              <w:t>Nature of engineering: How engineering is important to bioenergy</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Engineering</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4.63</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0.52</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pPr>
            <w:r>
              <w:t xml:space="preserve">Energy fundamentals  </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 xml:space="preserve">Engineering </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4.63</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0.52</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pPr>
            <w:r>
              <w:t>Work, energy, conversions</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4.63</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0.52</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ind w:left="252" w:hanging="252"/>
            </w:pPr>
            <w:r w:rsidRPr="00E76906">
              <w:t>Lifecycle assessment: Environmental impacts cradle to grave</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4.50</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0.52</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pPr>
            <w:r>
              <w:t>Photosynthesis:  How light energy is stored in plants</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4.38</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0.46</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pPr>
            <w:r>
              <w:t>Conversion principles: Types of biomass conversions</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4.38</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0.52</w:t>
            </w:r>
          </w:p>
        </w:tc>
      </w:tr>
      <w:tr w:rsidR="00C3058C" w:rsidTr="00196588">
        <w:tc>
          <w:tcPr>
            <w:tcW w:w="6699" w:type="dxa"/>
            <w:tcBorders>
              <w:top w:val="nil"/>
              <w:left w:val="nil"/>
              <w:bottom w:val="nil"/>
              <w:right w:val="nil"/>
            </w:tcBorders>
            <w:shd w:val="clear" w:color="auto" w:fill="auto"/>
          </w:tcPr>
          <w:p w:rsidR="00C3058C" w:rsidRDefault="00C3058C" w:rsidP="00196588">
            <w:pPr>
              <w:spacing w:line="276" w:lineRule="auto"/>
            </w:pPr>
            <w:r>
              <w:t>Chemical cycles: Water, carbon, nitrogen cycles</w:t>
            </w:r>
          </w:p>
        </w:tc>
        <w:tc>
          <w:tcPr>
            <w:tcW w:w="1389" w:type="dxa"/>
            <w:tcBorders>
              <w:top w:val="nil"/>
              <w:left w:val="nil"/>
              <w:bottom w:val="nil"/>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4.25</w:t>
            </w:r>
          </w:p>
        </w:tc>
        <w:tc>
          <w:tcPr>
            <w:tcW w:w="636" w:type="dxa"/>
            <w:tcBorders>
              <w:top w:val="nil"/>
              <w:left w:val="nil"/>
              <w:bottom w:val="nil"/>
              <w:right w:val="nil"/>
            </w:tcBorders>
            <w:shd w:val="clear" w:color="auto" w:fill="auto"/>
          </w:tcPr>
          <w:p w:rsidR="00C3058C" w:rsidRDefault="00C3058C" w:rsidP="00196588">
            <w:pPr>
              <w:spacing w:line="276" w:lineRule="auto"/>
              <w:jc w:val="center"/>
            </w:pPr>
            <w:r>
              <w:t>0.35</w:t>
            </w:r>
          </w:p>
        </w:tc>
      </w:tr>
      <w:tr w:rsidR="00C3058C" w:rsidTr="00196588">
        <w:tc>
          <w:tcPr>
            <w:tcW w:w="6699" w:type="dxa"/>
            <w:tcBorders>
              <w:top w:val="nil"/>
              <w:left w:val="nil"/>
              <w:bottom w:val="single" w:sz="8" w:space="0" w:color="auto"/>
              <w:right w:val="nil"/>
            </w:tcBorders>
            <w:shd w:val="clear" w:color="auto" w:fill="auto"/>
          </w:tcPr>
          <w:p w:rsidR="00C3058C" w:rsidRDefault="00C3058C" w:rsidP="00196588">
            <w:pPr>
              <w:spacing w:line="276" w:lineRule="auto"/>
            </w:pPr>
            <w:r w:rsidRPr="00B37BEA">
              <w:t>Ecosystems: Ecology and human impact</w:t>
            </w:r>
          </w:p>
        </w:tc>
        <w:tc>
          <w:tcPr>
            <w:tcW w:w="1389" w:type="dxa"/>
            <w:tcBorders>
              <w:top w:val="nil"/>
              <w:left w:val="nil"/>
              <w:bottom w:val="single" w:sz="8" w:space="0" w:color="auto"/>
              <w:right w:val="nil"/>
            </w:tcBorders>
            <w:shd w:val="clear" w:color="auto" w:fill="auto"/>
          </w:tcPr>
          <w:p w:rsidR="00C3058C" w:rsidRDefault="00C3058C" w:rsidP="00196588">
            <w:pPr>
              <w:spacing w:line="276" w:lineRule="auto"/>
              <w:jc w:val="center"/>
            </w:pPr>
            <w:r>
              <w:t>Science</w:t>
            </w:r>
          </w:p>
        </w:tc>
        <w:tc>
          <w:tcPr>
            <w:tcW w:w="636" w:type="dxa"/>
            <w:tcBorders>
              <w:top w:val="nil"/>
              <w:left w:val="nil"/>
              <w:bottom w:val="single" w:sz="8" w:space="0" w:color="auto"/>
              <w:right w:val="nil"/>
            </w:tcBorders>
            <w:shd w:val="clear" w:color="auto" w:fill="auto"/>
          </w:tcPr>
          <w:p w:rsidR="00C3058C" w:rsidRDefault="00C3058C" w:rsidP="00196588">
            <w:pPr>
              <w:spacing w:line="276" w:lineRule="auto"/>
              <w:jc w:val="center"/>
            </w:pPr>
            <w:r>
              <w:t>4.25</w:t>
            </w:r>
          </w:p>
        </w:tc>
        <w:tc>
          <w:tcPr>
            <w:tcW w:w="636" w:type="dxa"/>
            <w:tcBorders>
              <w:top w:val="nil"/>
              <w:left w:val="nil"/>
              <w:bottom w:val="single" w:sz="8" w:space="0" w:color="auto"/>
              <w:right w:val="nil"/>
            </w:tcBorders>
            <w:shd w:val="clear" w:color="auto" w:fill="auto"/>
          </w:tcPr>
          <w:p w:rsidR="00C3058C" w:rsidRDefault="00C3058C" w:rsidP="00196588">
            <w:pPr>
              <w:spacing w:line="276" w:lineRule="auto"/>
              <w:jc w:val="center"/>
            </w:pPr>
            <w:r>
              <w:t>0.52</w:t>
            </w:r>
          </w:p>
        </w:tc>
      </w:tr>
    </w:tbl>
    <w:p w:rsidR="00C3058C" w:rsidRPr="00516F04" w:rsidRDefault="00C3058C" w:rsidP="00C3058C">
      <w:r>
        <w:rPr>
          <w:i/>
        </w:rPr>
        <w:t>Note.</w:t>
      </w:r>
      <w:r w:rsidRPr="00516F04">
        <w:t xml:space="preserve">  Items ranked on a scale of 1= non-essential to 5=essential.</w:t>
      </w:r>
    </w:p>
    <w:p w:rsidR="00C3058C" w:rsidRDefault="00C3058C" w:rsidP="00C3058C"/>
    <w:p w:rsidR="00C3058C" w:rsidRPr="000539C6" w:rsidRDefault="00C3058C" w:rsidP="00C3058C">
      <w:pPr>
        <w:spacing w:after="240"/>
        <w:jc w:val="center"/>
        <w:rPr>
          <w:b/>
        </w:rPr>
      </w:pPr>
      <w:r w:rsidRPr="000539C6">
        <w:rPr>
          <w:b/>
        </w:rPr>
        <w:t>Conclusion</w:t>
      </w:r>
    </w:p>
    <w:p w:rsidR="00C3058C" w:rsidRDefault="00C3058C" w:rsidP="00C3058C">
      <w:pPr>
        <w:ind w:firstLine="720"/>
      </w:pPr>
      <w:r>
        <w:t xml:space="preserve">Because bioenergy is a new field in agricultural education it can be difficult for educators to choose appropriate topics from among the many available. This study yielded 11 important themes, producing a framework for teachers to integrate aspects of bioenergy concepts into agricultural education classrooms. </w:t>
      </w:r>
      <w:bookmarkStart w:id="0" w:name="_GoBack"/>
      <w:bookmarkEnd w:id="0"/>
      <w:r>
        <w:t xml:space="preserve">The bioenergy concepts framework highlights the need for basic understandings of energy along with a better understanding of basic biology concepts such as photosynthesis, chemical cycles, and ecosystems.  Furthermore, these findings provide a framework for educators to facilitate learning in a community of practice because it provides students with a context for knowing the key concepts and practices of bioenergy and biomass production.   </w:t>
      </w:r>
    </w:p>
    <w:p w:rsidR="00C3058C" w:rsidRDefault="00C3058C" w:rsidP="00C3058C"/>
    <w:p w:rsidR="00C3058C" w:rsidRDefault="00C3058C" w:rsidP="00C3058C">
      <w:pPr>
        <w:jc w:val="center"/>
        <w:rPr>
          <w:b/>
        </w:rPr>
      </w:pPr>
      <w:r>
        <w:rPr>
          <w:b/>
        </w:rPr>
        <w:t>Implications/Recommendations/Impact on Profession</w:t>
      </w:r>
    </w:p>
    <w:p w:rsidR="00C3058C" w:rsidRDefault="00C3058C" w:rsidP="00C3058C">
      <w:pPr>
        <w:rPr>
          <w:b/>
          <w:u w:val="single"/>
        </w:rPr>
      </w:pPr>
    </w:p>
    <w:p w:rsidR="005E299F" w:rsidRPr="00C3058C" w:rsidRDefault="00C3058C" w:rsidP="00C3058C">
      <w:pPr>
        <w:ind w:firstLine="720"/>
      </w:pPr>
      <w:r>
        <w:t xml:space="preserve">This research contributes to the field by providing guidance regarding important bioenergy concepts applicable to agricultural education classrooms. Because these themes emerged from a K12 education context, these findings have implications not only for secondary agriculture teachers, but also agricultural literacy programs, such as Agriculture in the Classroom, in the primary grade levels. </w:t>
      </w:r>
      <w:r>
        <w:t xml:space="preserve">We recommend state agriculture teacher associations work with university faculty in developing and distributing this curricula. </w:t>
      </w:r>
      <w:r>
        <w:t>Furthermore, we recommend teachers</w:t>
      </w:r>
      <w:r>
        <w:t xml:space="preserve"> and university faculty</w:t>
      </w:r>
      <w:r>
        <w:t xml:space="preserve"> utilize the themes and concepts from this study when developing bioenergy curricula</w:t>
      </w:r>
      <w:r>
        <w:t xml:space="preserve">. </w:t>
      </w:r>
      <w:r>
        <w:t>Finally, we recommend needs assessment studies and professional development regarding the teaching of bioenergy concepts be conducted among agriculture teachers.</w:t>
      </w:r>
      <w:r w:rsidR="005230BF">
        <w:t xml:space="preserve"> </w:t>
      </w:r>
      <w:r w:rsidR="000539C6" w:rsidRPr="00C3058C">
        <w:br w:type="page"/>
      </w:r>
    </w:p>
    <w:p w:rsidR="00B929A7" w:rsidRPr="00D04EFB" w:rsidRDefault="00B929A7" w:rsidP="005E299F">
      <w:pPr>
        <w:jc w:val="center"/>
        <w:rPr>
          <w:b/>
          <w:u w:val="single"/>
        </w:rPr>
      </w:pPr>
      <w:r w:rsidRPr="00AD6673">
        <w:rPr>
          <w:b/>
        </w:rPr>
        <w:lastRenderedPageBreak/>
        <w:t>References</w:t>
      </w:r>
    </w:p>
    <w:p w:rsidR="005514A6" w:rsidRPr="00E973BF" w:rsidRDefault="005514A6" w:rsidP="00E973BF">
      <w:pPr>
        <w:pStyle w:val="NormalWeb"/>
        <w:ind w:left="720" w:hanging="720"/>
        <w:rPr>
          <w:rFonts w:ascii="Times New Roman" w:hAnsi="Times New Roman"/>
          <w:sz w:val="24"/>
          <w:szCs w:val="24"/>
        </w:rPr>
      </w:pPr>
      <w:r w:rsidRPr="00E973BF">
        <w:rPr>
          <w:rFonts w:ascii="Times New Roman" w:hAnsi="Times New Roman"/>
          <w:sz w:val="24"/>
          <w:szCs w:val="24"/>
        </w:rPr>
        <w:t>Acker, D., &amp; National 25x’25 Agriculture/Forestry Steering</w:t>
      </w:r>
      <w:r w:rsidR="00E973BF">
        <w:rPr>
          <w:rFonts w:ascii="Times New Roman" w:hAnsi="Times New Roman"/>
          <w:sz w:val="24"/>
          <w:szCs w:val="24"/>
        </w:rPr>
        <w:t xml:space="preserve"> Committee (2008). Research and </w:t>
      </w:r>
      <w:r w:rsidRPr="00E973BF">
        <w:rPr>
          <w:rFonts w:ascii="Times New Roman" w:hAnsi="Times New Roman"/>
          <w:sz w:val="24"/>
          <w:szCs w:val="24"/>
        </w:rPr>
        <w:t>Educ</w:t>
      </w:r>
      <w:r w:rsidR="00E973BF" w:rsidRPr="00E973BF">
        <w:rPr>
          <w:rFonts w:ascii="Times New Roman" w:hAnsi="Times New Roman"/>
          <w:sz w:val="24"/>
          <w:szCs w:val="24"/>
        </w:rPr>
        <w:t>ation Priorities in Agriculture</w:t>
      </w:r>
      <w:r w:rsidRPr="00E973BF">
        <w:rPr>
          <w:rFonts w:ascii="Times New Roman" w:hAnsi="Times New Roman"/>
          <w:sz w:val="24"/>
          <w:szCs w:val="24"/>
        </w:rPr>
        <w:t>, Forestry</w:t>
      </w:r>
      <w:r w:rsidR="00E973BF" w:rsidRPr="00E973BF">
        <w:rPr>
          <w:rFonts w:ascii="Times New Roman" w:hAnsi="Times New Roman"/>
          <w:sz w:val="24"/>
          <w:szCs w:val="24"/>
        </w:rPr>
        <w:t xml:space="preserve"> and Energy to Achieve the 25x</w:t>
      </w:r>
      <w:r w:rsidRPr="00E973BF">
        <w:rPr>
          <w:rFonts w:ascii="Times New Roman" w:hAnsi="Times New Roman"/>
          <w:sz w:val="24"/>
          <w:szCs w:val="24"/>
        </w:rPr>
        <w:t xml:space="preserve">25. </w:t>
      </w:r>
      <w:r w:rsidRPr="00E973BF">
        <w:rPr>
          <w:rFonts w:ascii="Times New Roman" w:hAnsi="Times New Roman"/>
          <w:i/>
          <w:iCs/>
          <w:sz w:val="24"/>
          <w:szCs w:val="24"/>
        </w:rPr>
        <w:t>North American Colleges and Teachers of Agriculture Journal</w:t>
      </w:r>
      <w:r w:rsidRPr="00E973BF">
        <w:rPr>
          <w:rFonts w:ascii="Times New Roman" w:hAnsi="Times New Roman"/>
          <w:sz w:val="24"/>
          <w:szCs w:val="24"/>
        </w:rPr>
        <w:t>, (March), 55–59.</w:t>
      </w:r>
    </w:p>
    <w:p w:rsidR="005514A6" w:rsidRPr="00E973BF" w:rsidRDefault="005514A6" w:rsidP="00E973BF">
      <w:pPr>
        <w:pStyle w:val="NormalWeb"/>
        <w:ind w:left="720" w:hanging="720"/>
        <w:rPr>
          <w:rFonts w:ascii="Times New Roman" w:hAnsi="Times New Roman"/>
          <w:sz w:val="24"/>
          <w:szCs w:val="24"/>
        </w:rPr>
      </w:pPr>
      <w:r w:rsidRPr="00E973BF">
        <w:rPr>
          <w:rFonts w:ascii="Times New Roman" w:hAnsi="Times New Roman"/>
          <w:sz w:val="24"/>
          <w:szCs w:val="24"/>
        </w:rPr>
        <w:t xml:space="preserve">Christensen, J., Warnick, B., </w:t>
      </w:r>
      <w:proofErr w:type="spellStart"/>
      <w:r w:rsidRPr="00E973BF">
        <w:rPr>
          <w:rFonts w:ascii="Times New Roman" w:hAnsi="Times New Roman"/>
          <w:sz w:val="24"/>
          <w:szCs w:val="24"/>
        </w:rPr>
        <w:t>Spielmaker</w:t>
      </w:r>
      <w:proofErr w:type="spellEnd"/>
      <w:r w:rsidRPr="00E973BF">
        <w:rPr>
          <w:rFonts w:ascii="Times New Roman" w:hAnsi="Times New Roman"/>
          <w:sz w:val="24"/>
          <w:szCs w:val="24"/>
        </w:rPr>
        <w:t xml:space="preserve">, D., Tarpley, R., &amp; </w:t>
      </w:r>
      <w:proofErr w:type="spellStart"/>
      <w:r w:rsidRPr="00E973BF">
        <w:rPr>
          <w:rFonts w:ascii="Times New Roman" w:hAnsi="Times New Roman"/>
          <w:sz w:val="24"/>
          <w:szCs w:val="24"/>
        </w:rPr>
        <w:t>Straquadine</w:t>
      </w:r>
      <w:proofErr w:type="spellEnd"/>
      <w:r w:rsidRPr="00E973BF">
        <w:rPr>
          <w:rFonts w:ascii="Times New Roman" w:hAnsi="Times New Roman"/>
          <w:sz w:val="24"/>
          <w:szCs w:val="24"/>
        </w:rPr>
        <w:t xml:space="preserve">, G. (2009). Agricultural in-service needs of introductory level career and technical </w:t>
      </w:r>
      <w:r w:rsidR="00F84765" w:rsidRPr="00E973BF">
        <w:rPr>
          <w:rFonts w:ascii="Times New Roman" w:hAnsi="Times New Roman"/>
          <w:sz w:val="24"/>
          <w:szCs w:val="24"/>
        </w:rPr>
        <w:t>education</w:t>
      </w:r>
      <w:r w:rsidRPr="00E973BF">
        <w:rPr>
          <w:rFonts w:ascii="Times New Roman" w:hAnsi="Times New Roman"/>
          <w:sz w:val="24"/>
          <w:szCs w:val="24"/>
        </w:rPr>
        <w:t xml:space="preserve"> teachers. </w:t>
      </w:r>
      <w:r w:rsidRPr="00E973BF">
        <w:rPr>
          <w:rFonts w:ascii="Times New Roman" w:hAnsi="Times New Roman"/>
          <w:i/>
          <w:iCs/>
          <w:sz w:val="24"/>
          <w:szCs w:val="24"/>
        </w:rPr>
        <w:t>Journal of Agricultural Education</w:t>
      </w:r>
      <w:r w:rsidRPr="00E973BF">
        <w:rPr>
          <w:rFonts w:ascii="Times New Roman" w:hAnsi="Times New Roman"/>
          <w:sz w:val="24"/>
          <w:szCs w:val="24"/>
        </w:rPr>
        <w:t xml:space="preserve">, </w:t>
      </w:r>
      <w:r w:rsidRPr="00E973BF">
        <w:rPr>
          <w:rFonts w:ascii="Times New Roman" w:hAnsi="Times New Roman"/>
          <w:i/>
          <w:iCs/>
          <w:sz w:val="24"/>
          <w:szCs w:val="24"/>
        </w:rPr>
        <w:t>50</w:t>
      </w:r>
      <w:r w:rsidRPr="00E973BF">
        <w:rPr>
          <w:rFonts w:ascii="Times New Roman" w:hAnsi="Times New Roman"/>
          <w:sz w:val="24"/>
          <w:szCs w:val="24"/>
        </w:rPr>
        <w:t>(4)</w:t>
      </w:r>
      <w:r w:rsidR="00F84765" w:rsidRPr="00E973BF">
        <w:rPr>
          <w:rFonts w:ascii="Times New Roman" w:hAnsi="Times New Roman"/>
          <w:sz w:val="24"/>
          <w:szCs w:val="24"/>
        </w:rPr>
        <w:t>, 1-13</w:t>
      </w:r>
      <w:r w:rsidRPr="00E973BF">
        <w:rPr>
          <w:rFonts w:ascii="Times New Roman" w:hAnsi="Times New Roman"/>
          <w:sz w:val="24"/>
          <w:szCs w:val="24"/>
        </w:rPr>
        <w:t>.</w:t>
      </w:r>
      <w:r w:rsidR="00F84765" w:rsidRPr="00E973BF">
        <w:rPr>
          <w:rFonts w:ascii="Times New Roman" w:hAnsi="Times New Roman"/>
          <w:sz w:val="24"/>
          <w:szCs w:val="24"/>
        </w:rPr>
        <w:t xml:space="preserve"> </w:t>
      </w:r>
      <w:proofErr w:type="spellStart"/>
      <w:proofErr w:type="gramStart"/>
      <w:r w:rsidR="00F84765" w:rsidRPr="00E973BF">
        <w:rPr>
          <w:rFonts w:ascii="Times New Roman" w:hAnsi="Times New Roman"/>
          <w:sz w:val="24"/>
          <w:szCs w:val="24"/>
        </w:rPr>
        <w:t>doi</w:t>
      </w:r>
      <w:proofErr w:type="spellEnd"/>
      <w:proofErr w:type="gramEnd"/>
      <w:r w:rsidR="00F84765" w:rsidRPr="00E973BF">
        <w:rPr>
          <w:rFonts w:ascii="Times New Roman" w:hAnsi="Times New Roman"/>
          <w:sz w:val="24"/>
          <w:szCs w:val="24"/>
        </w:rPr>
        <w:t>: 10.5032/jae.2009.04001</w:t>
      </w:r>
    </w:p>
    <w:p w:rsidR="00F84765" w:rsidRDefault="00F84765" w:rsidP="00F84765">
      <w:pPr>
        <w:ind w:left="720" w:hanging="720"/>
      </w:pPr>
      <w:proofErr w:type="spellStart"/>
      <w:r>
        <w:t>Dalkey</w:t>
      </w:r>
      <w:proofErr w:type="spellEnd"/>
      <w:r>
        <w:t xml:space="preserve">, N., &amp; Helmer, O. (1963). An experimental application of the Delphi method to the use of experts. </w:t>
      </w:r>
      <w:r>
        <w:rPr>
          <w:i/>
          <w:iCs/>
        </w:rPr>
        <w:t>Management Science</w:t>
      </w:r>
      <w:r>
        <w:t xml:space="preserve">, </w:t>
      </w:r>
      <w:r>
        <w:rPr>
          <w:i/>
          <w:iCs/>
        </w:rPr>
        <w:t>9</w:t>
      </w:r>
      <w:r>
        <w:t>(3), 458-467.</w:t>
      </w:r>
    </w:p>
    <w:p w:rsidR="002E3B1F" w:rsidRPr="008D09ED" w:rsidRDefault="002E3B1F" w:rsidP="002E3B1F">
      <w:pPr>
        <w:spacing w:before="240"/>
        <w:ind w:left="720" w:hanging="720"/>
      </w:pPr>
      <w:proofErr w:type="spellStart"/>
      <w:r w:rsidRPr="008D09ED">
        <w:t>Doerfert</w:t>
      </w:r>
      <w:proofErr w:type="spellEnd"/>
      <w:r w:rsidRPr="008D09ED">
        <w:t xml:space="preserve">, D. L. (Ed.) (2011). </w:t>
      </w:r>
      <w:r w:rsidRPr="008D09ED">
        <w:rPr>
          <w:i/>
        </w:rPr>
        <w:t>National research agenda: American Association for Agricultural Education’s research priority areas for 2011-2015.</w:t>
      </w:r>
      <w:r w:rsidRPr="008D09ED">
        <w:t xml:space="preserve"> Lubbock, TX: Texas Tech University, Department of Agricultural Education and Communications.  Retrieved from: </w:t>
      </w:r>
      <w:r w:rsidRPr="00277A8F">
        <w:t>http://aaaeonline.org/National-Research-Agenda</w:t>
      </w:r>
    </w:p>
    <w:p w:rsidR="00561E58" w:rsidRPr="00E973BF" w:rsidRDefault="00561E58" w:rsidP="00E973BF">
      <w:pPr>
        <w:pStyle w:val="NormalWeb"/>
        <w:ind w:left="720" w:hanging="720"/>
        <w:rPr>
          <w:rFonts w:ascii="Times New Roman" w:hAnsi="Times New Roman"/>
          <w:sz w:val="24"/>
          <w:szCs w:val="24"/>
        </w:rPr>
      </w:pPr>
      <w:r w:rsidRPr="00E973BF">
        <w:rPr>
          <w:rFonts w:ascii="Times New Roman" w:hAnsi="Times New Roman"/>
          <w:sz w:val="24"/>
          <w:szCs w:val="24"/>
        </w:rPr>
        <w:t xml:space="preserve">Han, G. (2014). </w:t>
      </w:r>
      <w:r w:rsidRPr="00E973BF">
        <w:rPr>
          <w:rFonts w:ascii="Times New Roman" w:hAnsi="Times New Roman"/>
          <w:i/>
          <w:iCs/>
          <w:sz w:val="24"/>
          <w:szCs w:val="24"/>
        </w:rPr>
        <w:t>Perceptions of secondary school agriculture teachers regarding biomass production education in Iowa</w:t>
      </w:r>
      <w:r w:rsidRPr="00E973BF">
        <w:rPr>
          <w:rFonts w:ascii="Times New Roman" w:hAnsi="Times New Roman"/>
          <w:sz w:val="24"/>
          <w:szCs w:val="24"/>
        </w:rPr>
        <w:t xml:space="preserve"> (Unpublished dissertation).   Iowa State University, Iowa.</w:t>
      </w:r>
    </w:p>
    <w:p w:rsidR="00F84765" w:rsidRDefault="00F84765" w:rsidP="00F84765">
      <w:pPr>
        <w:ind w:left="720" w:hanging="720"/>
      </w:pPr>
      <w:r>
        <w:t xml:space="preserve">Lave, J., &amp; Wenger, E. (1991). </w:t>
      </w:r>
      <w:r>
        <w:rPr>
          <w:i/>
          <w:iCs/>
        </w:rPr>
        <w:t>Situated learning: Legitimate peripheral participation</w:t>
      </w:r>
      <w:r>
        <w:t>. Cambridge university press.</w:t>
      </w:r>
    </w:p>
    <w:p w:rsidR="00F84765" w:rsidRDefault="00F84765" w:rsidP="00F84765">
      <w:pPr>
        <w:spacing w:before="240"/>
        <w:ind w:left="720" w:hanging="720"/>
      </w:pPr>
      <w:proofErr w:type="spellStart"/>
      <w:r>
        <w:t>Okoli</w:t>
      </w:r>
      <w:proofErr w:type="spellEnd"/>
      <w:r>
        <w:t xml:space="preserve">, C., &amp; </w:t>
      </w:r>
      <w:proofErr w:type="spellStart"/>
      <w:r>
        <w:t>Pawlowski</w:t>
      </w:r>
      <w:proofErr w:type="spellEnd"/>
      <w:r>
        <w:t xml:space="preserve">, S. D. (2004). The Delphi method as a research tool: an example, design considerations and applications. </w:t>
      </w:r>
      <w:r>
        <w:rPr>
          <w:i/>
          <w:iCs/>
        </w:rPr>
        <w:t>Information &amp; Management</w:t>
      </w:r>
      <w:r>
        <w:t xml:space="preserve">, </w:t>
      </w:r>
      <w:r>
        <w:rPr>
          <w:i/>
          <w:iCs/>
        </w:rPr>
        <w:t>42</w:t>
      </w:r>
      <w:r>
        <w:t>(1), 15-29.</w:t>
      </w:r>
    </w:p>
    <w:p w:rsidR="004D1198" w:rsidRPr="00E973BF" w:rsidRDefault="004D1198" w:rsidP="00E973BF">
      <w:pPr>
        <w:pStyle w:val="NormalWeb"/>
        <w:ind w:left="720" w:hanging="720"/>
        <w:rPr>
          <w:rFonts w:ascii="Times New Roman" w:hAnsi="Times New Roman"/>
          <w:sz w:val="24"/>
          <w:szCs w:val="24"/>
        </w:rPr>
      </w:pPr>
      <w:proofErr w:type="spellStart"/>
      <w:r w:rsidRPr="00E973BF">
        <w:rPr>
          <w:rFonts w:ascii="Times New Roman" w:hAnsi="Times New Roman"/>
          <w:sz w:val="24"/>
          <w:szCs w:val="24"/>
        </w:rPr>
        <w:t>Sallee</w:t>
      </w:r>
      <w:proofErr w:type="spellEnd"/>
      <w:r w:rsidRPr="00E973BF">
        <w:rPr>
          <w:rFonts w:ascii="Times New Roman" w:hAnsi="Times New Roman"/>
          <w:sz w:val="24"/>
          <w:szCs w:val="24"/>
        </w:rPr>
        <w:t xml:space="preserve">, C. W., Edgar, D. W., &amp; </w:t>
      </w:r>
      <w:r w:rsidR="00E973BF" w:rsidRPr="00E973BF">
        <w:rPr>
          <w:rFonts w:ascii="Times New Roman" w:hAnsi="Times New Roman"/>
          <w:sz w:val="24"/>
          <w:szCs w:val="24"/>
        </w:rPr>
        <w:t>Johnson, D. M. (2013). Student perceptions of instructional methods t</w:t>
      </w:r>
      <w:r w:rsidRPr="00E973BF">
        <w:rPr>
          <w:rFonts w:ascii="Times New Roman" w:hAnsi="Times New Roman"/>
          <w:sz w:val="24"/>
          <w:szCs w:val="24"/>
        </w:rPr>
        <w:t>owar</w:t>
      </w:r>
      <w:r w:rsidR="00E973BF" w:rsidRPr="00E973BF">
        <w:rPr>
          <w:rFonts w:ascii="Times New Roman" w:hAnsi="Times New Roman"/>
          <w:sz w:val="24"/>
          <w:szCs w:val="24"/>
        </w:rPr>
        <w:t>ds alternative energy e</w:t>
      </w:r>
      <w:r w:rsidR="00F84765" w:rsidRPr="00E973BF">
        <w:rPr>
          <w:rFonts w:ascii="Times New Roman" w:hAnsi="Times New Roman"/>
          <w:sz w:val="24"/>
          <w:szCs w:val="24"/>
        </w:rPr>
        <w:t>ducation.</w:t>
      </w:r>
      <w:r w:rsidRPr="00E973BF">
        <w:rPr>
          <w:rFonts w:ascii="Times New Roman" w:hAnsi="Times New Roman"/>
          <w:sz w:val="24"/>
          <w:szCs w:val="24"/>
        </w:rPr>
        <w:t xml:space="preserve"> </w:t>
      </w:r>
      <w:r w:rsidR="00F84765" w:rsidRPr="00E973BF">
        <w:rPr>
          <w:rFonts w:ascii="Times New Roman" w:hAnsi="Times New Roman"/>
          <w:i/>
          <w:sz w:val="24"/>
          <w:szCs w:val="24"/>
        </w:rPr>
        <w:t>Journal of Agricultural Education,</w:t>
      </w:r>
      <w:r w:rsidR="00F84765" w:rsidRPr="00E973BF">
        <w:rPr>
          <w:rFonts w:ascii="Times New Roman" w:hAnsi="Times New Roman"/>
          <w:sz w:val="24"/>
          <w:szCs w:val="24"/>
        </w:rPr>
        <w:t xml:space="preserve"> </w:t>
      </w:r>
      <w:r w:rsidRPr="00E973BF">
        <w:rPr>
          <w:rFonts w:ascii="Times New Roman" w:hAnsi="Times New Roman"/>
          <w:i/>
          <w:iCs/>
          <w:sz w:val="24"/>
          <w:szCs w:val="24"/>
        </w:rPr>
        <w:t>54</w:t>
      </w:r>
      <w:r w:rsidRPr="00E973BF">
        <w:rPr>
          <w:rFonts w:ascii="Times New Roman" w:hAnsi="Times New Roman"/>
          <w:sz w:val="24"/>
          <w:szCs w:val="24"/>
        </w:rPr>
        <w:t>(2), 130–142. doi:10.5032/jae.2013.02130</w:t>
      </w:r>
    </w:p>
    <w:p w:rsidR="004D1198" w:rsidRDefault="004D1198" w:rsidP="005E7A11"/>
    <w:sectPr w:rsidR="004D1198" w:rsidSect="005E7A11">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63B" w:rsidRDefault="0024363B">
      <w:r>
        <w:separator/>
      </w:r>
    </w:p>
  </w:endnote>
  <w:endnote w:type="continuationSeparator" w:id="0">
    <w:p w:rsidR="0024363B" w:rsidRDefault="00243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5827" w:rsidRDefault="004D5827">
    <w:pPr>
      <w:pStyle w:val="Footer"/>
      <w:jc w:val="center"/>
    </w:pPr>
    <w:r>
      <w:fldChar w:fldCharType="begin"/>
    </w:r>
    <w:r>
      <w:instrText xml:space="preserve"> PAGE   \* MERGEFORMAT </w:instrText>
    </w:r>
    <w:r>
      <w:fldChar w:fldCharType="separate"/>
    </w:r>
    <w:r w:rsidR="0045382F">
      <w:rPr>
        <w:noProof/>
      </w:rPr>
      <w:t>4</w:t>
    </w:r>
    <w:r>
      <w:rPr>
        <w:noProof/>
      </w:rPr>
      <w:fldChar w:fldCharType="end"/>
    </w:r>
  </w:p>
  <w:p w:rsidR="004D5827" w:rsidRDefault="004D58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71D8" w:rsidRDefault="00BF71D8">
    <w:pPr>
      <w:pStyle w:val="Footer"/>
      <w:jc w:val="center"/>
    </w:pPr>
    <w:r>
      <w:fldChar w:fldCharType="begin"/>
    </w:r>
    <w:r>
      <w:instrText xml:space="preserve"> PAGE   \* MERGEFORMAT </w:instrText>
    </w:r>
    <w:r>
      <w:fldChar w:fldCharType="separate"/>
    </w:r>
    <w:r w:rsidR="00BD5871">
      <w:rPr>
        <w:noProof/>
      </w:rPr>
      <w:t>1</w:t>
    </w:r>
    <w:r>
      <w:rPr>
        <w:noProof/>
      </w:rPr>
      <w:fldChar w:fldCharType="end"/>
    </w:r>
  </w:p>
  <w:p w:rsidR="005514A6" w:rsidRDefault="005514A6" w:rsidP="005E7A11">
    <w:pPr>
      <w:pStyle w:val="Footer"/>
      <w:tabs>
        <w:tab w:val="clear" w:pos="4320"/>
        <w:tab w:val="center" w:pos="468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63B" w:rsidRDefault="0024363B">
      <w:r>
        <w:separator/>
      </w:r>
    </w:p>
  </w:footnote>
  <w:footnote w:type="continuationSeparator" w:id="0">
    <w:p w:rsidR="0024363B" w:rsidRDefault="00243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284C" w:rsidRPr="00E7284C" w:rsidRDefault="00E7284C" w:rsidP="00E7284C">
    <w:pPr>
      <w:pStyle w:val="Header"/>
      <w:jc w:val="right"/>
      <w:rPr>
        <w:b/>
      </w:rPr>
    </w:pPr>
    <w:r w:rsidRPr="00E7284C">
      <w:rPr>
        <w:b/>
      </w:rPr>
      <w:t>Research</w:t>
    </w:r>
  </w:p>
  <w:p w:rsidR="00E7284C" w:rsidRDefault="00E728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8EE0D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6C16F47A"/>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3136473C"/>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4A4CC814"/>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60C61AC2"/>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07FCB9E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37364372"/>
    <w:multiLevelType w:val="hybridMultilevel"/>
    <w:tmpl w:val="D2A0E9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B98"/>
    <w:rsid w:val="00016382"/>
    <w:rsid w:val="00023733"/>
    <w:rsid w:val="00027AB9"/>
    <w:rsid w:val="000539C6"/>
    <w:rsid w:val="000578B4"/>
    <w:rsid w:val="0008301A"/>
    <w:rsid w:val="000D511F"/>
    <w:rsid w:val="000D5577"/>
    <w:rsid w:val="001E7A37"/>
    <w:rsid w:val="00207392"/>
    <w:rsid w:val="00207DDB"/>
    <w:rsid w:val="0024363B"/>
    <w:rsid w:val="0025135E"/>
    <w:rsid w:val="002A5DBB"/>
    <w:rsid w:val="002D65F1"/>
    <w:rsid w:val="002E3B1F"/>
    <w:rsid w:val="002E6197"/>
    <w:rsid w:val="00314753"/>
    <w:rsid w:val="00357BB1"/>
    <w:rsid w:val="003C5D19"/>
    <w:rsid w:val="003D0407"/>
    <w:rsid w:val="003F34CF"/>
    <w:rsid w:val="004437C0"/>
    <w:rsid w:val="0045382F"/>
    <w:rsid w:val="004B57CB"/>
    <w:rsid w:val="004D1198"/>
    <w:rsid w:val="004D5827"/>
    <w:rsid w:val="00510BE4"/>
    <w:rsid w:val="00516F04"/>
    <w:rsid w:val="005230BF"/>
    <w:rsid w:val="005514A6"/>
    <w:rsid w:val="0055601C"/>
    <w:rsid w:val="00561E58"/>
    <w:rsid w:val="005B2EA4"/>
    <w:rsid w:val="005E299F"/>
    <w:rsid w:val="005E7A11"/>
    <w:rsid w:val="00615596"/>
    <w:rsid w:val="006212BD"/>
    <w:rsid w:val="0067485B"/>
    <w:rsid w:val="00677E36"/>
    <w:rsid w:val="00690155"/>
    <w:rsid w:val="006B1F63"/>
    <w:rsid w:val="006B42C9"/>
    <w:rsid w:val="006D4A64"/>
    <w:rsid w:val="006F5D6F"/>
    <w:rsid w:val="0070042B"/>
    <w:rsid w:val="00714790"/>
    <w:rsid w:val="00724A2E"/>
    <w:rsid w:val="007458A6"/>
    <w:rsid w:val="00763512"/>
    <w:rsid w:val="007909F4"/>
    <w:rsid w:val="007C7F74"/>
    <w:rsid w:val="00800C62"/>
    <w:rsid w:val="00907F07"/>
    <w:rsid w:val="00950B26"/>
    <w:rsid w:val="00982AAE"/>
    <w:rsid w:val="00A13C8B"/>
    <w:rsid w:val="00A17C4C"/>
    <w:rsid w:val="00A45A45"/>
    <w:rsid w:val="00AD6673"/>
    <w:rsid w:val="00B75B98"/>
    <w:rsid w:val="00B85DDE"/>
    <w:rsid w:val="00B929A7"/>
    <w:rsid w:val="00BB1C0B"/>
    <w:rsid w:val="00BD5871"/>
    <w:rsid w:val="00BD76C5"/>
    <w:rsid w:val="00BF71D8"/>
    <w:rsid w:val="00C14391"/>
    <w:rsid w:val="00C3058C"/>
    <w:rsid w:val="00C800E3"/>
    <w:rsid w:val="00CA4D2C"/>
    <w:rsid w:val="00D04EFB"/>
    <w:rsid w:val="00D32FBD"/>
    <w:rsid w:val="00DB0434"/>
    <w:rsid w:val="00DD76F8"/>
    <w:rsid w:val="00E32627"/>
    <w:rsid w:val="00E7284C"/>
    <w:rsid w:val="00E84B5C"/>
    <w:rsid w:val="00E90A24"/>
    <w:rsid w:val="00E973BF"/>
    <w:rsid w:val="00EE5B1A"/>
    <w:rsid w:val="00F075EE"/>
    <w:rsid w:val="00F23E39"/>
    <w:rsid w:val="00F847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efaultImageDpi w14:val="3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link w:val="HeaderChar"/>
    <w:uiPriority w:val="99"/>
    <w:rsid w:val="005E7A11"/>
    <w:pPr>
      <w:tabs>
        <w:tab w:val="center" w:pos="4320"/>
        <w:tab w:val="right" w:pos="8640"/>
      </w:tabs>
    </w:pPr>
  </w:style>
  <w:style w:type="paragraph" w:styleId="Footer">
    <w:name w:val="footer"/>
    <w:basedOn w:val="Normal"/>
    <w:link w:val="FooterChar"/>
    <w:uiPriority w:val="99"/>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paragraph" w:styleId="NormalWeb">
    <w:name w:val="Normal (Web)"/>
    <w:basedOn w:val="Normal"/>
    <w:uiPriority w:val="99"/>
    <w:unhideWhenUsed/>
    <w:rsid w:val="004D1198"/>
    <w:pPr>
      <w:spacing w:before="100" w:beforeAutospacing="1" w:after="100" w:afterAutospacing="1"/>
    </w:pPr>
    <w:rPr>
      <w:rFonts w:ascii="Times" w:hAnsi="Times"/>
      <w:sz w:val="20"/>
      <w:szCs w:val="20"/>
    </w:rPr>
  </w:style>
  <w:style w:type="paragraph" w:styleId="ColorfulList-Accent1">
    <w:name w:val="Colorful List Accent 1"/>
    <w:basedOn w:val="Normal"/>
    <w:uiPriority w:val="34"/>
    <w:qFormat/>
    <w:rsid w:val="00690155"/>
    <w:pPr>
      <w:ind w:left="720"/>
      <w:contextualSpacing/>
    </w:pPr>
    <w:rPr>
      <w:rFonts w:ascii="Cambria" w:eastAsia="MS Mincho" w:hAnsi="Cambria"/>
    </w:rPr>
  </w:style>
  <w:style w:type="table" w:styleId="TableGrid">
    <w:name w:val="Table Grid"/>
    <w:basedOn w:val="TableNormal"/>
    <w:uiPriority w:val="59"/>
    <w:rsid w:val="00D04EFB"/>
    <w:rPr>
      <w:rFonts w:ascii="Cambria" w:eastAsia="MS Mincho" w:hAnsi="Cambr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07DDB"/>
    <w:rPr>
      <w:sz w:val="16"/>
      <w:szCs w:val="16"/>
    </w:rPr>
  </w:style>
  <w:style w:type="paragraph" w:styleId="CommentText">
    <w:name w:val="annotation text"/>
    <w:basedOn w:val="Normal"/>
    <w:link w:val="CommentTextChar"/>
    <w:uiPriority w:val="99"/>
    <w:semiHidden/>
    <w:unhideWhenUsed/>
    <w:rsid w:val="00207DDB"/>
    <w:rPr>
      <w:sz w:val="20"/>
      <w:szCs w:val="20"/>
    </w:rPr>
  </w:style>
  <w:style w:type="character" w:customStyle="1" w:styleId="CommentTextChar">
    <w:name w:val="Comment Text Char"/>
    <w:basedOn w:val="DefaultParagraphFont"/>
    <w:link w:val="CommentText"/>
    <w:uiPriority w:val="99"/>
    <w:semiHidden/>
    <w:rsid w:val="00207DDB"/>
  </w:style>
  <w:style w:type="paragraph" w:styleId="CommentSubject">
    <w:name w:val="annotation subject"/>
    <w:basedOn w:val="CommentText"/>
    <w:next w:val="CommentText"/>
    <w:link w:val="CommentSubjectChar"/>
    <w:uiPriority w:val="99"/>
    <w:semiHidden/>
    <w:unhideWhenUsed/>
    <w:rsid w:val="00207DDB"/>
    <w:rPr>
      <w:b/>
      <w:bCs/>
    </w:rPr>
  </w:style>
  <w:style w:type="character" w:customStyle="1" w:styleId="CommentSubjectChar">
    <w:name w:val="Comment Subject Char"/>
    <w:link w:val="CommentSubject"/>
    <w:uiPriority w:val="99"/>
    <w:semiHidden/>
    <w:rsid w:val="00207DDB"/>
    <w:rPr>
      <w:b/>
      <w:bCs/>
    </w:rPr>
  </w:style>
  <w:style w:type="character" w:customStyle="1" w:styleId="HeaderChar">
    <w:name w:val="Header Char"/>
    <w:link w:val="Header"/>
    <w:uiPriority w:val="99"/>
    <w:rsid w:val="00E7284C"/>
    <w:rPr>
      <w:sz w:val="24"/>
      <w:szCs w:val="24"/>
    </w:rPr>
  </w:style>
  <w:style w:type="character" w:customStyle="1" w:styleId="FooterChar">
    <w:name w:val="Footer Char"/>
    <w:link w:val="Footer"/>
    <w:uiPriority w:val="99"/>
    <w:rsid w:val="00BF71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8428">
      <w:bodyDiv w:val="1"/>
      <w:marLeft w:val="0"/>
      <w:marRight w:val="0"/>
      <w:marTop w:val="0"/>
      <w:marBottom w:val="0"/>
      <w:divBdr>
        <w:top w:val="none" w:sz="0" w:space="0" w:color="auto"/>
        <w:left w:val="none" w:sz="0" w:space="0" w:color="auto"/>
        <w:bottom w:val="none" w:sz="0" w:space="0" w:color="auto"/>
        <w:right w:val="none" w:sz="0" w:space="0" w:color="auto"/>
      </w:divBdr>
    </w:div>
    <w:div w:id="58939845">
      <w:bodyDiv w:val="1"/>
      <w:marLeft w:val="0"/>
      <w:marRight w:val="0"/>
      <w:marTop w:val="0"/>
      <w:marBottom w:val="0"/>
      <w:divBdr>
        <w:top w:val="none" w:sz="0" w:space="0" w:color="auto"/>
        <w:left w:val="none" w:sz="0" w:space="0" w:color="auto"/>
        <w:bottom w:val="none" w:sz="0" w:space="0" w:color="auto"/>
        <w:right w:val="none" w:sz="0" w:space="0" w:color="auto"/>
      </w:divBdr>
    </w:div>
    <w:div w:id="241373782">
      <w:bodyDiv w:val="1"/>
      <w:marLeft w:val="0"/>
      <w:marRight w:val="0"/>
      <w:marTop w:val="0"/>
      <w:marBottom w:val="0"/>
      <w:divBdr>
        <w:top w:val="none" w:sz="0" w:space="0" w:color="auto"/>
        <w:left w:val="none" w:sz="0" w:space="0" w:color="auto"/>
        <w:bottom w:val="none" w:sz="0" w:space="0" w:color="auto"/>
        <w:right w:val="none" w:sz="0" w:space="0" w:color="auto"/>
      </w:divBdr>
    </w:div>
    <w:div w:id="391778636">
      <w:bodyDiv w:val="1"/>
      <w:marLeft w:val="0"/>
      <w:marRight w:val="0"/>
      <w:marTop w:val="0"/>
      <w:marBottom w:val="0"/>
      <w:divBdr>
        <w:top w:val="none" w:sz="0" w:space="0" w:color="auto"/>
        <w:left w:val="none" w:sz="0" w:space="0" w:color="auto"/>
        <w:bottom w:val="none" w:sz="0" w:space="0" w:color="auto"/>
        <w:right w:val="none" w:sz="0" w:space="0" w:color="auto"/>
      </w:divBdr>
    </w:div>
    <w:div w:id="714474872">
      <w:bodyDiv w:val="1"/>
      <w:marLeft w:val="0"/>
      <w:marRight w:val="0"/>
      <w:marTop w:val="0"/>
      <w:marBottom w:val="0"/>
      <w:divBdr>
        <w:top w:val="none" w:sz="0" w:space="0" w:color="auto"/>
        <w:left w:val="none" w:sz="0" w:space="0" w:color="auto"/>
        <w:bottom w:val="none" w:sz="0" w:space="0" w:color="auto"/>
        <w:right w:val="none" w:sz="0" w:space="0" w:color="auto"/>
      </w:divBdr>
      <w:divsChild>
        <w:div w:id="315718893">
          <w:marLeft w:val="0"/>
          <w:marRight w:val="0"/>
          <w:marTop w:val="0"/>
          <w:marBottom w:val="0"/>
          <w:divBdr>
            <w:top w:val="none" w:sz="0" w:space="0" w:color="auto"/>
            <w:left w:val="none" w:sz="0" w:space="0" w:color="auto"/>
            <w:bottom w:val="none" w:sz="0" w:space="0" w:color="auto"/>
            <w:right w:val="none" w:sz="0" w:space="0" w:color="auto"/>
          </w:divBdr>
        </w:div>
      </w:divsChild>
    </w:div>
    <w:div w:id="741828976">
      <w:bodyDiv w:val="1"/>
      <w:marLeft w:val="0"/>
      <w:marRight w:val="0"/>
      <w:marTop w:val="0"/>
      <w:marBottom w:val="0"/>
      <w:divBdr>
        <w:top w:val="none" w:sz="0" w:space="0" w:color="auto"/>
        <w:left w:val="none" w:sz="0" w:space="0" w:color="auto"/>
        <w:bottom w:val="none" w:sz="0" w:space="0" w:color="auto"/>
        <w:right w:val="none" w:sz="0" w:space="0" w:color="auto"/>
      </w:divBdr>
    </w:div>
    <w:div w:id="821695750">
      <w:bodyDiv w:val="1"/>
      <w:marLeft w:val="0"/>
      <w:marRight w:val="0"/>
      <w:marTop w:val="0"/>
      <w:marBottom w:val="0"/>
      <w:divBdr>
        <w:top w:val="none" w:sz="0" w:space="0" w:color="auto"/>
        <w:left w:val="none" w:sz="0" w:space="0" w:color="auto"/>
        <w:bottom w:val="none" w:sz="0" w:space="0" w:color="auto"/>
        <w:right w:val="none" w:sz="0" w:space="0" w:color="auto"/>
      </w:divBdr>
    </w:div>
    <w:div w:id="1149977464">
      <w:bodyDiv w:val="1"/>
      <w:marLeft w:val="0"/>
      <w:marRight w:val="0"/>
      <w:marTop w:val="0"/>
      <w:marBottom w:val="0"/>
      <w:divBdr>
        <w:top w:val="none" w:sz="0" w:space="0" w:color="auto"/>
        <w:left w:val="none" w:sz="0" w:space="0" w:color="auto"/>
        <w:bottom w:val="none" w:sz="0" w:space="0" w:color="auto"/>
        <w:right w:val="none" w:sz="0" w:space="0" w:color="auto"/>
      </w:divBdr>
    </w:div>
    <w:div w:id="1389500137">
      <w:bodyDiv w:val="1"/>
      <w:marLeft w:val="0"/>
      <w:marRight w:val="0"/>
      <w:marTop w:val="0"/>
      <w:marBottom w:val="0"/>
      <w:divBdr>
        <w:top w:val="none" w:sz="0" w:space="0" w:color="auto"/>
        <w:left w:val="none" w:sz="0" w:space="0" w:color="auto"/>
        <w:bottom w:val="none" w:sz="0" w:space="0" w:color="auto"/>
        <w:right w:val="none" w:sz="0" w:space="0" w:color="auto"/>
      </w:divBdr>
    </w:div>
    <w:div w:id="1629701510">
      <w:bodyDiv w:val="1"/>
      <w:marLeft w:val="0"/>
      <w:marRight w:val="0"/>
      <w:marTop w:val="0"/>
      <w:marBottom w:val="0"/>
      <w:divBdr>
        <w:top w:val="none" w:sz="0" w:space="0" w:color="auto"/>
        <w:left w:val="none" w:sz="0" w:space="0" w:color="auto"/>
        <w:bottom w:val="none" w:sz="0" w:space="0" w:color="auto"/>
        <w:right w:val="none" w:sz="0" w:space="0" w:color="auto"/>
      </w:divBdr>
      <w:divsChild>
        <w:div w:id="870000425">
          <w:marLeft w:val="0"/>
          <w:marRight w:val="0"/>
          <w:marTop w:val="0"/>
          <w:marBottom w:val="0"/>
          <w:divBdr>
            <w:top w:val="none" w:sz="0" w:space="0" w:color="auto"/>
            <w:left w:val="none" w:sz="0" w:space="0" w:color="auto"/>
            <w:bottom w:val="none" w:sz="0" w:space="0" w:color="auto"/>
            <w:right w:val="none" w:sz="0" w:space="0" w:color="auto"/>
          </w:divBdr>
        </w:div>
      </w:divsChild>
    </w:div>
    <w:div w:id="1960641132">
      <w:bodyDiv w:val="1"/>
      <w:marLeft w:val="0"/>
      <w:marRight w:val="0"/>
      <w:marTop w:val="0"/>
      <w:marBottom w:val="0"/>
      <w:divBdr>
        <w:top w:val="none" w:sz="0" w:space="0" w:color="auto"/>
        <w:left w:val="none" w:sz="0" w:space="0" w:color="auto"/>
        <w:bottom w:val="none" w:sz="0" w:space="0" w:color="auto"/>
        <w:right w:val="none" w:sz="0" w:space="0" w:color="auto"/>
      </w:divBdr>
      <w:divsChild>
        <w:div w:id="13040399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hartmanb@onid.orst.ed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te.field@oregonstate.edu" TargetMode="External"/><Relationship Id="rId4" Type="http://schemas.openxmlformats.org/officeDocument/2006/relationships/settings" Target="settings.xml"/><Relationship Id="rId9" Type="http://schemas.openxmlformats.org/officeDocument/2006/relationships/hyperlink" Target="mailto:grzybk@onid.oregonstat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26677-C868-4404-B7DB-D462EC451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Links>
    <vt:vector size="18" baseType="variant">
      <vt:variant>
        <vt:i4>2555998</vt:i4>
      </vt:variant>
      <vt:variant>
        <vt:i4>6</vt:i4>
      </vt:variant>
      <vt:variant>
        <vt:i4>0</vt:i4>
      </vt:variant>
      <vt:variant>
        <vt:i4>5</vt:i4>
      </vt:variant>
      <vt:variant>
        <vt:lpwstr>mailto:kate.field@oregonstate.edu</vt:lpwstr>
      </vt:variant>
      <vt:variant>
        <vt:lpwstr/>
      </vt:variant>
      <vt:variant>
        <vt:i4>5570611</vt:i4>
      </vt:variant>
      <vt:variant>
        <vt:i4>3</vt:i4>
      </vt:variant>
      <vt:variant>
        <vt:i4>0</vt:i4>
      </vt:variant>
      <vt:variant>
        <vt:i4>5</vt:i4>
      </vt:variant>
      <vt:variant>
        <vt:lpwstr>mailto:grzybk@onid.oregonstate.edu</vt:lpwstr>
      </vt:variant>
      <vt:variant>
        <vt:lpwstr/>
      </vt:variant>
      <vt:variant>
        <vt:i4>6750231</vt:i4>
      </vt:variant>
      <vt:variant>
        <vt:i4>0</vt:i4>
      </vt:variant>
      <vt:variant>
        <vt:i4>0</vt:i4>
      </vt:variant>
      <vt:variant>
        <vt:i4>5</vt:i4>
      </vt:variant>
      <vt:variant>
        <vt:lpwstr>mailto:hartmanb@onid.orst.edu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2015-08-14T13:48:00Z</dcterms:created>
  <dcterms:modified xsi:type="dcterms:W3CDTF">2015-08-14T13:48:00Z</dcterms:modified>
</cp:coreProperties>
</file>