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3512" w:rsidRPr="00755F3F" w:rsidRDefault="00B929A7" w:rsidP="00B929A7">
      <w:pPr>
        <w:pStyle w:val="Title"/>
        <w:jc w:val="right"/>
        <w:rPr>
          <w:rFonts w:cs="Times New Roman"/>
          <w:szCs w:val="24"/>
        </w:rPr>
      </w:pPr>
      <w:bookmarkStart w:id="0" w:name="_GoBack"/>
      <w:bookmarkEnd w:id="0"/>
      <w:r w:rsidRPr="00755F3F">
        <w:rPr>
          <w:rFonts w:cs="Times New Roman"/>
          <w:szCs w:val="24"/>
        </w:rPr>
        <w:t>Poster Type (Research)</w:t>
      </w:r>
    </w:p>
    <w:p w:rsidR="00763512" w:rsidRPr="00755F3F" w:rsidRDefault="00763512" w:rsidP="00763512">
      <w:pPr>
        <w:pStyle w:val="Title"/>
        <w:rPr>
          <w:rFonts w:cs="Times New Roman"/>
          <w:szCs w:val="24"/>
        </w:rPr>
      </w:pPr>
    </w:p>
    <w:p w:rsidR="00763512" w:rsidRPr="00755F3F" w:rsidRDefault="00763512" w:rsidP="00763512">
      <w:pPr>
        <w:pStyle w:val="Title"/>
        <w:rPr>
          <w:rFonts w:cs="Times New Roman"/>
          <w:szCs w:val="24"/>
        </w:rPr>
      </w:pPr>
    </w:p>
    <w:p w:rsidR="00763512" w:rsidRPr="00755F3F" w:rsidRDefault="00763512" w:rsidP="00763512">
      <w:pPr>
        <w:pStyle w:val="Title"/>
        <w:rPr>
          <w:rFonts w:cs="Times New Roman"/>
          <w:szCs w:val="24"/>
        </w:rPr>
      </w:pPr>
    </w:p>
    <w:p w:rsidR="00763512" w:rsidRPr="00755F3F" w:rsidRDefault="00763512" w:rsidP="00763512">
      <w:pPr>
        <w:pStyle w:val="Title"/>
        <w:rPr>
          <w:rFonts w:cs="Times New Roman"/>
          <w:szCs w:val="24"/>
        </w:rPr>
      </w:pPr>
    </w:p>
    <w:p w:rsidR="005F7B42" w:rsidRPr="00755F3F" w:rsidRDefault="005F7B42" w:rsidP="005F7B42">
      <w:pPr>
        <w:tabs>
          <w:tab w:val="left" w:pos="2205"/>
          <w:tab w:val="center" w:pos="4680"/>
        </w:tabs>
        <w:spacing w:line="480" w:lineRule="auto"/>
        <w:jc w:val="center"/>
        <w:rPr>
          <w:b/>
        </w:rPr>
      </w:pPr>
      <w:r w:rsidRPr="00755F3F">
        <w:rPr>
          <w:b/>
        </w:rPr>
        <w:t>Why teach? The Value of “Planting the Seed”</w:t>
      </w:r>
    </w:p>
    <w:p w:rsidR="00797858" w:rsidRPr="00755F3F" w:rsidRDefault="00797858" w:rsidP="00763512">
      <w:pPr>
        <w:pStyle w:val="Title"/>
        <w:rPr>
          <w:rFonts w:cs="Times New Roman"/>
          <w:b w:val="0"/>
          <w:szCs w:val="24"/>
        </w:rPr>
      </w:pPr>
      <w:r w:rsidRPr="00755F3F">
        <w:rPr>
          <w:rFonts w:cs="Times New Roman"/>
          <w:b w:val="0"/>
          <w:szCs w:val="24"/>
        </w:rPr>
        <w:t>Debra S. Korte</w:t>
      </w:r>
    </w:p>
    <w:p w:rsidR="00763512" w:rsidRPr="00755F3F" w:rsidRDefault="00797858" w:rsidP="00763512">
      <w:pPr>
        <w:pStyle w:val="Title"/>
        <w:rPr>
          <w:rFonts w:cs="Times New Roman"/>
          <w:b w:val="0"/>
          <w:szCs w:val="24"/>
        </w:rPr>
      </w:pPr>
      <w:r w:rsidRPr="00755F3F">
        <w:rPr>
          <w:rFonts w:cs="Times New Roman"/>
          <w:b w:val="0"/>
          <w:szCs w:val="24"/>
        </w:rPr>
        <w:t>University of Illinois</w:t>
      </w:r>
    </w:p>
    <w:p w:rsidR="00011806" w:rsidRPr="00755F3F" w:rsidRDefault="00011806" w:rsidP="00011806">
      <w:pPr>
        <w:pStyle w:val="Title"/>
        <w:rPr>
          <w:rFonts w:cs="Times New Roman"/>
          <w:b w:val="0"/>
          <w:szCs w:val="24"/>
        </w:rPr>
      </w:pPr>
      <w:r w:rsidRPr="00755F3F">
        <w:rPr>
          <w:rFonts w:cs="Times New Roman"/>
          <w:b w:val="0"/>
          <w:szCs w:val="24"/>
        </w:rPr>
        <w:t>905 S. Goodwin Avenue, Bevier Hall</w:t>
      </w:r>
    </w:p>
    <w:p w:rsidR="00011806" w:rsidRPr="00755F3F" w:rsidRDefault="00011806" w:rsidP="00011806">
      <w:pPr>
        <w:pStyle w:val="Title"/>
        <w:rPr>
          <w:rFonts w:cs="Times New Roman"/>
          <w:b w:val="0"/>
          <w:szCs w:val="24"/>
        </w:rPr>
      </w:pPr>
      <w:r w:rsidRPr="00755F3F">
        <w:rPr>
          <w:rFonts w:cs="Times New Roman"/>
          <w:b w:val="0"/>
          <w:szCs w:val="24"/>
        </w:rPr>
        <w:t>Urbana, IL  61801</w:t>
      </w:r>
    </w:p>
    <w:p w:rsidR="00011806" w:rsidRPr="00755F3F" w:rsidRDefault="00011806" w:rsidP="00011806">
      <w:pPr>
        <w:pStyle w:val="Title"/>
        <w:rPr>
          <w:rFonts w:cs="Times New Roman"/>
          <w:b w:val="0"/>
          <w:szCs w:val="24"/>
        </w:rPr>
      </w:pPr>
      <w:r w:rsidRPr="00755F3F">
        <w:rPr>
          <w:rFonts w:cs="Times New Roman"/>
          <w:b w:val="0"/>
          <w:szCs w:val="24"/>
        </w:rPr>
        <w:t>(217-244-8086)</w:t>
      </w:r>
    </w:p>
    <w:p w:rsidR="00011806" w:rsidRPr="00755F3F" w:rsidRDefault="00011806" w:rsidP="00011806">
      <w:pPr>
        <w:pStyle w:val="Title"/>
        <w:rPr>
          <w:rFonts w:cs="Times New Roman"/>
          <w:b w:val="0"/>
          <w:szCs w:val="24"/>
        </w:rPr>
      </w:pPr>
      <w:r w:rsidRPr="00755F3F">
        <w:rPr>
          <w:rFonts w:cs="Times New Roman"/>
          <w:b w:val="0"/>
          <w:szCs w:val="24"/>
        </w:rPr>
        <w:t>dskorte@illinois.edu</w:t>
      </w:r>
    </w:p>
    <w:p w:rsidR="00797858" w:rsidRPr="00755F3F" w:rsidRDefault="00797858" w:rsidP="005F7B42">
      <w:pPr>
        <w:pStyle w:val="Title"/>
        <w:jc w:val="left"/>
        <w:rPr>
          <w:rFonts w:cs="Times New Roman"/>
          <w:b w:val="0"/>
          <w:szCs w:val="24"/>
        </w:rPr>
      </w:pPr>
    </w:p>
    <w:p w:rsidR="00797858" w:rsidRPr="00755F3F" w:rsidRDefault="00797858" w:rsidP="00763512">
      <w:pPr>
        <w:pStyle w:val="Title"/>
        <w:rPr>
          <w:rFonts w:cs="Times New Roman"/>
          <w:b w:val="0"/>
          <w:szCs w:val="24"/>
        </w:rPr>
      </w:pPr>
      <w:r w:rsidRPr="00755F3F">
        <w:rPr>
          <w:rFonts w:cs="Times New Roman"/>
          <w:b w:val="0"/>
          <w:szCs w:val="24"/>
        </w:rPr>
        <w:t>Jon C. Simonsen</w:t>
      </w:r>
    </w:p>
    <w:p w:rsidR="00763512" w:rsidRPr="00755F3F" w:rsidRDefault="00797858" w:rsidP="00763512">
      <w:pPr>
        <w:pStyle w:val="Title"/>
        <w:rPr>
          <w:rFonts w:cs="Times New Roman"/>
          <w:b w:val="0"/>
          <w:szCs w:val="24"/>
        </w:rPr>
      </w:pPr>
      <w:r w:rsidRPr="00755F3F">
        <w:rPr>
          <w:rFonts w:cs="Times New Roman"/>
          <w:b w:val="0"/>
          <w:szCs w:val="24"/>
        </w:rPr>
        <w:t>University of Missouri</w:t>
      </w:r>
    </w:p>
    <w:p w:rsidR="00011806" w:rsidRPr="00755F3F" w:rsidRDefault="00011806" w:rsidP="00011806">
      <w:pPr>
        <w:pStyle w:val="Title"/>
        <w:rPr>
          <w:rFonts w:cs="Times New Roman"/>
          <w:b w:val="0"/>
          <w:szCs w:val="24"/>
        </w:rPr>
      </w:pPr>
      <w:r w:rsidRPr="00755F3F">
        <w:rPr>
          <w:rFonts w:cs="Times New Roman"/>
          <w:b w:val="0"/>
          <w:szCs w:val="24"/>
        </w:rPr>
        <w:t>125A Gentry Hall</w:t>
      </w:r>
    </w:p>
    <w:p w:rsidR="00011806" w:rsidRPr="00755F3F" w:rsidRDefault="00011806" w:rsidP="00011806">
      <w:pPr>
        <w:pStyle w:val="Title"/>
        <w:rPr>
          <w:rFonts w:cs="Times New Roman"/>
          <w:b w:val="0"/>
          <w:szCs w:val="24"/>
        </w:rPr>
      </w:pPr>
      <w:r w:rsidRPr="00755F3F">
        <w:rPr>
          <w:rFonts w:cs="Times New Roman"/>
          <w:b w:val="0"/>
          <w:szCs w:val="24"/>
        </w:rPr>
        <w:t>Columbia, MO 65211</w:t>
      </w:r>
    </w:p>
    <w:p w:rsidR="00011806" w:rsidRPr="00755F3F" w:rsidRDefault="00011806" w:rsidP="00011806">
      <w:pPr>
        <w:pStyle w:val="Title"/>
        <w:rPr>
          <w:rFonts w:cs="Times New Roman"/>
          <w:b w:val="0"/>
          <w:szCs w:val="24"/>
        </w:rPr>
      </w:pPr>
      <w:r w:rsidRPr="00755F3F">
        <w:rPr>
          <w:rFonts w:cs="Times New Roman"/>
          <w:b w:val="0"/>
          <w:szCs w:val="24"/>
        </w:rPr>
        <w:t>(573-884-7375)</w:t>
      </w:r>
    </w:p>
    <w:p w:rsidR="00011806" w:rsidRPr="00755F3F" w:rsidRDefault="005F7B42" w:rsidP="00011806">
      <w:pPr>
        <w:pStyle w:val="Title"/>
        <w:rPr>
          <w:rFonts w:cs="Times New Roman"/>
          <w:b w:val="0"/>
          <w:szCs w:val="24"/>
        </w:rPr>
      </w:pPr>
      <w:r w:rsidRPr="00755F3F">
        <w:rPr>
          <w:rFonts w:cs="Times New Roman"/>
          <w:b w:val="0"/>
          <w:szCs w:val="24"/>
        </w:rPr>
        <w:t>simonsenj@missouri.edu</w:t>
      </w:r>
    </w:p>
    <w:p w:rsidR="005F7B42" w:rsidRPr="00755F3F" w:rsidRDefault="005F7B42" w:rsidP="00011806">
      <w:pPr>
        <w:pStyle w:val="Title"/>
        <w:rPr>
          <w:rFonts w:cs="Times New Roman"/>
          <w:b w:val="0"/>
          <w:szCs w:val="24"/>
        </w:rPr>
      </w:pPr>
    </w:p>
    <w:p w:rsidR="005F7B42" w:rsidRPr="00755F3F" w:rsidRDefault="005F7B42" w:rsidP="00011806">
      <w:pPr>
        <w:pStyle w:val="Title"/>
        <w:rPr>
          <w:rFonts w:cs="Times New Roman"/>
          <w:b w:val="0"/>
          <w:szCs w:val="24"/>
        </w:rPr>
      </w:pPr>
      <w:r w:rsidRPr="00755F3F">
        <w:rPr>
          <w:rFonts w:cs="Times New Roman"/>
          <w:b w:val="0"/>
          <w:szCs w:val="24"/>
        </w:rPr>
        <w:t>Anna L. Ball</w:t>
      </w:r>
    </w:p>
    <w:p w:rsidR="005F7B42" w:rsidRPr="00755F3F" w:rsidRDefault="005F7B42" w:rsidP="00011806">
      <w:pPr>
        <w:pStyle w:val="Title"/>
        <w:rPr>
          <w:rFonts w:cs="Times New Roman"/>
          <w:b w:val="0"/>
          <w:szCs w:val="24"/>
        </w:rPr>
      </w:pPr>
      <w:r w:rsidRPr="00755F3F">
        <w:rPr>
          <w:rFonts w:cs="Times New Roman"/>
          <w:b w:val="0"/>
          <w:szCs w:val="24"/>
        </w:rPr>
        <w:t>University of Missouri</w:t>
      </w:r>
    </w:p>
    <w:p w:rsidR="005F7B42" w:rsidRPr="00755F3F" w:rsidRDefault="005F7B42" w:rsidP="00011806">
      <w:pPr>
        <w:pStyle w:val="Title"/>
        <w:rPr>
          <w:rFonts w:cs="Times New Roman"/>
          <w:b w:val="0"/>
          <w:szCs w:val="24"/>
        </w:rPr>
      </w:pPr>
      <w:r w:rsidRPr="00755F3F">
        <w:rPr>
          <w:rFonts w:cs="Times New Roman"/>
          <w:b w:val="0"/>
          <w:szCs w:val="24"/>
        </w:rPr>
        <w:t>127 Gentry Hall</w:t>
      </w:r>
    </w:p>
    <w:p w:rsidR="005F7B42" w:rsidRPr="00755F3F" w:rsidRDefault="005F7B42" w:rsidP="00011806">
      <w:pPr>
        <w:pStyle w:val="Title"/>
        <w:rPr>
          <w:rFonts w:cs="Times New Roman"/>
          <w:b w:val="0"/>
          <w:szCs w:val="24"/>
        </w:rPr>
      </w:pPr>
      <w:r w:rsidRPr="00755F3F">
        <w:rPr>
          <w:rFonts w:cs="Times New Roman"/>
          <w:b w:val="0"/>
          <w:szCs w:val="24"/>
        </w:rPr>
        <w:t>Columbia, MO  65211</w:t>
      </w:r>
    </w:p>
    <w:p w:rsidR="005F7B42" w:rsidRPr="00755F3F" w:rsidRDefault="005F7B42" w:rsidP="00011806">
      <w:pPr>
        <w:pStyle w:val="Title"/>
        <w:rPr>
          <w:rFonts w:cs="Times New Roman"/>
          <w:b w:val="0"/>
          <w:szCs w:val="24"/>
        </w:rPr>
      </w:pPr>
      <w:r w:rsidRPr="00755F3F">
        <w:rPr>
          <w:rFonts w:cs="Times New Roman"/>
          <w:b w:val="0"/>
          <w:szCs w:val="24"/>
        </w:rPr>
        <w:t>(573-884-9797)</w:t>
      </w:r>
    </w:p>
    <w:p w:rsidR="005F7B42" w:rsidRPr="00755F3F" w:rsidRDefault="005F7B42" w:rsidP="00011806">
      <w:pPr>
        <w:pStyle w:val="Title"/>
        <w:rPr>
          <w:rFonts w:cs="Times New Roman"/>
          <w:b w:val="0"/>
          <w:szCs w:val="24"/>
        </w:rPr>
      </w:pPr>
      <w:r w:rsidRPr="00755F3F">
        <w:rPr>
          <w:rFonts w:cs="Times New Roman"/>
          <w:b w:val="0"/>
          <w:szCs w:val="24"/>
        </w:rPr>
        <w:t>ballan@missouri.edu</w:t>
      </w:r>
    </w:p>
    <w:p w:rsidR="00011806" w:rsidRPr="00755F3F" w:rsidRDefault="00011806" w:rsidP="00763512">
      <w:pPr>
        <w:pStyle w:val="Title"/>
        <w:rPr>
          <w:rFonts w:cs="Times New Roman"/>
          <w:b w:val="0"/>
          <w:szCs w:val="24"/>
        </w:rPr>
      </w:pPr>
    </w:p>
    <w:p w:rsidR="000F1C5F" w:rsidRPr="00755F3F" w:rsidRDefault="000F1C5F" w:rsidP="000F1C5F">
      <w:pPr>
        <w:pStyle w:val="Title"/>
        <w:rPr>
          <w:rFonts w:cs="Times New Roman"/>
          <w:b w:val="0"/>
          <w:szCs w:val="24"/>
        </w:rPr>
      </w:pPr>
      <w:r w:rsidRPr="00755F3F">
        <w:rPr>
          <w:rFonts w:cs="Times New Roman"/>
          <w:b w:val="0"/>
          <w:szCs w:val="24"/>
        </w:rPr>
        <w:t>Kari H. Keating</w:t>
      </w:r>
    </w:p>
    <w:p w:rsidR="000F1C5F" w:rsidRPr="00755F3F" w:rsidRDefault="000F1C5F" w:rsidP="000F1C5F">
      <w:pPr>
        <w:pStyle w:val="Title"/>
        <w:rPr>
          <w:rFonts w:cs="Times New Roman"/>
          <w:b w:val="0"/>
          <w:szCs w:val="24"/>
        </w:rPr>
      </w:pPr>
      <w:r w:rsidRPr="00755F3F">
        <w:rPr>
          <w:rFonts w:cs="Times New Roman"/>
          <w:b w:val="0"/>
          <w:szCs w:val="24"/>
        </w:rPr>
        <w:t>University of Illinois</w:t>
      </w:r>
    </w:p>
    <w:p w:rsidR="000F1C5F" w:rsidRPr="00755F3F" w:rsidRDefault="000F1C5F" w:rsidP="000F1C5F">
      <w:pPr>
        <w:pStyle w:val="Title"/>
        <w:rPr>
          <w:rFonts w:cs="Times New Roman"/>
          <w:b w:val="0"/>
          <w:szCs w:val="24"/>
        </w:rPr>
      </w:pPr>
      <w:r w:rsidRPr="00755F3F">
        <w:rPr>
          <w:rFonts w:cs="Times New Roman"/>
          <w:b w:val="0"/>
          <w:szCs w:val="24"/>
        </w:rPr>
        <w:t>905 S. Goodwin Avenue, Bevier Hall</w:t>
      </w:r>
    </w:p>
    <w:p w:rsidR="000F1C5F" w:rsidRPr="00755F3F" w:rsidRDefault="000F1C5F" w:rsidP="000F1C5F">
      <w:pPr>
        <w:pStyle w:val="Title"/>
        <w:rPr>
          <w:rFonts w:cs="Times New Roman"/>
          <w:b w:val="0"/>
          <w:szCs w:val="24"/>
        </w:rPr>
      </w:pPr>
      <w:r w:rsidRPr="00755F3F">
        <w:rPr>
          <w:rFonts w:cs="Times New Roman"/>
          <w:b w:val="0"/>
          <w:szCs w:val="24"/>
        </w:rPr>
        <w:t>Urbana, IL  61801</w:t>
      </w:r>
    </w:p>
    <w:p w:rsidR="000F1C5F" w:rsidRPr="00755F3F" w:rsidRDefault="000F1C5F" w:rsidP="000F1C5F">
      <w:pPr>
        <w:pStyle w:val="Title"/>
        <w:rPr>
          <w:rFonts w:cs="Times New Roman"/>
          <w:b w:val="0"/>
          <w:szCs w:val="24"/>
        </w:rPr>
      </w:pPr>
      <w:r w:rsidRPr="00755F3F">
        <w:rPr>
          <w:rFonts w:cs="Times New Roman"/>
          <w:b w:val="0"/>
          <w:szCs w:val="24"/>
        </w:rPr>
        <w:t>(217-300-5542)</w:t>
      </w:r>
    </w:p>
    <w:p w:rsidR="000F1C5F" w:rsidRPr="00755F3F" w:rsidRDefault="000F1C5F" w:rsidP="000F1C5F">
      <w:pPr>
        <w:pStyle w:val="Title"/>
        <w:rPr>
          <w:rFonts w:cs="Times New Roman"/>
          <w:b w:val="0"/>
          <w:szCs w:val="24"/>
        </w:rPr>
      </w:pPr>
      <w:r w:rsidRPr="00755F3F">
        <w:rPr>
          <w:rFonts w:cs="Times New Roman"/>
          <w:b w:val="0"/>
          <w:szCs w:val="24"/>
        </w:rPr>
        <w:t>keatingk@illinois.edu</w:t>
      </w:r>
    </w:p>
    <w:p w:rsidR="000F1C5F" w:rsidRPr="00755F3F" w:rsidRDefault="000F1C5F" w:rsidP="00763512">
      <w:pPr>
        <w:pStyle w:val="Title"/>
        <w:rPr>
          <w:rFonts w:cs="Times New Roman"/>
          <w:b w:val="0"/>
          <w:szCs w:val="24"/>
        </w:rPr>
      </w:pPr>
    </w:p>
    <w:p w:rsidR="00763512" w:rsidRPr="00755F3F" w:rsidRDefault="00763512" w:rsidP="00763512">
      <w:pPr>
        <w:pStyle w:val="Title"/>
        <w:rPr>
          <w:rFonts w:cs="Times New Roman"/>
          <w:b w:val="0"/>
          <w:szCs w:val="24"/>
        </w:rPr>
      </w:pPr>
    </w:p>
    <w:p w:rsidR="00763512" w:rsidRPr="00755F3F" w:rsidRDefault="00763512" w:rsidP="00763512">
      <w:pPr>
        <w:pStyle w:val="Title"/>
        <w:rPr>
          <w:rFonts w:cs="Times New Roman"/>
          <w:b w:val="0"/>
          <w:szCs w:val="24"/>
        </w:rPr>
      </w:pPr>
    </w:p>
    <w:p w:rsidR="005E7A11" w:rsidRPr="00755F3F" w:rsidRDefault="005E7A11" w:rsidP="00011806">
      <w:pPr>
        <w:pStyle w:val="Title"/>
        <w:jc w:val="left"/>
        <w:rPr>
          <w:rFonts w:cs="Times New Roman"/>
          <w:b w:val="0"/>
          <w:szCs w:val="24"/>
        </w:rPr>
      </w:pPr>
    </w:p>
    <w:p w:rsidR="005E7A11" w:rsidRPr="00755F3F" w:rsidRDefault="005E7A11" w:rsidP="00763512">
      <w:pPr>
        <w:pStyle w:val="Title"/>
        <w:rPr>
          <w:rFonts w:cs="Times New Roman"/>
          <w:szCs w:val="24"/>
        </w:rPr>
        <w:sectPr w:rsidR="005E7A11" w:rsidRPr="00755F3F" w:rsidSect="005E7A11">
          <w:footerReference w:type="default" r:id="rId8"/>
          <w:footerReference w:type="first" r:id="rId9"/>
          <w:pgSz w:w="12240" w:h="15840" w:code="1"/>
          <w:pgMar w:top="1440" w:right="1440" w:bottom="1440" w:left="1440" w:header="720" w:footer="720" w:gutter="0"/>
          <w:pgNumType w:start="1"/>
          <w:cols w:space="720"/>
          <w:titlePg/>
          <w:docGrid w:linePitch="360"/>
        </w:sectPr>
      </w:pPr>
    </w:p>
    <w:p w:rsidR="004B57CB" w:rsidRPr="00755F3F" w:rsidRDefault="005F7B42" w:rsidP="005F7B42">
      <w:pPr>
        <w:tabs>
          <w:tab w:val="left" w:pos="2205"/>
          <w:tab w:val="center" w:pos="4680"/>
        </w:tabs>
        <w:spacing w:line="480" w:lineRule="auto"/>
        <w:jc w:val="center"/>
        <w:rPr>
          <w:b/>
        </w:rPr>
      </w:pPr>
      <w:r w:rsidRPr="00755F3F">
        <w:rPr>
          <w:b/>
        </w:rPr>
        <w:lastRenderedPageBreak/>
        <w:t>Why teach? The Value of “Planting the Seed”</w:t>
      </w:r>
    </w:p>
    <w:p w:rsidR="00797858" w:rsidRPr="00755F3F" w:rsidRDefault="00797858" w:rsidP="0006000C">
      <w:pPr>
        <w:contextualSpacing/>
        <w:jc w:val="center"/>
        <w:rPr>
          <w:b/>
        </w:rPr>
      </w:pPr>
      <w:r w:rsidRPr="00755F3F">
        <w:rPr>
          <w:b/>
        </w:rPr>
        <w:t>Introduction</w:t>
      </w:r>
    </w:p>
    <w:p w:rsidR="005F7B42" w:rsidRPr="00755F3F" w:rsidRDefault="00394253" w:rsidP="005F7B42">
      <w:pPr>
        <w:ind w:firstLine="720"/>
      </w:pPr>
      <w:r w:rsidRPr="00755F3F">
        <w:t>The</w:t>
      </w:r>
      <w:r w:rsidR="005F7B42" w:rsidRPr="00755F3F">
        <w:t xml:space="preserve"> attrition of agriculture teachers</w:t>
      </w:r>
      <w:r w:rsidRPr="00755F3F">
        <w:t xml:space="preserve"> </w:t>
      </w:r>
      <w:r w:rsidR="005F7B42" w:rsidRPr="00755F3F">
        <w:t>has resulted in a nationwide sho</w:t>
      </w:r>
      <w:r w:rsidRPr="00755F3F">
        <w:t xml:space="preserve">rtage of </w:t>
      </w:r>
      <w:r w:rsidR="005F7B42" w:rsidRPr="00755F3F">
        <w:t xml:space="preserve">agriculture teachers </w:t>
      </w:r>
      <w:r w:rsidR="005F7B42" w:rsidRPr="00755F3F">
        <w:rPr>
          <w:noProof/>
        </w:rPr>
        <w:t>(Kantrovich, 2010)</w:t>
      </w:r>
      <w:r w:rsidR="005F7B42" w:rsidRPr="00755F3F">
        <w:t xml:space="preserve">. </w:t>
      </w:r>
      <w:r w:rsidRPr="00755F3F">
        <w:t>In an attempt to bring more individuals into the teaching profession</w:t>
      </w:r>
      <w:r w:rsidR="007608A3">
        <w:t>,</w:t>
      </w:r>
      <w:r w:rsidRPr="00755F3F">
        <w:t xml:space="preserve"> numerous </w:t>
      </w:r>
      <w:r w:rsidR="005F7B42" w:rsidRPr="00755F3F">
        <w:t xml:space="preserve">recruitment efforts </w:t>
      </w:r>
      <w:r w:rsidRPr="00755F3F">
        <w:t>have been attempted</w:t>
      </w:r>
      <w:r w:rsidR="007608A3">
        <w:t>;</w:t>
      </w:r>
      <w:r w:rsidR="005F7B42" w:rsidRPr="00755F3F">
        <w:t xml:space="preserve"> </w:t>
      </w:r>
      <w:r w:rsidRPr="00755F3F">
        <w:t>however</w:t>
      </w:r>
      <w:r w:rsidR="007608A3">
        <w:t>,</w:t>
      </w:r>
      <w:r w:rsidRPr="00755F3F">
        <w:t xml:space="preserve"> the concern does not seem to be dissipating. P</w:t>
      </w:r>
      <w:r w:rsidR="005F7B42" w:rsidRPr="00755F3F">
        <w:t xml:space="preserve">revious research is limited in determining the initial factors which influence an individual’s decision to pursue a career as an agricultural teacher. </w:t>
      </w:r>
      <w:r w:rsidRPr="00755F3F">
        <w:t xml:space="preserve">Thus, it is essential to learn more about what </w:t>
      </w:r>
      <w:r w:rsidR="007608A3">
        <w:t>motivates</w:t>
      </w:r>
      <w:r w:rsidRPr="00755F3F">
        <w:t xml:space="preserve"> individuals to enter the field of teaching agriculture.</w:t>
      </w:r>
    </w:p>
    <w:p w:rsidR="00797858" w:rsidRPr="00755F3F" w:rsidRDefault="00797858" w:rsidP="005F7B42">
      <w:pPr>
        <w:ind w:firstLine="720"/>
        <w:contextualSpacing/>
      </w:pPr>
      <w:r w:rsidRPr="00755F3F">
        <w:t xml:space="preserve"> </w:t>
      </w:r>
    </w:p>
    <w:p w:rsidR="00797858" w:rsidRPr="00755F3F" w:rsidRDefault="00755F3F" w:rsidP="0006000C">
      <w:pPr>
        <w:contextualSpacing/>
        <w:jc w:val="center"/>
        <w:rPr>
          <w:b/>
        </w:rPr>
      </w:pPr>
      <w:r>
        <w:rPr>
          <w:b/>
        </w:rPr>
        <w:t>Conceptual Framework / Literature Review</w:t>
      </w:r>
    </w:p>
    <w:p w:rsidR="00797858" w:rsidRPr="00755F3F" w:rsidRDefault="00394253" w:rsidP="005F7B42">
      <w:pPr>
        <w:ind w:firstLine="720"/>
        <w:contextualSpacing/>
      </w:pPr>
      <w:r w:rsidRPr="00755F3F">
        <w:t>In the general determination of a future career, internal and external motivators greatly influence career choice (</w:t>
      </w:r>
      <w:proofErr w:type="spellStart"/>
      <w:r w:rsidRPr="00755F3F">
        <w:t>Krumboltz</w:t>
      </w:r>
      <w:proofErr w:type="spellEnd"/>
      <w:r w:rsidRPr="00755F3F">
        <w:t xml:space="preserve">, Mitchell, and Jones, 1976). Specifically in a career as a teacher, the combination of altruistic, intrinsic, and extrinsic motivations combine to impact a person’s decision to teach (Thomson, Turner, </w:t>
      </w:r>
      <w:proofErr w:type="spellStart"/>
      <w:r w:rsidRPr="00755F3F">
        <w:t>Nietfeld</w:t>
      </w:r>
      <w:proofErr w:type="spellEnd"/>
      <w:r w:rsidRPr="00755F3F">
        <w:t>, 2012</w:t>
      </w:r>
      <w:r w:rsidR="007608A3">
        <w:t>; Watt and Richardson, 2008</w:t>
      </w:r>
      <w:r w:rsidRPr="00755F3F">
        <w:t xml:space="preserve">). As described in research conducted by Harms and </w:t>
      </w:r>
      <w:proofErr w:type="spellStart"/>
      <w:r w:rsidRPr="00755F3F">
        <w:t>Knobloch</w:t>
      </w:r>
      <w:proofErr w:type="spellEnd"/>
      <w:r w:rsidRPr="00755F3F">
        <w:t xml:space="preserve"> (2005) on career and technical education teachers and agricultural education teachers, career choice is partially determined by a combination of self-actualization (Maslow, 1954), self-efficacy (Bandura, 1997), and transformational leadership (Bass, 1985).</w:t>
      </w:r>
      <w:r w:rsidR="00EB473C" w:rsidRPr="00755F3F">
        <w:t xml:space="preserve"> More specifically, self-actualization in Maslow’s hierarchy of needs most directly relates to self-actualizing experiences during career preparation; whereas a positive career-related experience or event may increase the individual’s motivation to pursue a career in that specific field (Harms &amp; </w:t>
      </w:r>
      <w:proofErr w:type="spellStart"/>
      <w:r w:rsidR="00EB473C" w:rsidRPr="00755F3F">
        <w:t>Knobloch</w:t>
      </w:r>
      <w:proofErr w:type="spellEnd"/>
      <w:r w:rsidR="00EB473C" w:rsidRPr="00755F3F">
        <w:t>, 2005). Furthermore, an individual who has experienced success and believes they can be successful in a chosen field of study will have increased self-efficacy and a belief in their own ability to succeed.</w:t>
      </w:r>
    </w:p>
    <w:p w:rsidR="00797858" w:rsidRPr="00755F3F" w:rsidRDefault="00797858" w:rsidP="00797858">
      <w:pPr>
        <w:ind w:firstLine="720"/>
        <w:contextualSpacing/>
      </w:pPr>
    </w:p>
    <w:p w:rsidR="00797858" w:rsidRPr="00755F3F" w:rsidRDefault="00797858" w:rsidP="0006000C">
      <w:pPr>
        <w:contextualSpacing/>
        <w:jc w:val="center"/>
        <w:rPr>
          <w:b/>
        </w:rPr>
      </w:pPr>
      <w:r w:rsidRPr="00755F3F">
        <w:rPr>
          <w:b/>
        </w:rPr>
        <w:t>Method</w:t>
      </w:r>
      <w:r w:rsidR="00755F3F">
        <w:rPr>
          <w:b/>
        </w:rPr>
        <w:t>ology</w:t>
      </w:r>
    </w:p>
    <w:p w:rsidR="00EB473C" w:rsidRPr="00755F3F" w:rsidRDefault="00EB473C" w:rsidP="00F402C0">
      <w:pPr>
        <w:ind w:firstLine="720"/>
      </w:pPr>
      <w:r w:rsidRPr="00755F3F">
        <w:t>The purpose of this phenomenological study was to explore factors which may have influenced preservice teachers’ decision to pursue a career as an agricultural education teacher.</w:t>
      </w:r>
      <w:r w:rsidR="00F402C0" w:rsidRPr="00755F3F">
        <w:t xml:space="preserve"> </w:t>
      </w:r>
      <w:r w:rsidRPr="00755F3F">
        <w:t>The target population for this study was students (i.e., preservice teachers) who completed 25 or more hours of their first field experience for the agricultural education teacher preparation program</w:t>
      </w:r>
      <w:r w:rsidR="007E225A" w:rsidRPr="00755F3F">
        <w:t>. S</w:t>
      </w:r>
      <w:r w:rsidRPr="00755F3F">
        <w:t xml:space="preserve">ix students </w:t>
      </w:r>
      <w:r w:rsidR="007E225A" w:rsidRPr="00755F3F">
        <w:t>participated</w:t>
      </w:r>
      <w:r w:rsidR="000F1C5F" w:rsidRPr="00755F3F">
        <w:t>,</w:t>
      </w:r>
      <w:r w:rsidR="007E225A" w:rsidRPr="00755F3F">
        <w:t xml:space="preserve"> consisting</w:t>
      </w:r>
      <w:r w:rsidRPr="00755F3F">
        <w:t xml:space="preserve"> of three female</w:t>
      </w:r>
      <w:r w:rsidR="007E225A" w:rsidRPr="00755F3F">
        <w:t>s</w:t>
      </w:r>
      <w:r w:rsidRPr="00755F3F">
        <w:t xml:space="preserve"> and three male</w:t>
      </w:r>
      <w:r w:rsidR="007E225A" w:rsidRPr="00755F3F">
        <w:t>s</w:t>
      </w:r>
      <w:r w:rsidRPr="00755F3F">
        <w:t xml:space="preserve">. </w:t>
      </w:r>
      <w:r w:rsidR="007E225A" w:rsidRPr="00755F3F">
        <w:t>Participants</w:t>
      </w:r>
      <w:r w:rsidRPr="00755F3F">
        <w:t xml:space="preserve"> came from varying demographic backgrounds and experiences, which included variations in FFA experiences (i.e., very active as a former state FFA officer and national officer candidate to students with no FFA experience) and variations in home experiences and backgrounds (i.e., urban/metropolitan, rural, and traditional farm experiences). </w:t>
      </w:r>
    </w:p>
    <w:p w:rsidR="00EB473C" w:rsidRPr="00755F3F" w:rsidRDefault="00EB473C" w:rsidP="00EB473C">
      <w:pPr>
        <w:ind w:firstLine="720"/>
      </w:pPr>
      <w:r w:rsidRPr="00755F3F">
        <w:t xml:space="preserve">The </w:t>
      </w:r>
      <w:r w:rsidR="00F402C0" w:rsidRPr="00755F3F">
        <w:t>participants</w:t>
      </w:r>
      <w:r w:rsidRPr="00755F3F">
        <w:t xml:space="preserve"> (</w:t>
      </w:r>
      <w:r w:rsidRPr="00755F3F">
        <w:rPr>
          <w:i/>
        </w:rPr>
        <w:t>N</w:t>
      </w:r>
      <w:r w:rsidRPr="00755F3F">
        <w:t xml:space="preserve"> = 6) were a purposeful and accessible sample of preservice teachers. Each </w:t>
      </w:r>
      <w:r w:rsidR="00F402C0" w:rsidRPr="00755F3F">
        <w:t xml:space="preserve">individual </w:t>
      </w:r>
      <w:r w:rsidRPr="00755F3F">
        <w:t>participated in a 30-45 minute individual interview. The interviews were conducted midway through the spring semester after students completed 25 or more hours with an early field experience teacher and school. During</w:t>
      </w:r>
      <w:r w:rsidR="007E225A" w:rsidRPr="00755F3F">
        <w:t xml:space="preserve"> the interview process, participants</w:t>
      </w:r>
      <w:r w:rsidRPr="00755F3F">
        <w:t xml:space="preserve"> were asked to reflect on the reasons they chose to pursue a career as a teacher</w:t>
      </w:r>
      <w:r w:rsidR="00F402C0" w:rsidRPr="00755F3F">
        <w:t>.</w:t>
      </w:r>
    </w:p>
    <w:p w:rsidR="00797858" w:rsidRPr="00755F3F" w:rsidRDefault="00EB473C" w:rsidP="00EB473C">
      <w:pPr>
        <w:ind w:firstLine="720"/>
      </w:pPr>
      <w:r w:rsidRPr="00755F3F">
        <w:t xml:space="preserve">Researchers used a pragmatist methodological approach to develop the interview questions. All interview transcriptions were coded for emerging themes based on research questions.  Transcriptions of interviews, direct quotes, peer debriefing, and detailed descriptions of the interview participants helped confirm the credibility, dependability, and transferability of the emerging themes. Although the researchers attempted to subjectively analyze the data, the findings of the study are limited due to interpretation and bias from the researchers’ views and </w:t>
      </w:r>
      <w:r w:rsidRPr="00755F3F">
        <w:lastRenderedPageBreak/>
        <w:t>interpretations. As former secondary agricultural education teachers and current university educators, researchers drew upon prior experiences to interpret participants’ responses.</w:t>
      </w:r>
      <w:r w:rsidR="00797858" w:rsidRPr="00755F3F">
        <w:t xml:space="preserve"> </w:t>
      </w:r>
    </w:p>
    <w:p w:rsidR="00797858" w:rsidRPr="00755F3F" w:rsidRDefault="00797858" w:rsidP="00797858">
      <w:pPr>
        <w:contextualSpacing/>
      </w:pPr>
    </w:p>
    <w:p w:rsidR="00797858" w:rsidRPr="00755F3F" w:rsidRDefault="00755F3F" w:rsidP="0006000C">
      <w:pPr>
        <w:contextualSpacing/>
        <w:jc w:val="center"/>
        <w:rPr>
          <w:b/>
        </w:rPr>
      </w:pPr>
      <w:r>
        <w:rPr>
          <w:b/>
        </w:rPr>
        <w:t>Results/</w:t>
      </w:r>
      <w:r w:rsidR="00797858" w:rsidRPr="00755F3F">
        <w:rPr>
          <w:b/>
        </w:rPr>
        <w:t>Findings</w:t>
      </w:r>
    </w:p>
    <w:p w:rsidR="00EB473C" w:rsidRPr="00755F3F" w:rsidRDefault="00EB473C" w:rsidP="00EB473C">
      <w:pPr>
        <w:ind w:firstLine="720"/>
      </w:pPr>
      <w:r w:rsidRPr="00755F3F">
        <w:t>T</w:t>
      </w:r>
      <w:r w:rsidR="00F402C0" w:rsidRPr="00755F3F">
        <w:t xml:space="preserve">he </w:t>
      </w:r>
      <w:r w:rsidRPr="00755F3F">
        <w:t xml:space="preserve">analysis identified three themes relevant to influencers on each </w:t>
      </w:r>
      <w:r w:rsidR="007E225A" w:rsidRPr="00755F3F">
        <w:t>student’s</w:t>
      </w:r>
      <w:r w:rsidRPr="00755F3F">
        <w:t xml:space="preserve"> decision to pursue a career as a teacher. Those three themes were: previous experiences, the “feeling” they received from teaching exp</w:t>
      </w:r>
      <w:r w:rsidR="007608A3">
        <w:t>eriences, and the inspiration from</w:t>
      </w:r>
      <w:r w:rsidRPr="00755F3F">
        <w:t xml:space="preserve"> others to become a teacher.</w:t>
      </w:r>
    </w:p>
    <w:p w:rsidR="00EB473C" w:rsidRPr="00755F3F" w:rsidRDefault="00EB473C" w:rsidP="00EB473C">
      <w:pPr>
        <w:ind w:firstLine="720"/>
      </w:pPr>
      <w:r w:rsidRPr="00755F3F">
        <w:rPr>
          <w:b/>
          <w:i/>
        </w:rPr>
        <w:t xml:space="preserve">Previous experiences. </w:t>
      </w:r>
      <w:r w:rsidRPr="00755F3F">
        <w:t xml:space="preserve">Participants in the study referenced previous successful experiences of conducting workshops, tutoring peers or younger students, or helping siblings with homework which helped instill a sense of pride and success. These influential moments were frequently connected to a feeling of accomplishment, joy and the realization of a future career as a teacher. </w:t>
      </w:r>
      <w:r w:rsidR="007E225A" w:rsidRPr="00755F3F">
        <w:t>One participant stated:</w:t>
      </w:r>
    </w:p>
    <w:p w:rsidR="00797858" w:rsidRPr="00755F3F" w:rsidRDefault="00EB473C" w:rsidP="00CB6695">
      <w:pPr>
        <w:ind w:left="720"/>
        <w:contextualSpacing/>
      </w:pPr>
      <w:r w:rsidRPr="00755F3F">
        <w:t>I wanted to be a teacher probably in that late elementary school, early middle-school period. I didn’t know really what I wanted to teach, but I knew that I liked being in school. I liked …helping other kids learn things and I was always getting asked to help so-and-so help figure this concept out…I had little sisters – so I’d help them with their homework and I was like ‘this is something that I’m decent at and I kind of enjoy doing’.</w:t>
      </w:r>
    </w:p>
    <w:p w:rsidR="00CB6695" w:rsidRPr="00755F3F" w:rsidRDefault="00CB6695" w:rsidP="00CB6695">
      <w:pPr>
        <w:ind w:firstLine="720"/>
      </w:pPr>
      <w:r w:rsidRPr="00755F3F">
        <w:rPr>
          <w:b/>
          <w:i/>
        </w:rPr>
        <w:t xml:space="preserve">The “feeling” they received from teaching experiences. </w:t>
      </w:r>
      <w:r w:rsidR="007E225A" w:rsidRPr="00755F3F">
        <w:t>Many participants</w:t>
      </w:r>
      <w:r w:rsidRPr="00755F3F">
        <w:t xml:space="preserve"> talked about the “feeling” they had from working with others or when individuals they helped through tutoring or other experiences were able to succeed because of the work he or she performed with that individual. One of the participants explained</w:t>
      </w:r>
      <w:r w:rsidR="007E225A" w:rsidRPr="00755F3F">
        <w:t xml:space="preserve"> about her teaching experience</w:t>
      </w:r>
      <w:r w:rsidRPr="00755F3F">
        <w:t xml:space="preserve">, “I could tell the difference between the feelings I got between doing one thing versus the other….I realized I just need to </w:t>
      </w:r>
      <w:r w:rsidR="000F1C5F" w:rsidRPr="00755F3F">
        <w:t>[teach]</w:t>
      </w:r>
      <w:r w:rsidRPr="00755F3F">
        <w:t>. I won’t be fulfilled unless I do so.”</w:t>
      </w:r>
    </w:p>
    <w:p w:rsidR="00CB6695" w:rsidRPr="00755F3F" w:rsidRDefault="00CB6695" w:rsidP="007E225A">
      <w:pPr>
        <w:ind w:firstLine="720"/>
      </w:pPr>
      <w:r w:rsidRPr="00755F3F">
        <w:rPr>
          <w:b/>
          <w:i/>
        </w:rPr>
        <w:t xml:space="preserve">Inspiration of others to become a teacher. </w:t>
      </w:r>
      <w:r w:rsidRPr="00755F3F">
        <w:t xml:space="preserve">Perhaps the most recurring theme which continued to surface was students’ recognition of the inspiration they received from others to pursue a teaching career. Frequently, many of the students recalled moments when others would tell them, “I could see you being a teacher”, or “I could see you being a coach”. During conversation, one student referenced the impact of a former teacher whom he greatly respected. “[I think] he saw it in me before I even accepted it or realized it…I didn’t realize that’s what I wanted to do.” </w:t>
      </w:r>
    </w:p>
    <w:p w:rsidR="00797858" w:rsidRPr="00755F3F" w:rsidRDefault="00797858" w:rsidP="00797858">
      <w:pPr>
        <w:contextualSpacing/>
      </w:pPr>
    </w:p>
    <w:p w:rsidR="00797858" w:rsidRPr="00755F3F" w:rsidRDefault="00755F3F" w:rsidP="0006000C">
      <w:pPr>
        <w:contextualSpacing/>
        <w:jc w:val="center"/>
        <w:rPr>
          <w:b/>
        </w:rPr>
      </w:pPr>
      <w:r>
        <w:rPr>
          <w:b/>
        </w:rPr>
        <w:t xml:space="preserve">Conclusions </w:t>
      </w:r>
      <w:r w:rsidR="00797858" w:rsidRPr="00755F3F">
        <w:rPr>
          <w:b/>
        </w:rPr>
        <w:t>and Recommendations for Future Research</w:t>
      </w:r>
    </w:p>
    <w:p w:rsidR="00B929A7" w:rsidRPr="00755F3F" w:rsidRDefault="00CB6695" w:rsidP="005F7B42">
      <w:pPr>
        <w:ind w:firstLine="720"/>
        <w:contextualSpacing/>
      </w:pPr>
      <w:r w:rsidRPr="00755F3F">
        <w:t xml:space="preserve">Consistent with previous literature, the impact of successful prior experiences, the “feeling” an individual receives from helping others, and the positive influence of other people impact a person’s decision to pursue a specific career path </w:t>
      </w:r>
      <w:r w:rsidRPr="00755F3F">
        <w:rPr>
          <w:noProof/>
        </w:rPr>
        <w:t>(Bandura, 1986; Fischman, Schutte, Solomon, &amp; Lam, 2001; Harms &amp; Knobloch, 2005; Krumboltz, Mitchell, &amp; Jones, 1976; Lent, Brown, &amp; Hackett, 2002)</w:t>
      </w:r>
      <w:r w:rsidRPr="00755F3F">
        <w:t xml:space="preserve">. This research reinforces the importance of “planting the seed”. </w:t>
      </w:r>
      <w:r w:rsidR="007E225A" w:rsidRPr="00755F3F">
        <w:t xml:space="preserve">Parents, </w:t>
      </w:r>
      <w:r w:rsidRPr="00755F3F">
        <w:t>teachers</w:t>
      </w:r>
      <w:r w:rsidR="007E225A" w:rsidRPr="00755F3F">
        <w:t>, and other adults</w:t>
      </w:r>
      <w:r w:rsidRPr="00755F3F">
        <w:t xml:space="preserve"> have a strong influence on an individual’s decision to choose a career as a teacher. Recruiting more teachers to the profession begins with “planting the seed” to instill in young people the consideration of a career as a teacher, the importance of the profession, and the impact they can have on other people.</w:t>
      </w:r>
      <w:r w:rsidR="007E225A" w:rsidRPr="00755F3F">
        <w:t xml:space="preserve"> From there</w:t>
      </w:r>
      <w:r w:rsidR="000F1C5F" w:rsidRPr="00755F3F">
        <w:t>,</w:t>
      </w:r>
      <w:r w:rsidR="007E225A" w:rsidRPr="00755F3F">
        <w:t xml:space="preserve"> experiences </w:t>
      </w:r>
      <w:r w:rsidR="000F1C5F" w:rsidRPr="00755F3F">
        <w:t xml:space="preserve">should be provided </w:t>
      </w:r>
      <w:r w:rsidR="00CD1D51" w:rsidRPr="00755F3F">
        <w:t>that foster a desire to teach.</w:t>
      </w:r>
      <w:r w:rsidR="006F43DE" w:rsidRPr="00755F3F">
        <w:t xml:space="preserve"> It is recommended that continued research be conducted with a larger sample </w:t>
      </w:r>
      <w:r w:rsidR="000F1C5F" w:rsidRPr="00755F3F">
        <w:t xml:space="preserve">of students, perhaps at varying levels in their academic progress, </w:t>
      </w:r>
      <w:r w:rsidR="006F43DE" w:rsidRPr="00755F3F">
        <w:t xml:space="preserve">to further the </w:t>
      </w:r>
      <w:r w:rsidR="00CD1D51" w:rsidRPr="00755F3F">
        <w:t xml:space="preserve">understanding of </w:t>
      </w:r>
      <w:r w:rsidR="00433F76">
        <w:t>factors which influence</w:t>
      </w:r>
      <w:r w:rsidR="006F43DE" w:rsidRPr="00755F3F">
        <w:t xml:space="preserve"> individuals to teach.</w:t>
      </w:r>
    </w:p>
    <w:p w:rsidR="00B929A7" w:rsidRPr="00755F3F" w:rsidRDefault="00B929A7" w:rsidP="006D76D5">
      <w:pPr>
        <w:contextualSpacing/>
        <w:jc w:val="center"/>
        <w:rPr>
          <w:b/>
        </w:rPr>
      </w:pPr>
      <w:r w:rsidRPr="00755F3F">
        <w:br w:type="page"/>
      </w:r>
      <w:r w:rsidRPr="00755F3F">
        <w:rPr>
          <w:b/>
        </w:rPr>
        <w:lastRenderedPageBreak/>
        <w:t>References</w:t>
      </w:r>
    </w:p>
    <w:p w:rsidR="006D76D5" w:rsidRPr="00755F3F" w:rsidRDefault="006D76D5" w:rsidP="006D76D5">
      <w:pPr>
        <w:jc w:val="center"/>
      </w:pPr>
    </w:p>
    <w:p w:rsidR="006F43DE" w:rsidRPr="00755F3F" w:rsidRDefault="006F43DE" w:rsidP="006F43DE">
      <w:pPr>
        <w:pStyle w:val="Bibliography"/>
        <w:spacing w:line="240" w:lineRule="auto"/>
        <w:ind w:left="720" w:hanging="720"/>
        <w:rPr>
          <w:rFonts w:ascii="Times New Roman" w:hAnsi="Times New Roman"/>
          <w:noProof/>
          <w:sz w:val="24"/>
          <w:szCs w:val="24"/>
        </w:rPr>
      </w:pPr>
      <w:r w:rsidRPr="00755F3F">
        <w:rPr>
          <w:rFonts w:ascii="Times New Roman" w:hAnsi="Times New Roman"/>
          <w:noProof/>
          <w:sz w:val="24"/>
          <w:szCs w:val="24"/>
        </w:rPr>
        <w:t xml:space="preserve">Bandura, A. (1986). </w:t>
      </w:r>
      <w:r w:rsidRPr="00755F3F">
        <w:rPr>
          <w:rFonts w:ascii="Times New Roman" w:hAnsi="Times New Roman"/>
          <w:i/>
          <w:iCs/>
          <w:noProof/>
          <w:sz w:val="24"/>
          <w:szCs w:val="24"/>
        </w:rPr>
        <w:t>Social foundations of thought and action: A social cognitive theory.</w:t>
      </w:r>
      <w:r w:rsidRPr="00755F3F">
        <w:rPr>
          <w:rFonts w:ascii="Times New Roman" w:hAnsi="Times New Roman"/>
          <w:noProof/>
          <w:sz w:val="24"/>
          <w:szCs w:val="24"/>
        </w:rPr>
        <w:t xml:space="preserve"> Englewood Cliffs, NJ: Prentice Hall.</w:t>
      </w:r>
    </w:p>
    <w:p w:rsidR="006F43DE" w:rsidRPr="00755F3F" w:rsidRDefault="006F43DE" w:rsidP="006F43DE">
      <w:pPr>
        <w:pStyle w:val="Bibliography"/>
        <w:spacing w:line="240" w:lineRule="auto"/>
        <w:ind w:left="720" w:hanging="720"/>
        <w:rPr>
          <w:rFonts w:ascii="Times New Roman" w:hAnsi="Times New Roman"/>
          <w:noProof/>
          <w:sz w:val="24"/>
          <w:szCs w:val="24"/>
        </w:rPr>
      </w:pPr>
      <w:r w:rsidRPr="00755F3F">
        <w:rPr>
          <w:rFonts w:ascii="Times New Roman" w:hAnsi="Times New Roman"/>
          <w:noProof/>
          <w:sz w:val="24"/>
          <w:szCs w:val="24"/>
        </w:rPr>
        <w:t xml:space="preserve">Bandura, A. (1997). </w:t>
      </w:r>
      <w:r w:rsidRPr="00755F3F">
        <w:rPr>
          <w:rFonts w:ascii="Times New Roman" w:hAnsi="Times New Roman"/>
          <w:i/>
          <w:iCs/>
          <w:noProof/>
          <w:sz w:val="24"/>
          <w:szCs w:val="24"/>
        </w:rPr>
        <w:t>Self-Efficacy: The Exercise of Control.</w:t>
      </w:r>
      <w:r w:rsidRPr="00755F3F">
        <w:rPr>
          <w:rFonts w:ascii="Times New Roman" w:hAnsi="Times New Roman"/>
          <w:noProof/>
          <w:sz w:val="24"/>
          <w:szCs w:val="24"/>
        </w:rPr>
        <w:t xml:space="preserve"> New York: W.H. Freeman and Company.</w:t>
      </w:r>
    </w:p>
    <w:p w:rsidR="000F1C5F" w:rsidRPr="00755F3F" w:rsidRDefault="000F1C5F" w:rsidP="000F1C5F">
      <w:r w:rsidRPr="00755F3F">
        <w:t xml:space="preserve">Bass, B.M. (1985). </w:t>
      </w:r>
      <w:r w:rsidRPr="00755F3F">
        <w:rPr>
          <w:i/>
        </w:rPr>
        <w:t>Leadership and performance beyond expectations.</w:t>
      </w:r>
      <w:r w:rsidRPr="00755F3F">
        <w:t xml:space="preserve"> New York: Free Press.</w:t>
      </w:r>
    </w:p>
    <w:p w:rsidR="000F1C5F" w:rsidRPr="00755F3F" w:rsidRDefault="000F1C5F" w:rsidP="000F1C5F"/>
    <w:p w:rsidR="006F43DE" w:rsidRPr="00755F3F" w:rsidRDefault="006F43DE" w:rsidP="006F43DE">
      <w:pPr>
        <w:pStyle w:val="Bibliography"/>
        <w:spacing w:line="240" w:lineRule="auto"/>
        <w:ind w:left="720" w:hanging="720"/>
        <w:rPr>
          <w:rFonts w:ascii="Times New Roman" w:hAnsi="Times New Roman"/>
          <w:noProof/>
          <w:sz w:val="24"/>
          <w:szCs w:val="24"/>
        </w:rPr>
      </w:pPr>
      <w:r w:rsidRPr="00755F3F">
        <w:rPr>
          <w:rFonts w:ascii="Times New Roman" w:hAnsi="Times New Roman"/>
          <w:noProof/>
          <w:sz w:val="24"/>
          <w:szCs w:val="24"/>
        </w:rPr>
        <w:t xml:space="preserve">Fischman, W., Schutte, D. A., Solomon, B., &amp; Lam, G. W. (2001). The Development of an Enduring Commitment to Service Work. </w:t>
      </w:r>
      <w:r w:rsidRPr="00755F3F">
        <w:rPr>
          <w:rFonts w:ascii="Times New Roman" w:hAnsi="Times New Roman"/>
          <w:i/>
          <w:iCs/>
          <w:noProof/>
          <w:sz w:val="24"/>
          <w:szCs w:val="24"/>
        </w:rPr>
        <w:t>New Directions for Child and Adolescent Development: Supportive Frameworks for Youth Engagement</w:t>
      </w:r>
      <w:r w:rsidRPr="00755F3F">
        <w:rPr>
          <w:rFonts w:ascii="Times New Roman" w:hAnsi="Times New Roman"/>
          <w:noProof/>
          <w:sz w:val="24"/>
          <w:szCs w:val="24"/>
        </w:rPr>
        <w:t>, 33-44</w:t>
      </w:r>
    </w:p>
    <w:p w:rsidR="006F43DE" w:rsidRPr="00755F3F" w:rsidRDefault="006F43DE" w:rsidP="006F43DE">
      <w:pPr>
        <w:pStyle w:val="Bibliography"/>
        <w:spacing w:line="240" w:lineRule="auto"/>
        <w:ind w:left="720" w:hanging="720"/>
        <w:rPr>
          <w:rFonts w:ascii="Times New Roman" w:hAnsi="Times New Roman"/>
          <w:noProof/>
          <w:sz w:val="24"/>
          <w:szCs w:val="24"/>
        </w:rPr>
      </w:pPr>
      <w:r w:rsidRPr="00755F3F">
        <w:rPr>
          <w:rFonts w:ascii="Times New Roman" w:hAnsi="Times New Roman"/>
          <w:noProof/>
          <w:sz w:val="24"/>
          <w:szCs w:val="24"/>
        </w:rPr>
        <w:t xml:space="preserve">Harms, B. M., &amp; Knobloch, N. A. (2005). Preservice Teachers’ Motivation and Leadership Behaviors Related to Career Choice. </w:t>
      </w:r>
      <w:r w:rsidRPr="00755F3F">
        <w:rPr>
          <w:rFonts w:ascii="Times New Roman" w:hAnsi="Times New Roman"/>
          <w:i/>
          <w:iCs/>
          <w:noProof/>
          <w:sz w:val="24"/>
          <w:szCs w:val="24"/>
        </w:rPr>
        <w:t>Career and Technical Education Research</w:t>
      </w:r>
      <w:r w:rsidRPr="00755F3F">
        <w:rPr>
          <w:rFonts w:ascii="Times New Roman" w:hAnsi="Times New Roman"/>
          <w:noProof/>
          <w:sz w:val="24"/>
          <w:szCs w:val="24"/>
        </w:rPr>
        <w:t>, 101-124.</w:t>
      </w:r>
    </w:p>
    <w:p w:rsidR="005F7B42" w:rsidRPr="00755F3F" w:rsidRDefault="006F43DE" w:rsidP="006F43DE">
      <w:pPr>
        <w:pStyle w:val="Bibliography"/>
        <w:spacing w:line="240" w:lineRule="auto"/>
        <w:ind w:left="720" w:hanging="720"/>
        <w:rPr>
          <w:rFonts w:ascii="Times New Roman" w:hAnsi="Times New Roman"/>
          <w:noProof/>
          <w:sz w:val="24"/>
          <w:szCs w:val="24"/>
        </w:rPr>
      </w:pPr>
      <w:r w:rsidRPr="00755F3F">
        <w:rPr>
          <w:rFonts w:ascii="Times New Roman" w:hAnsi="Times New Roman"/>
          <w:noProof/>
          <w:sz w:val="24"/>
          <w:szCs w:val="24"/>
        </w:rPr>
        <w:t xml:space="preserve">Kantrovich, A. (2010). </w:t>
      </w:r>
      <w:r w:rsidRPr="00755F3F">
        <w:rPr>
          <w:rFonts w:ascii="Times New Roman" w:hAnsi="Times New Roman"/>
          <w:i/>
          <w:iCs/>
          <w:noProof/>
          <w:sz w:val="24"/>
          <w:szCs w:val="24"/>
        </w:rPr>
        <w:t>The 36th Volume of A National Study of the Supply and Demand for Teachers of Agricultural Education 2006-2009.</w:t>
      </w:r>
      <w:r w:rsidRPr="00755F3F">
        <w:rPr>
          <w:rFonts w:ascii="Times New Roman" w:hAnsi="Times New Roman"/>
          <w:noProof/>
          <w:sz w:val="24"/>
          <w:szCs w:val="24"/>
        </w:rPr>
        <w:t xml:space="preserve"> Alexandria: American Association of Agricultural Education.</w:t>
      </w:r>
    </w:p>
    <w:p w:rsidR="006F43DE" w:rsidRPr="00755F3F" w:rsidRDefault="006F43DE" w:rsidP="006F43DE">
      <w:pPr>
        <w:pStyle w:val="Bibliography"/>
        <w:spacing w:line="240" w:lineRule="auto"/>
        <w:ind w:left="720" w:hanging="720"/>
        <w:rPr>
          <w:rFonts w:ascii="Times New Roman" w:hAnsi="Times New Roman"/>
          <w:noProof/>
          <w:sz w:val="24"/>
          <w:szCs w:val="24"/>
        </w:rPr>
      </w:pPr>
      <w:r w:rsidRPr="00755F3F">
        <w:rPr>
          <w:rFonts w:ascii="Times New Roman" w:hAnsi="Times New Roman"/>
          <w:noProof/>
          <w:sz w:val="24"/>
          <w:szCs w:val="24"/>
        </w:rPr>
        <w:t xml:space="preserve">Krumboltz, J. D., Mitchell, A. M., &amp; Jones, G. B. (1976). A social learning theory of career selection. </w:t>
      </w:r>
      <w:r w:rsidRPr="00755F3F">
        <w:rPr>
          <w:rFonts w:ascii="Times New Roman" w:hAnsi="Times New Roman"/>
          <w:i/>
          <w:iCs/>
          <w:noProof/>
          <w:sz w:val="24"/>
          <w:szCs w:val="24"/>
        </w:rPr>
        <w:t>The Counseling Pscyhologist</w:t>
      </w:r>
      <w:r w:rsidRPr="00755F3F">
        <w:rPr>
          <w:rFonts w:ascii="Times New Roman" w:hAnsi="Times New Roman"/>
          <w:noProof/>
          <w:sz w:val="24"/>
          <w:szCs w:val="24"/>
        </w:rPr>
        <w:t>, 71-81.</w:t>
      </w:r>
    </w:p>
    <w:p w:rsidR="006F43DE" w:rsidRPr="00755F3F" w:rsidRDefault="006F43DE" w:rsidP="006F43DE">
      <w:pPr>
        <w:pStyle w:val="Bibliography"/>
        <w:spacing w:line="240" w:lineRule="auto"/>
        <w:ind w:left="720" w:hanging="720"/>
        <w:rPr>
          <w:rFonts w:ascii="Times New Roman" w:hAnsi="Times New Roman"/>
          <w:noProof/>
          <w:sz w:val="24"/>
          <w:szCs w:val="24"/>
        </w:rPr>
      </w:pPr>
      <w:r w:rsidRPr="00755F3F">
        <w:rPr>
          <w:rFonts w:ascii="Times New Roman" w:hAnsi="Times New Roman"/>
          <w:noProof/>
          <w:sz w:val="24"/>
          <w:szCs w:val="24"/>
        </w:rPr>
        <w:t xml:space="preserve">Lent, R. W., Brown, S. D., &amp; Hackett, G. (2002). Social Cognitive Career Theory. In D. Brown, </w:t>
      </w:r>
      <w:r w:rsidRPr="00755F3F">
        <w:rPr>
          <w:rFonts w:ascii="Times New Roman" w:hAnsi="Times New Roman"/>
          <w:i/>
          <w:iCs/>
          <w:noProof/>
          <w:sz w:val="24"/>
          <w:szCs w:val="24"/>
        </w:rPr>
        <w:t>Career Choice and Development</w:t>
      </w:r>
      <w:r w:rsidRPr="00755F3F">
        <w:rPr>
          <w:rFonts w:ascii="Times New Roman" w:hAnsi="Times New Roman"/>
          <w:noProof/>
          <w:sz w:val="24"/>
          <w:szCs w:val="24"/>
        </w:rPr>
        <w:t xml:space="preserve"> (pp. 255-311). San Francisco: Jossey-Bass.</w:t>
      </w:r>
    </w:p>
    <w:p w:rsidR="006F43DE" w:rsidRPr="00755F3F" w:rsidRDefault="006F43DE" w:rsidP="006F43DE">
      <w:pPr>
        <w:pStyle w:val="Bibliography"/>
        <w:spacing w:line="240" w:lineRule="auto"/>
        <w:ind w:left="720" w:hanging="720"/>
        <w:rPr>
          <w:rFonts w:ascii="Times New Roman" w:hAnsi="Times New Roman"/>
          <w:noProof/>
          <w:sz w:val="24"/>
          <w:szCs w:val="24"/>
        </w:rPr>
      </w:pPr>
      <w:r w:rsidRPr="00755F3F">
        <w:rPr>
          <w:rFonts w:ascii="Times New Roman" w:hAnsi="Times New Roman"/>
          <w:noProof/>
          <w:sz w:val="24"/>
          <w:szCs w:val="24"/>
        </w:rPr>
        <w:t xml:space="preserve">Maslow, A. H. (1854). </w:t>
      </w:r>
      <w:r w:rsidRPr="00755F3F">
        <w:rPr>
          <w:rFonts w:ascii="Times New Roman" w:hAnsi="Times New Roman"/>
          <w:i/>
          <w:iCs/>
          <w:noProof/>
          <w:sz w:val="24"/>
          <w:szCs w:val="24"/>
        </w:rPr>
        <w:t>Motivation and personality.</w:t>
      </w:r>
      <w:r w:rsidRPr="00755F3F">
        <w:rPr>
          <w:rFonts w:ascii="Times New Roman" w:hAnsi="Times New Roman"/>
          <w:noProof/>
          <w:sz w:val="24"/>
          <w:szCs w:val="24"/>
        </w:rPr>
        <w:t xml:space="preserve"> New York: Harper &amp; Brothers.</w:t>
      </w:r>
    </w:p>
    <w:p w:rsidR="006F43DE" w:rsidRPr="00755F3F" w:rsidRDefault="006F43DE" w:rsidP="006F43DE">
      <w:pPr>
        <w:pStyle w:val="Bibliography"/>
        <w:spacing w:line="240" w:lineRule="auto"/>
        <w:ind w:left="720" w:hanging="720"/>
        <w:rPr>
          <w:rFonts w:ascii="Times New Roman" w:hAnsi="Times New Roman"/>
          <w:noProof/>
          <w:sz w:val="24"/>
          <w:szCs w:val="24"/>
        </w:rPr>
      </w:pPr>
      <w:r w:rsidRPr="00755F3F">
        <w:rPr>
          <w:rFonts w:ascii="Times New Roman" w:hAnsi="Times New Roman"/>
          <w:noProof/>
          <w:sz w:val="24"/>
          <w:szCs w:val="24"/>
        </w:rPr>
        <w:t xml:space="preserve">Thomson, M. M., Turner, J. E., &amp; Nietfeld, J. L. (2012). A typological approach to investigate the teaching career decisions: Motivations and beliefs about teaching of prospective teacher candidates. </w:t>
      </w:r>
      <w:r w:rsidRPr="00755F3F">
        <w:rPr>
          <w:rFonts w:ascii="Times New Roman" w:hAnsi="Times New Roman"/>
          <w:i/>
          <w:iCs/>
          <w:noProof/>
          <w:sz w:val="24"/>
          <w:szCs w:val="24"/>
        </w:rPr>
        <w:t>Teaching and Teacher Education</w:t>
      </w:r>
      <w:r w:rsidRPr="00755F3F">
        <w:rPr>
          <w:rFonts w:ascii="Times New Roman" w:hAnsi="Times New Roman"/>
          <w:noProof/>
          <w:sz w:val="24"/>
          <w:szCs w:val="24"/>
        </w:rPr>
        <w:t>, 324-335.</w:t>
      </w:r>
    </w:p>
    <w:p w:rsidR="006D76D5" w:rsidRPr="00755F3F" w:rsidRDefault="006F43DE" w:rsidP="006F43DE">
      <w:pPr>
        <w:pStyle w:val="Bibliography"/>
        <w:spacing w:line="240" w:lineRule="auto"/>
        <w:ind w:left="720" w:hanging="720"/>
        <w:rPr>
          <w:rFonts w:ascii="Times New Roman" w:hAnsi="Times New Roman"/>
          <w:noProof/>
          <w:sz w:val="24"/>
          <w:szCs w:val="24"/>
        </w:rPr>
      </w:pPr>
      <w:r w:rsidRPr="00755F3F">
        <w:rPr>
          <w:rFonts w:ascii="Times New Roman" w:hAnsi="Times New Roman"/>
          <w:noProof/>
          <w:sz w:val="24"/>
          <w:szCs w:val="24"/>
        </w:rPr>
        <w:t xml:space="preserve">Watt, H. M., &amp; Richardson, P. W. (2008). Motivations, perceptions, and aspirations concerning teaching as a career for different types of beginning teachers. </w:t>
      </w:r>
      <w:r w:rsidRPr="00755F3F">
        <w:rPr>
          <w:rFonts w:ascii="Times New Roman" w:hAnsi="Times New Roman"/>
          <w:i/>
          <w:iCs/>
          <w:noProof/>
          <w:sz w:val="24"/>
          <w:szCs w:val="24"/>
        </w:rPr>
        <w:t>Learning and Instruction</w:t>
      </w:r>
      <w:r w:rsidRPr="00755F3F">
        <w:rPr>
          <w:rFonts w:ascii="Times New Roman" w:hAnsi="Times New Roman"/>
          <w:noProof/>
          <w:sz w:val="24"/>
          <w:szCs w:val="24"/>
        </w:rPr>
        <w:t>, 408-428.</w:t>
      </w:r>
    </w:p>
    <w:sectPr w:rsidR="006D76D5" w:rsidRPr="00755F3F" w:rsidSect="005E7A11">
      <w:footerReference w:type="first" r:id="rId10"/>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491C" w:rsidRDefault="00E4491C">
      <w:r>
        <w:separator/>
      </w:r>
    </w:p>
  </w:endnote>
  <w:endnote w:type="continuationSeparator" w:id="0">
    <w:p w:rsidR="00E4491C" w:rsidRDefault="00E4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A11" w:rsidRDefault="005E7A11" w:rsidP="005E7A11">
    <w:pPr>
      <w:pStyle w:val="Footer"/>
      <w:tabs>
        <w:tab w:val="clear" w:pos="4320"/>
        <w:tab w:val="center" w:pos="4680"/>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1806" w:rsidRDefault="00011806">
    <w:pPr>
      <w:pStyle w:val="Footer"/>
      <w:jc w:val="center"/>
    </w:pPr>
  </w:p>
  <w:p w:rsidR="005E7A11" w:rsidRDefault="005E7A11" w:rsidP="005E7A11">
    <w:pPr>
      <w:pStyle w:val="Footer"/>
      <w:tabs>
        <w:tab w:val="clear" w:pos="4320"/>
        <w:tab w:val="center" w:pos="4680"/>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A11" w:rsidRDefault="005E7A11" w:rsidP="005E7A11">
    <w:pPr>
      <w:pStyle w:val="Footer"/>
      <w:tabs>
        <w:tab w:val="clear" w:pos="4320"/>
        <w:tab w:val="center" w:pos="468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491C" w:rsidRDefault="00E4491C">
      <w:r>
        <w:separator/>
      </w:r>
    </w:p>
  </w:footnote>
  <w:footnote w:type="continuationSeparator" w:id="0">
    <w:p w:rsidR="00E4491C" w:rsidRDefault="00E449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C16F47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136473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A4CC8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0C61AC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07FCB9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55761AB"/>
    <w:multiLevelType w:val="hybridMultilevel"/>
    <w:tmpl w:val="36E41AA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B98"/>
    <w:rsid w:val="00011806"/>
    <w:rsid w:val="0006000C"/>
    <w:rsid w:val="000A38D9"/>
    <w:rsid w:val="000F1C5F"/>
    <w:rsid w:val="00192CE6"/>
    <w:rsid w:val="00207392"/>
    <w:rsid w:val="0025135E"/>
    <w:rsid w:val="002E6197"/>
    <w:rsid w:val="002F48B5"/>
    <w:rsid w:val="00357BB1"/>
    <w:rsid w:val="00394253"/>
    <w:rsid w:val="003C373A"/>
    <w:rsid w:val="003C5D19"/>
    <w:rsid w:val="00433F76"/>
    <w:rsid w:val="004437C0"/>
    <w:rsid w:val="00466321"/>
    <w:rsid w:val="004B57CB"/>
    <w:rsid w:val="00510BE4"/>
    <w:rsid w:val="0055601C"/>
    <w:rsid w:val="005E7A11"/>
    <w:rsid w:val="005F7B42"/>
    <w:rsid w:val="0067485B"/>
    <w:rsid w:val="006D76D5"/>
    <w:rsid w:val="006F43DE"/>
    <w:rsid w:val="00714790"/>
    <w:rsid w:val="00755F3F"/>
    <w:rsid w:val="007608A3"/>
    <w:rsid w:val="00763512"/>
    <w:rsid w:val="007909F4"/>
    <w:rsid w:val="00797858"/>
    <w:rsid w:val="007C7F74"/>
    <w:rsid w:val="007E225A"/>
    <w:rsid w:val="00950B26"/>
    <w:rsid w:val="00982AAE"/>
    <w:rsid w:val="00A50D66"/>
    <w:rsid w:val="00AC4128"/>
    <w:rsid w:val="00B75B98"/>
    <w:rsid w:val="00B929A7"/>
    <w:rsid w:val="00BB1C0B"/>
    <w:rsid w:val="00BD76C5"/>
    <w:rsid w:val="00C154D1"/>
    <w:rsid w:val="00CB6695"/>
    <w:rsid w:val="00CD1D51"/>
    <w:rsid w:val="00D32FBD"/>
    <w:rsid w:val="00DA1E43"/>
    <w:rsid w:val="00E4491C"/>
    <w:rsid w:val="00E90A24"/>
    <w:rsid w:val="00EB473C"/>
    <w:rsid w:val="00F075EE"/>
    <w:rsid w:val="00F40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D067ABC-895F-4381-9E71-63D3706B5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link w:val="FooterChar"/>
    <w:uiPriority w:val="99"/>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basedOn w:val="DefaultParagraphFont"/>
    <w:rsid w:val="005E7A11"/>
    <w:rPr>
      <w:color w:val="0000FF"/>
      <w:u w:val="single"/>
    </w:rPr>
  </w:style>
  <w:style w:type="paragraph" w:customStyle="1" w:styleId="Level1">
    <w:name w:val="Level 1"/>
    <w:basedOn w:val="Normal"/>
    <w:rsid w:val="00797858"/>
    <w:pPr>
      <w:widowControl w:val="0"/>
      <w:autoSpaceDE w:val="0"/>
      <w:autoSpaceDN w:val="0"/>
      <w:adjustRightInd w:val="0"/>
      <w:ind w:left="900" w:hanging="180"/>
    </w:pPr>
    <w:rPr>
      <w:rFonts w:ascii="Arial" w:hAnsi="Arial"/>
    </w:rPr>
  </w:style>
  <w:style w:type="paragraph" w:styleId="Bibliography">
    <w:name w:val="Bibliography"/>
    <w:basedOn w:val="Normal"/>
    <w:next w:val="Normal"/>
    <w:uiPriority w:val="37"/>
    <w:unhideWhenUsed/>
    <w:rsid w:val="006D76D5"/>
    <w:pPr>
      <w:spacing w:after="160" w:line="259" w:lineRule="auto"/>
    </w:pPr>
    <w:rPr>
      <w:rFonts w:ascii="Calibri" w:eastAsia="Calibri" w:hAnsi="Calibri"/>
      <w:sz w:val="22"/>
      <w:szCs w:val="22"/>
    </w:rPr>
  </w:style>
  <w:style w:type="character" w:customStyle="1" w:styleId="FooterChar">
    <w:name w:val="Footer Char"/>
    <w:basedOn w:val="DefaultParagraphFont"/>
    <w:link w:val="Footer"/>
    <w:uiPriority w:val="99"/>
    <w:rsid w:val="00011806"/>
    <w:rPr>
      <w:sz w:val="24"/>
      <w:szCs w:val="24"/>
    </w:rPr>
  </w:style>
  <w:style w:type="paragraph" w:styleId="ListParagraph">
    <w:name w:val="List Paragraph"/>
    <w:basedOn w:val="Normal"/>
    <w:uiPriority w:val="34"/>
    <w:qFormat/>
    <w:rsid w:val="00EB473C"/>
    <w:pPr>
      <w:spacing w:after="160" w:line="259"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Kan10</b:Tag>
    <b:SourceType>Report</b:SourceType>
    <b:Guid>{C56FD30F-C9CF-464E-AAF3-3838D2078753}</b:Guid>
    <b:Author>
      <b:Author>
        <b:NameList>
          <b:Person>
            <b:Last>Kantrovich</b:Last>
            <b:First>Adam</b:First>
            <b:Middle>J.</b:Middle>
          </b:Person>
        </b:NameList>
      </b:Author>
    </b:Author>
    <b:Title>The 36th Volume of A National Study of the Supply and Demand for Teachers of Agricultural Education 2006-2009</b:Title>
    <b:Year>2010</b:Year>
    <b:Publisher>American Association for Agricultural Education</b:Publisher>
    <b:City>Alexandria</b:City>
    <b:RefOrder>1</b:RefOrder>
  </b:Source>
  <b:Source>
    <b:Tag>Mas96</b:Tag>
    <b:SourceType>Book</b:SourceType>
    <b:Guid>{BC29A2D1-3C79-4531-B00A-A893B0DC5A0F}</b:Guid>
    <b:Title>Maslach Burnout Inventory Manual</b:Title>
    <b:Year>1996</b:Year>
    <b:Author>
      <b:Author>
        <b:NameList>
          <b:Person>
            <b:Last>Maslach</b:Last>
            <b:First>Christina</b:First>
          </b:Person>
          <b:Person>
            <b:Last>Jackson</b:Last>
            <b:First>Susan</b:First>
            <b:Middle>E.</b:Middle>
          </b:Person>
          <b:Person>
            <b:Last>Leiter</b:Last>
            <b:First>Michael</b:First>
            <b:Middle>P.</b:Middle>
          </b:Person>
        </b:NameList>
      </b:Author>
    </b:Author>
    <b:City>Menlo Park</b:City>
    <b:Publisher>mindgarden.com</b:Publisher>
    <b:RefOrder>2</b:RefOrder>
  </b:Source>
</b:Sources>
</file>

<file path=customXml/itemProps1.xml><?xml version="1.0" encoding="utf-8"?>
<ds:datastoreItem xmlns:ds="http://schemas.openxmlformats.org/officeDocument/2006/customXml" ds:itemID="{8BDEDB9A-D545-4777-96B1-078819832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1395</Words>
  <Characters>8130</Characters>
  <Application>Microsoft Office Word</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WRAAAE Poster Abstract template</vt:lpstr>
    </vt:vector>
  </TitlesOfParts>
  <Company>Peak Consulting</Company>
  <LinksUpToDate>false</LinksUpToDate>
  <CharactersWithSpaces>9506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WRAAAE Poster Abstract template</dc:title>
  <dc:creator>Debra Korte</dc:creator>
  <cp:lastModifiedBy>Korte, Debra Sue</cp:lastModifiedBy>
  <cp:revision>2</cp:revision>
  <cp:lastPrinted>2004-01-08T13:09:00Z</cp:lastPrinted>
  <dcterms:created xsi:type="dcterms:W3CDTF">2015-09-21T20:20:00Z</dcterms:created>
  <dcterms:modified xsi:type="dcterms:W3CDTF">2015-09-21T20:20:00Z</dcterms:modified>
</cp:coreProperties>
</file>