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512" w:rsidRDefault="00763512" w:rsidP="00763512">
      <w:pPr>
        <w:pStyle w:val="Title"/>
      </w:pPr>
      <w:bookmarkStart w:id="0" w:name="_GoBack"/>
      <w:bookmarkEnd w:id="0"/>
    </w:p>
    <w:p w:rsidR="00763512" w:rsidRDefault="00763512" w:rsidP="00763512">
      <w:pPr>
        <w:pStyle w:val="Title"/>
      </w:pPr>
    </w:p>
    <w:p w:rsidR="00865740" w:rsidRDefault="00865740" w:rsidP="00763512">
      <w:pPr>
        <w:pStyle w:val="Title"/>
      </w:pPr>
    </w:p>
    <w:p w:rsidR="00763512" w:rsidRDefault="00763512" w:rsidP="00763512">
      <w:pPr>
        <w:pStyle w:val="Title"/>
      </w:pPr>
    </w:p>
    <w:p w:rsidR="00763512" w:rsidRDefault="00F808F9" w:rsidP="00763512">
      <w:pPr>
        <w:pStyle w:val="Title"/>
      </w:pPr>
      <w:r>
        <w:t>Professional and Institutional Support for PK-12 Engagement</w:t>
      </w:r>
    </w:p>
    <w:p w:rsidR="005E7A11" w:rsidRDefault="005E7A11" w:rsidP="00763512">
      <w:pPr>
        <w:pStyle w:val="Title"/>
        <w:rPr>
          <w:b w:val="0"/>
        </w:rPr>
      </w:pPr>
    </w:p>
    <w:p w:rsidR="00763512" w:rsidRPr="00763512" w:rsidRDefault="00463FD8" w:rsidP="00763512">
      <w:pPr>
        <w:pStyle w:val="Title"/>
        <w:rPr>
          <w:b w:val="0"/>
        </w:rPr>
      </w:pPr>
      <w:r>
        <w:rPr>
          <w:b w:val="0"/>
        </w:rPr>
        <w:t>Kaylie Scherer, Neil Knobloch, PhD</w:t>
      </w:r>
      <w:r w:rsidR="00865740">
        <w:rPr>
          <w:b w:val="0"/>
        </w:rPr>
        <w:t>, Alee Gunderson</w:t>
      </w:r>
    </w:p>
    <w:p w:rsidR="00763512" w:rsidRDefault="00463FD8" w:rsidP="00763512">
      <w:pPr>
        <w:pStyle w:val="Title"/>
        <w:rPr>
          <w:b w:val="0"/>
        </w:rPr>
      </w:pPr>
      <w:r>
        <w:rPr>
          <w:b w:val="0"/>
        </w:rPr>
        <w:t>Purdue University</w:t>
      </w:r>
    </w:p>
    <w:p w:rsidR="00763512" w:rsidRDefault="00763512" w:rsidP="00763512">
      <w:pPr>
        <w:pStyle w:val="Title"/>
        <w:rPr>
          <w:b w:val="0"/>
        </w:rPr>
      </w:pPr>
    </w:p>
    <w:p w:rsidR="00763512" w:rsidRDefault="00763512" w:rsidP="00763512">
      <w:pPr>
        <w:pStyle w:val="Title"/>
        <w:rPr>
          <w:b w:val="0"/>
        </w:rPr>
      </w:pPr>
    </w:p>
    <w:p w:rsidR="00763512" w:rsidRDefault="00763512" w:rsidP="00763512">
      <w:pPr>
        <w:pStyle w:val="Title"/>
        <w:rPr>
          <w:b w:val="0"/>
        </w:rPr>
      </w:pPr>
    </w:p>
    <w:p w:rsidR="005E7A11" w:rsidRDefault="005E7A11" w:rsidP="00763512">
      <w:pPr>
        <w:pStyle w:val="Title"/>
        <w:rPr>
          <w:b w:val="0"/>
        </w:rPr>
      </w:pPr>
    </w:p>
    <w:p w:rsidR="005E7A11" w:rsidRDefault="005E7A11" w:rsidP="00763512">
      <w:pPr>
        <w:pStyle w:val="Title"/>
        <w:rPr>
          <w:b w:val="0"/>
        </w:rPr>
      </w:pPr>
    </w:p>
    <w:p w:rsidR="00763512" w:rsidRDefault="00463FD8" w:rsidP="00763512">
      <w:pPr>
        <w:pStyle w:val="Title"/>
        <w:rPr>
          <w:b w:val="0"/>
        </w:rPr>
      </w:pPr>
      <w:r>
        <w:rPr>
          <w:b w:val="0"/>
        </w:rPr>
        <w:t>615 W. State St.</w:t>
      </w:r>
    </w:p>
    <w:p w:rsidR="0067485B" w:rsidRDefault="00463FD8" w:rsidP="0067485B">
      <w:pPr>
        <w:pStyle w:val="Title"/>
        <w:rPr>
          <w:b w:val="0"/>
        </w:rPr>
      </w:pPr>
      <w:r>
        <w:rPr>
          <w:b w:val="0"/>
        </w:rPr>
        <w:t>West Lafayette, IN 47907</w:t>
      </w:r>
    </w:p>
    <w:p w:rsidR="0067485B" w:rsidRDefault="00463FD8" w:rsidP="0067485B">
      <w:pPr>
        <w:pStyle w:val="Title"/>
        <w:rPr>
          <w:b w:val="0"/>
        </w:rPr>
      </w:pPr>
      <w:r>
        <w:rPr>
          <w:b w:val="0"/>
        </w:rPr>
        <w:t>(765-494-8423</w:t>
      </w:r>
      <w:r w:rsidR="0067485B">
        <w:rPr>
          <w:b w:val="0"/>
        </w:rPr>
        <w:t>)</w:t>
      </w:r>
    </w:p>
    <w:p w:rsidR="0067485B" w:rsidRDefault="00463FD8" w:rsidP="0067485B">
      <w:pPr>
        <w:pStyle w:val="Title"/>
        <w:rPr>
          <w:b w:val="0"/>
        </w:rPr>
      </w:pPr>
      <w:r>
        <w:rPr>
          <w:b w:val="0"/>
        </w:rPr>
        <w:t>akschere@purdue.edu</w:t>
      </w:r>
    </w:p>
    <w:p w:rsidR="00463FD8" w:rsidRDefault="00463FD8" w:rsidP="0067485B">
      <w:pPr>
        <w:pStyle w:val="Title"/>
        <w:rPr>
          <w:b w:val="0"/>
        </w:rPr>
      </w:pPr>
      <w:r>
        <w:rPr>
          <w:b w:val="0"/>
        </w:rPr>
        <w:t xml:space="preserve">nknobloc@purdue.edu </w:t>
      </w:r>
    </w:p>
    <w:p w:rsidR="005E7A11" w:rsidRDefault="005E7A11" w:rsidP="0067485B">
      <w:pPr>
        <w:pStyle w:val="Title"/>
        <w:rPr>
          <w:b w:val="0"/>
        </w:rPr>
      </w:pPr>
    </w:p>
    <w:p w:rsidR="005E7A11" w:rsidRDefault="005E7A11" w:rsidP="00763512">
      <w:pPr>
        <w:pStyle w:val="Title"/>
        <w:sectPr w:rsidR="005E7A11" w:rsidSect="005E7A11">
          <w:footerReference w:type="default" r:id="rId8"/>
          <w:headerReference w:type="first" r:id="rId9"/>
          <w:footerReference w:type="first" r:id="rId10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:rsidR="00510BE4" w:rsidRPr="00BD76C5" w:rsidRDefault="00F808F9" w:rsidP="00763512">
      <w:pPr>
        <w:pStyle w:val="Title"/>
      </w:pPr>
      <w:r>
        <w:lastRenderedPageBreak/>
        <w:t>Professional and Institutional Support for PK-12 Engagement</w:t>
      </w:r>
    </w:p>
    <w:p w:rsidR="00F808F9" w:rsidRPr="006A6016" w:rsidRDefault="00F808F9" w:rsidP="00F808F9">
      <w:pPr>
        <w:pStyle w:val="NoSpacing"/>
        <w:rPr>
          <w:rFonts w:ascii="Times New Roman" w:hAnsi="Times New Roman"/>
          <w:b/>
          <w:sz w:val="24"/>
          <w:szCs w:val="24"/>
        </w:rPr>
      </w:pPr>
      <w:r w:rsidRPr="006A6016">
        <w:rPr>
          <w:rFonts w:ascii="Times New Roman" w:hAnsi="Times New Roman"/>
          <w:b/>
          <w:sz w:val="24"/>
          <w:szCs w:val="24"/>
        </w:rPr>
        <w:t xml:space="preserve">Introduction </w:t>
      </w:r>
    </w:p>
    <w:p w:rsidR="00F808F9" w:rsidRDefault="00F808F9" w:rsidP="00F808F9">
      <w:pPr>
        <w:pStyle w:val="NoSpacing"/>
        <w:ind w:firstLine="720"/>
        <w:rPr>
          <w:rFonts w:ascii="Times New Roman" w:eastAsia="Times New Roman" w:hAnsi="Times New Roman"/>
          <w:sz w:val="24"/>
          <w:szCs w:val="24"/>
        </w:rPr>
      </w:pPr>
      <w:r w:rsidRPr="00551131">
        <w:rPr>
          <w:rFonts w:ascii="Times New Roman" w:hAnsi="Times New Roman"/>
          <w:sz w:val="24"/>
          <w:szCs w:val="24"/>
        </w:rPr>
        <w:t xml:space="preserve">Perceptions and motivations of faculty and staff to engage with PK-12 audiences can inform </w:t>
      </w:r>
      <w:r w:rsidR="007151FF">
        <w:rPr>
          <w:rFonts w:ascii="Times New Roman" w:hAnsi="Times New Roman"/>
          <w:sz w:val="24"/>
          <w:szCs w:val="24"/>
        </w:rPr>
        <w:t>affordances</w:t>
      </w:r>
      <w:r w:rsidRPr="00551131">
        <w:rPr>
          <w:rFonts w:ascii="Times New Roman" w:hAnsi="Times New Roman"/>
          <w:sz w:val="24"/>
          <w:szCs w:val="24"/>
        </w:rPr>
        <w:t xml:space="preserve"> and barriers for Colleges of Agriculture to enhance PK-12 engagement initiatives.</w:t>
      </w:r>
      <w:r w:rsidRPr="008A51E8">
        <w:rPr>
          <w:rFonts w:ascii="Times New Roman" w:hAnsi="Times New Roman"/>
          <w:sz w:val="24"/>
          <w:szCs w:val="24"/>
        </w:rPr>
        <w:t xml:space="preserve">  Faculty and staff in </w:t>
      </w:r>
      <w:r w:rsidR="00AC2033">
        <w:rPr>
          <w:rFonts w:ascii="Times New Roman" w:hAnsi="Times New Roman"/>
          <w:sz w:val="24"/>
          <w:szCs w:val="24"/>
        </w:rPr>
        <w:t>a land-grant</w:t>
      </w:r>
      <w:r w:rsidRPr="008A51E8">
        <w:rPr>
          <w:rFonts w:ascii="Times New Roman" w:hAnsi="Times New Roman"/>
          <w:sz w:val="24"/>
          <w:szCs w:val="24"/>
        </w:rPr>
        <w:t xml:space="preserve"> </w:t>
      </w:r>
      <w:r w:rsidR="00AC2033">
        <w:rPr>
          <w:rFonts w:ascii="Times New Roman" w:hAnsi="Times New Roman"/>
          <w:sz w:val="24"/>
          <w:szCs w:val="24"/>
        </w:rPr>
        <w:t>c</w:t>
      </w:r>
      <w:r w:rsidRPr="008A51E8">
        <w:rPr>
          <w:rFonts w:ascii="Times New Roman" w:hAnsi="Times New Roman"/>
          <w:sz w:val="24"/>
          <w:szCs w:val="24"/>
        </w:rPr>
        <w:t xml:space="preserve">ollege of </w:t>
      </w:r>
      <w:r w:rsidR="00AC2033">
        <w:rPr>
          <w:rFonts w:ascii="Times New Roman" w:hAnsi="Times New Roman"/>
          <w:sz w:val="24"/>
          <w:szCs w:val="24"/>
        </w:rPr>
        <w:t>a</w:t>
      </w:r>
      <w:r w:rsidRPr="008A51E8">
        <w:rPr>
          <w:rFonts w:ascii="Times New Roman" w:hAnsi="Times New Roman"/>
          <w:sz w:val="24"/>
          <w:szCs w:val="24"/>
        </w:rPr>
        <w:t xml:space="preserve">griculture </w:t>
      </w:r>
      <w:r w:rsidR="00AC2033">
        <w:rPr>
          <w:rFonts w:ascii="Times New Roman" w:hAnsi="Times New Roman"/>
          <w:sz w:val="24"/>
          <w:szCs w:val="24"/>
        </w:rPr>
        <w:t>participated in a survey to gain</w:t>
      </w:r>
      <w:r w:rsidRPr="008A51E8">
        <w:rPr>
          <w:rFonts w:ascii="Times New Roman" w:hAnsi="Times New Roman"/>
          <w:sz w:val="24"/>
          <w:szCs w:val="24"/>
        </w:rPr>
        <w:t xml:space="preserve"> a better understanding of the extent to which they engaged with PK-12 audiences.  </w:t>
      </w:r>
      <w:r w:rsidRPr="008A51E8">
        <w:rPr>
          <w:rFonts w:ascii="Times New Roman" w:eastAsia="Times New Roman" w:hAnsi="Times New Roman"/>
          <w:sz w:val="24"/>
          <w:szCs w:val="24"/>
        </w:rPr>
        <w:t xml:space="preserve">For the purpose of this research, </w:t>
      </w:r>
      <w:r w:rsidRPr="008A51E8">
        <w:rPr>
          <w:rFonts w:ascii="Times New Roman" w:eastAsia="Times New Roman" w:hAnsi="Times New Roman"/>
          <w:i/>
          <w:iCs/>
          <w:sz w:val="24"/>
          <w:szCs w:val="24"/>
        </w:rPr>
        <w:t xml:space="preserve">PK-12 </w:t>
      </w:r>
      <w:r w:rsidR="00AC2033">
        <w:rPr>
          <w:rFonts w:ascii="Times New Roman" w:eastAsia="Times New Roman" w:hAnsi="Times New Roman"/>
          <w:i/>
          <w:iCs/>
          <w:sz w:val="24"/>
          <w:szCs w:val="24"/>
        </w:rPr>
        <w:t>e</w:t>
      </w:r>
      <w:r w:rsidRPr="008A51E8">
        <w:rPr>
          <w:rFonts w:ascii="Times New Roman" w:eastAsia="Times New Roman" w:hAnsi="Times New Roman"/>
          <w:i/>
          <w:iCs/>
          <w:sz w:val="24"/>
          <w:szCs w:val="24"/>
        </w:rPr>
        <w:t>ngagement</w:t>
      </w:r>
      <w:r w:rsidRPr="008A51E8">
        <w:rPr>
          <w:rFonts w:ascii="Times New Roman" w:eastAsia="Times New Roman" w:hAnsi="Times New Roman"/>
          <w:sz w:val="24"/>
          <w:szCs w:val="24"/>
        </w:rPr>
        <w:t xml:space="preserve"> is defined as scholarly or professional activity conducted for the direct benefit of PK-12 audiences, including student</w:t>
      </w:r>
      <w:r>
        <w:rPr>
          <w:rFonts w:ascii="Times New Roman" w:eastAsia="Times New Roman" w:hAnsi="Times New Roman"/>
          <w:sz w:val="24"/>
          <w:szCs w:val="24"/>
        </w:rPr>
        <w:t>s</w:t>
      </w:r>
      <w:r w:rsidRPr="008A51E8">
        <w:rPr>
          <w:rFonts w:ascii="Times New Roman" w:eastAsia="Times New Roman" w:hAnsi="Times New Roman"/>
          <w:sz w:val="24"/>
          <w:szCs w:val="24"/>
        </w:rPr>
        <w:t xml:space="preserve">, teachers, volunteers, and parents, in formal and informal </w:t>
      </w:r>
      <w:r w:rsidR="00AC2033">
        <w:rPr>
          <w:rFonts w:ascii="Times New Roman" w:eastAsia="Times New Roman" w:hAnsi="Times New Roman"/>
          <w:sz w:val="24"/>
          <w:szCs w:val="24"/>
        </w:rPr>
        <w:t xml:space="preserve">educational </w:t>
      </w:r>
      <w:r w:rsidRPr="008A51E8">
        <w:rPr>
          <w:rFonts w:ascii="Times New Roman" w:eastAsia="Times New Roman" w:hAnsi="Times New Roman"/>
          <w:sz w:val="24"/>
          <w:szCs w:val="24"/>
        </w:rPr>
        <w:t xml:space="preserve">settings. </w:t>
      </w:r>
      <w:r>
        <w:rPr>
          <w:rFonts w:ascii="Times New Roman" w:eastAsia="Times New Roman" w:hAnsi="Times New Roman"/>
          <w:sz w:val="24"/>
          <w:szCs w:val="24"/>
        </w:rPr>
        <w:t>While substantial research has been conduct</w:t>
      </w:r>
      <w:r w:rsidR="008425FC">
        <w:rPr>
          <w:rFonts w:ascii="Times New Roman" w:eastAsia="Times New Roman" w:hAnsi="Times New Roman"/>
          <w:sz w:val="24"/>
          <w:szCs w:val="24"/>
        </w:rPr>
        <w:t xml:space="preserve">ed on faculty engagement, studies have not looked </w:t>
      </w:r>
      <w:r>
        <w:rPr>
          <w:rFonts w:ascii="Times New Roman" w:eastAsia="Times New Roman" w:hAnsi="Times New Roman"/>
          <w:sz w:val="24"/>
          <w:szCs w:val="24"/>
        </w:rPr>
        <w:t xml:space="preserve">specifically </w:t>
      </w:r>
      <w:r w:rsidR="001F5D4F">
        <w:rPr>
          <w:rFonts w:ascii="Times New Roman" w:eastAsia="Times New Roman" w:hAnsi="Times New Roman"/>
          <w:sz w:val="24"/>
          <w:szCs w:val="24"/>
        </w:rPr>
        <w:t xml:space="preserve">at </w:t>
      </w:r>
      <w:r>
        <w:rPr>
          <w:rFonts w:ascii="Times New Roman" w:eastAsia="Times New Roman" w:hAnsi="Times New Roman"/>
          <w:sz w:val="24"/>
          <w:szCs w:val="24"/>
        </w:rPr>
        <w:t xml:space="preserve">PK-12 </w:t>
      </w:r>
      <w:r w:rsidR="00AC2033">
        <w:rPr>
          <w:rFonts w:ascii="Times New Roman" w:eastAsia="Times New Roman" w:hAnsi="Times New Roman"/>
          <w:sz w:val="24"/>
          <w:szCs w:val="24"/>
        </w:rPr>
        <w:t>e</w:t>
      </w:r>
      <w:r>
        <w:rPr>
          <w:rFonts w:ascii="Times New Roman" w:eastAsia="Times New Roman" w:hAnsi="Times New Roman"/>
          <w:sz w:val="24"/>
          <w:szCs w:val="24"/>
        </w:rPr>
        <w:t xml:space="preserve">ngagement in </w:t>
      </w:r>
      <w:r w:rsidR="00AC2033">
        <w:rPr>
          <w:rFonts w:ascii="Times New Roman" w:eastAsia="Times New Roman" w:hAnsi="Times New Roman"/>
          <w:sz w:val="24"/>
          <w:szCs w:val="24"/>
        </w:rPr>
        <w:t>c</w:t>
      </w:r>
      <w:r>
        <w:rPr>
          <w:rFonts w:ascii="Times New Roman" w:eastAsia="Times New Roman" w:hAnsi="Times New Roman"/>
          <w:sz w:val="24"/>
          <w:szCs w:val="24"/>
        </w:rPr>
        <w:t xml:space="preserve">olleges of </w:t>
      </w:r>
      <w:r w:rsidR="00AC2033">
        <w:rPr>
          <w:rFonts w:ascii="Times New Roman" w:eastAsia="Times New Roman" w:hAnsi="Times New Roman"/>
          <w:sz w:val="24"/>
          <w:szCs w:val="24"/>
        </w:rPr>
        <w:t>a</w:t>
      </w:r>
      <w:r>
        <w:rPr>
          <w:rFonts w:ascii="Times New Roman" w:eastAsia="Times New Roman" w:hAnsi="Times New Roman"/>
          <w:sz w:val="24"/>
          <w:szCs w:val="24"/>
        </w:rPr>
        <w:t>griculture.</w:t>
      </w:r>
    </w:p>
    <w:p w:rsidR="00F808F9" w:rsidRPr="008A51E8" w:rsidRDefault="00F808F9" w:rsidP="00F808F9">
      <w:pPr>
        <w:pStyle w:val="NoSpacing"/>
        <w:rPr>
          <w:rFonts w:ascii="Times New Roman" w:eastAsia="Times New Roman" w:hAnsi="Times New Roman"/>
          <w:sz w:val="24"/>
          <w:szCs w:val="24"/>
        </w:rPr>
      </w:pPr>
    </w:p>
    <w:p w:rsidR="00F808F9" w:rsidRPr="006A6016" w:rsidRDefault="00F808F9" w:rsidP="00F808F9">
      <w:pPr>
        <w:pStyle w:val="NoSpacing"/>
        <w:rPr>
          <w:rFonts w:ascii="Times New Roman" w:hAnsi="Times New Roman"/>
          <w:b/>
          <w:sz w:val="24"/>
          <w:szCs w:val="24"/>
        </w:rPr>
      </w:pPr>
      <w:r w:rsidRPr="006A6016">
        <w:rPr>
          <w:rFonts w:ascii="Times New Roman" w:hAnsi="Times New Roman"/>
          <w:b/>
          <w:sz w:val="24"/>
          <w:szCs w:val="24"/>
        </w:rPr>
        <w:t>Theoretical/Conceptual Framework</w:t>
      </w:r>
    </w:p>
    <w:p w:rsidR="00F808F9" w:rsidRPr="004A5A08" w:rsidRDefault="00F808F9" w:rsidP="00F808F9">
      <w:pPr>
        <w:pStyle w:val="NoSpacing"/>
        <w:ind w:firstLine="720"/>
        <w:rPr>
          <w:rFonts w:ascii="Times New Roman" w:eastAsia="Times New Roman" w:hAnsi="Times New Roman"/>
          <w:sz w:val="24"/>
          <w:szCs w:val="24"/>
        </w:rPr>
      </w:pPr>
      <w:r w:rsidRPr="008A51E8">
        <w:rPr>
          <w:rFonts w:ascii="Times New Roman" w:eastAsia="Times New Roman" w:hAnsi="Times New Roman"/>
          <w:sz w:val="24"/>
          <w:szCs w:val="24"/>
        </w:rPr>
        <w:t xml:space="preserve">Wade and Demb’s </w:t>
      </w:r>
      <w:r w:rsidR="00A637A2">
        <w:rPr>
          <w:rFonts w:ascii="Times New Roman" w:eastAsia="Times New Roman" w:hAnsi="Times New Roman"/>
          <w:sz w:val="24"/>
          <w:szCs w:val="24"/>
        </w:rPr>
        <w:t>(</w:t>
      </w:r>
      <w:r w:rsidRPr="008A51E8">
        <w:rPr>
          <w:rFonts w:ascii="Times New Roman" w:eastAsia="Times New Roman" w:hAnsi="Times New Roman"/>
          <w:sz w:val="24"/>
          <w:szCs w:val="24"/>
        </w:rPr>
        <w:t>2009</w:t>
      </w:r>
      <w:r w:rsidR="00A637A2">
        <w:rPr>
          <w:rFonts w:ascii="Times New Roman" w:eastAsia="Times New Roman" w:hAnsi="Times New Roman"/>
          <w:sz w:val="24"/>
          <w:szCs w:val="24"/>
        </w:rPr>
        <w:t>)</w:t>
      </w:r>
      <w:r w:rsidRPr="008A51E8">
        <w:rPr>
          <w:rFonts w:ascii="Times New Roman" w:eastAsia="Times New Roman" w:hAnsi="Times New Roman"/>
          <w:sz w:val="24"/>
          <w:szCs w:val="24"/>
        </w:rPr>
        <w:t xml:space="preserve"> Faculty Engagement Model (FEM) provided</w:t>
      </w:r>
      <w:r>
        <w:rPr>
          <w:rFonts w:ascii="Times New Roman" w:eastAsia="Times New Roman" w:hAnsi="Times New Roman"/>
          <w:sz w:val="24"/>
          <w:szCs w:val="24"/>
        </w:rPr>
        <w:t xml:space="preserve"> a</w:t>
      </w:r>
      <w:r w:rsidRPr="008A51E8">
        <w:rPr>
          <w:rFonts w:ascii="Times New Roman" w:eastAsia="Times New Roman" w:hAnsi="Times New Roman"/>
          <w:sz w:val="24"/>
          <w:szCs w:val="24"/>
        </w:rPr>
        <w:t xml:space="preserve"> framework for understanding factors which </w:t>
      </w:r>
      <w:r w:rsidRPr="00306702">
        <w:rPr>
          <w:rFonts w:ascii="Times New Roman" w:eastAsia="Times New Roman" w:hAnsi="Times New Roman"/>
          <w:sz w:val="24"/>
          <w:szCs w:val="24"/>
        </w:rPr>
        <w:t>relate to the willingness and ability of faculty to participate in engagement.</w:t>
      </w:r>
      <w:r>
        <w:rPr>
          <w:rFonts w:ascii="Times New Roman" w:eastAsia="Times New Roman" w:hAnsi="Times New Roman"/>
          <w:sz w:val="24"/>
          <w:szCs w:val="24"/>
        </w:rPr>
        <w:t xml:space="preserve">  The</w:t>
      </w:r>
      <w:r w:rsidR="00AC2033">
        <w:rPr>
          <w:rFonts w:ascii="Times New Roman" w:eastAsia="Times New Roman" w:hAnsi="Times New Roman"/>
          <w:sz w:val="24"/>
          <w:szCs w:val="24"/>
        </w:rPr>
        <w:t>re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AC2033">
        <w:rPr>
          <w:rFonts w:ascii="Times New Roman" w:eastAsia="Times New Roman" w:hAnsi="Times New Roman"/>
          <w:sz w:val="24"/>
          <w:szCs w:val="24"/>
        </w:rPr>
        <w:t>are three</w:t>
      </w:r>
      <w:r w:rsidRPr="008A51E8">
        <w:rPr>
          <w:rFonts w:ascii="Times New Roman" w:eastAsia="Times New Roman" w:hAnsi="Times New Roman"/>
          <w:sz w:val="24"/>
          <w:szCs w:val="24"/>
        </w:rPr>
        <w:t xml:space="preserve"> dimensi</w:t>
      </w:r>
      <w:r>
        <w:rPr>
          <w:rFonts w:ascii="Times New Roman" w:eastAsia="Times New Roman" w:hAnsi="Times New Roman"/>
          <w:sz w:val="24"/>
          <w:szCs w:val="24"/>
        </w:rPr>
        <w:t>ons</w:t>
      </w:r>
      <w:r w:rsidR="00AC2033">
        <w:rPr>
          <w:rFonts w:ascii="Times New Roman" w:eastAsia="Times New Roman" w:hAnsi="Times New Roman"/>
          <w:sz w:val="24"/>
          <w:szCs w:val="24"/>
        </w:rPr>
        <w:t xml:space="preserve"> in the FEM</w:t>
      </w:r>
      <w:r>
        <w:rPr>
          <w:rFonts w:ascii="Times New Roman" w:eastAsia="Times New Roman" w:hAnsi="Times New Roman"/>
          <w:sz w:val="24"/>
          <w:szCs w:val="24"/>
        </w:rPr>
        <w:t xml:space="preserve">: </w:t>
      </w:r>
      <w:r w:rsidR="00AC2033">
        <w:rPr>
          <w:rFonts w:ascii="Times New Roman" w:eastAsia="Times New Roman" w:hAnsi="Times New Roman"/>
          <w:sz w:val="24"/>
          <w:szCs w:val="24"/>
        </w:rPr>
        <w:t xml:space="preserve">(1) </w:t>
      </w:r>
      <w:r>
        <w:rPr>
          <w:rFonts w:ascii="Times New Roman" w:eastAsia="Times New Roman" w:hAnsi="Times New Roman"/>
          <w:sz w:val="24"/>
          <w:szCs w:val="24"/>
        </w:rPr>
        <w:t xml:space="preserve">professional, </w:t>
      </w:r>
      <w:r w:rsidR="00AC2033">
        <w:rPr>
          <w:rFonts w:ascii="Times New Roman" w:eastAsia="Times New Roman" w:hAnsi="Times New Roman"/>
          <w:sz w:val="24"/>
          <w:szCs w:val="24"/>
        </w:rPr>
        <w:t xml:space="preserve">(2) </w:t>
      </w:r>
      <w:r>
        <w:rPr>
          <w:rFonts w:ascii="Times New Roman" w:eastAsia="Times New Roman" w:hAnsi="Times New Roman"/>
          <w:sz w:val="24"/>
          <w:szCs w:val="24"/>
        </w:rPr>
        <w:t>institutional</w:t>
      </w:r>
      <w:r w:rsidRPr="008A51E8">
        <w:rPr>
          <w:rFonts w:ascii="Times New Roman" w:eastAsia="Times New Roman" w:hAnsi="Times New Roman"/>
          <w:sz w:val="24"/>
          <w:szCs w:val="24"/>
        </w:rPr>
        <w:t xml:space="preserve">, and </w:t>
      </w:r>
      <w:r w:rsidR="00AC2033">
        <w:rPr>
          <w:rFonts w:ascii="Times New Roman" w:eastAsia="Times New Roman" w:hAnsi="Times New Roman"/>
          <w:sz w:val="24"/>
          <w:szCs w:val="24"/>
        </w:rPr>
        <w:t xml:space="preserve">(3) </w:t>
      </w:r>
      <w:r w:rsidRPr="008A51E8">
        <w:rPr>
          <w:rFonts w:ascii="Times New Roman" w:eastAsia="Times New Roman" w:hAnsi="Times New Roman"/>
          <w:sz w:val="24"/>
          <w:szCs w:val="24"/>
        </w:rPr>
        <w:t>personal</w:t>
      </w:r>
      <w:r w:rsidR="00AC2033">
        <w:rPr>
          <w:rFonts w:ascii="Times New Roman" w:eastAsia="Times New Roman" w:hAnsi="Times New Roman"/>
          <w:sz w:val="24"/>
          <w:szCs w:val="24"/>
        </w:rPr>
        <w:t>. T</w:t>
      </w:r>
      <w:r>
        <w:rPr>
          <w:rFonts w:ascii="Times New Roman" w:eastAsia="Times New Roman" w:hAnsi="Times New Roman"/>
          <w:sz w:val="24"/>
          <w:szCs w:val="24"/>
        </w:rPr>
        <w:t>he professional dimension include</w:t>
      </w:r>
      <w:r w:rsidR="00AC2033">
        <w:rPr>
          <w:rFonts w:ascii="Times New Roman" w:eastAsia="Times New Roman" w:hAnsi="Times New Roman"/>
          <w:sz w:val="24"/>
          <w:szCs w:val="24"/>
        </w:rPr>
        <w:t xml:space="preserve">s variables such as </w:t>
      </w:r>
      <w:r>
        <w:rPr>
          <w:rFonts w:ascii="Times New Roman" w:eastAsia="Times New Roman" w:hAnsi="Times New Roman"/>
          <w:sz w:val="24"/>
          <w:szCs w:val="24"/>
        </w:rPr>
        <w:t>discipline, status/rank, socialization, professional community support, department support, and length of time in a</w:t>
      </w:r>
      <w:r w:rsidRPr="00306702">
        <w:rPr>
          <w:rFonts w:ascii="Times New Roman" w:eastAsia="Times New Roman" w:hAnsi="Times New Roman"/>
          <w:sz w:val="24"/>
          <w:szCs w:val="24"/>
        </w:rPr>
        <w:t>cademe</w:t>
      </w:r>
      <w:r>
        <w:rPr>
          <w:rFonts w:ascii="Times New Roman" w:eastAsia="Times New Roman" w:hAnsi="Times New Roman"/>
          <w:sz w:val="24"/>
          <w:szCs w:val="24"/>
        </w:rPr>
        <w:t xml:space="preserve">.  </w:t>
      </w:r>
      <w:r w:rsidR="00AC2033">
        <w:rPr>
          <w:rFonts w:ascii="Times New Roman" w:eastAsia="Times New Roman" w:hAnsi="Times New Roman"/>
          <w:sz w:val="24"/>
          <w:szCs w:val="24"/>
        </w:rPr>
        <w:t>T</w:t>
      </w:r>
      <w:r>
        <w:rPr>
          <w:rFonts w:ascii="Times New Roman" w:eastAsia="Times New Roman" w:hAnsi="Times New Roman"/>
          <w:sz w:val="24"/>
          <w:szCs w:val="24"/>
        </w:rPr>
        <w:t>he institutional dimension include</w:t>
      </w:r>
      <w:r w:rsidR="00AC2033">
        <w:rPr>
          <w:rFonts w:ascii="Times New Roman" w:eastAsia="Times New Roman" w:hAnsi="Times New Roman"/>
          <w:sz w:val="24"/>
          <w:szCs w:val="24"/>
        </w:rPr>
        <w:t>s variables such as</w:t>
      </w:r>
      <w:r w:rsidRPr="008A51E8">
        <w:rPr>
          <w:rFonts w:ascii="Times New Roman" w:eastAsia="Times New Roman" w:hAnsi="Times New Roman"/>
          <w:sz w:val="24"/>
          <w:szCs w:val="24"/>
        </w:rPr>
        <w:t xml:space="preserve"> mission and priorities, leadership, institutional policies, budget and funding, engagement structure, faculty involvement, community involvement, and in</w:t>
      </w:r>
      <w:r>
        <w:rPr>
          <w:rFonts w:ascii="Times New Roman" w:eastAsia="Times New Roman" w:hAnsi="Times New Roman"/>
          <w:sz w:val="24"/>
          <w:szCs w:val="24"/>
        </w:rPr>
        <w:t xml:space="preserve">stitutional type and prestige.  </w:t>
      </w:r>
      <w:r w:rsidR="00AC2033">
        <w:rPr>
          <w:rFonts w:ascii="Times New Roman" w:eastAsia="Times New Roman" w:hAnsi="Times New Roman"/>
          <w:sz w:val="24"/>
          <w:szCs w:val="24"/>
        </w:rPr>
        <w:t>T</w:t>
      </w:r>
      <w:r>
        <w:rPr>
          <w:rFonts w:ascii="Times New Roman" w:eastAsia="Times New Roman" w:hAnsi="Times New Roman"/>
          <w:sz w:val="24"/>
          <w:szCs w:val="24"/>
        </w:rPr>
        <w:t>he personal dimension include</w:t>
      </w:r>
      <w:r w:rsidR="00AC2033">
        <w:rPr>
          <w:rFonts w:ascii="Times New Roman" w:eastAsia="Times New Roman" w:hAnsi="Times New Roman"/>
          <w:sz w:val="24"/>
          <w:szCs w:val="24"/>
        </w:rPr>
        <w:t>s variables such as</w:t>
      </w:r>
      <w:r>
        <w:rPr>
          <w:rFonts w:ascii="Times New Roman" w:eastAsia="Times New Roman" w:hAnsi="Times New Roman"/>
          <w:sz w:val="24"/>
          <w:szCs w:val="24"/>
        </w:rPr>
        <w:t xml:space="preserve"> race/ethnicity, gender, values/beliefs, motivation, epistemology, previous experience, family college attainment status, and a</w:t>
      </w:r>
      <w:r w:rsidRPr="00306702">
        <w:rPr>
          <w:rFonts w:ascii="Times New Roman" w:eastAsia="Times New Roman" w:hAnsi="Times New Roman"/>
          <w:sz w:val="24"/>
          <w:szCs w:val="24"/>
        </w:rPr>
        <w:t>ge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7139F4">
        <w:rPr>
          <w:rFonts w:ascii="Times New Roman" w:eastAsia="Times New Roman" w:hAnsi="Times New Roman"/>
          <w:noProof/>
          <w:sz w:val="24"/>
          <w:szCs w:val="24"/>
        </w:rPr>
        <w:t>(Wade &amp; Demb, 2009)</w:t>
      </w:r>
      <w:r>
        <w:rPr>
          <w:rFonts w:ascii="Times New Roman" w:eastAsia="Times New Roman" w:hAnsi="Times New Roman"/>
          <w:sz w:val="24"/>
          <w:szCs w:val="24"/>
        </w:rPr>
        <w:t xml:space="preserve">.  </w:t>
      </w:r>
      <w:r w:rsidR="00AC2033">
        <w:rPr>
          <w:rFonts w:ascii="Times New Roman" w:eastAsia="Times New Roman" w:hAnsi="Times New Roman"/>
          <w:sz w:val="24"/>
          <w:szCs w:val="24"/>
        </w:rPr>
        <w:t>Although</w:t>
      </w:r>
      <w:r>
        <w:rPr>
          <w:rFonts w:ascii="Times New Roman" w:eastAsia="Times New Roman" w:hAnsi="Times New Roman"/>
          <w:sz w:val="24"/>
          <w:szCs w:val="24"/>
        </w:rPr>
        <w:t xml:space="preserve"> the personal dimension </w:t>
      </w:r>
      <w:r w:rsidR="00AC2033">
        <w:rPr>
          <w:rFonts w:ascii="Times New Roman" w:eastAsia="Times New Roman" w:hAnsi="Times New Roman"/>
          <w:sz w:val="24"/>
          <w:szCs w:val="24"/>
        </w:rPr>
        <w:t>is largely determined by individuals’ characteristics, variables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AC2033">
        <w:rPr>
          <w:rFonts w:ascii="Times New Roman" w:eastAsia="Times New Roman" w:hAnsi="Times New Roman"/>
          <w:sz w:val="24"/>
          <w:szCs w:val="24"/>
        </w:rPr>
        <w:t>in</w:t>
      </w:r>
      <w:r>
        <w:rPr>
          <w:rFonts w:ascii="Times New Roman" w:eastAsia="Times New Roman" w:hAnsi="Times New Roman"/>
          <w:sz w:val="24"/>
          <w:szCs w:val="24"/>
        </w:rPr>
        <w:t xml:space="preserve"> the professional and institutional dimensions</w:t>
      </w:r>
      <w:r w:rsidR="00AC2033">
        <w:rPr>
          <w:rFonts w:ascii="Times New Roman" w:eastAsia="Times New Roman" w:hAnsi="Times New Roman"/>
          <w:sz w:val="24"/>
          <w:szCs w:val="24"/>
        </w:rPr>
        <w:t xml:space="preserve"> are more malleable and</w:t>
      </w:r>
      <w:r>
        <w:rPr>
          <w:rFonts w:ascii="Times New Roman" w:eastAsia="Times New Roman" w:hAnsi="Times New Roman"/>
          <w:sz w:val="24"/>
          <w:szCs w:val="24"/>
        </w:rPr>
        <w:t xml:space="preserve"> can be influenced by changes in institutional policies and professional community support.  </w:t>
      </w:r>
    </w:p>
    <w:p w:rsidR="00F808F9" w:rsidRPr="00306702" w:rsidRDefault="00F808F9" w:rsidP="00F808F9">
      <w:pPr>
        <w:pStyle w:val="NoSpacing"/>
        <w:ind w:firstLine="720"/>
        <w:rPr>
          <w:rFonts w:ascii="Times New Roman" w:eastAsia="Times New Roman" w:hAnsi="Times New Roman"/>
          <w:sz w:val="24"/>
          <w:szCs w:val="24"/>
        </w:rPr>
      </w:pPr>
    </w:p>
    <w:p w:rsidR="00F808F9" w:rsidRPr="006A6016" w:rsidRDefault="00F808F9" w:rsidP="00F808F9">
      <w:pPr>
        <w:pStyle w:val="NoSpacing"/>
        <w:rPr>
          <w:rFonts w:ascii="Times New Roman" w:eastAsia="Times New Roman" w:hAnsi="Times New Roman"/>
          <w:b/>
          <w:sz w:val="24"/>
          <w:szCs w:val="24"/>
        </w:rPr>
      </w:pPr>
      <w:r w:rsidRPr="006A6016">
        <w:rPr>
          <w:rFonts w:ascii="Times New Roman" w:hAnsi="Times New Roman"/>
          <w:b/>
          <w:sz w:val="24"/>
          <w:szCs w:val="24"/>
        </w:rPr>
        <w:t xml:space="preserve">Purpose and Research Questions </w:t>
      </w:r>
    </w:p>
    <w:p w:rsidR="00F808F9" w:rsidRPr="000F765F" w:rsidRDefault="00F808F9" w:rsidP="00AC2033">
      <w:pPr>
        <w:pStyle w:val="NoSpacing"/>
        <w:ind w:firstLine="720"/>
        <w:rPr>
          <w:rFonts w:ascii="Times New Roman" w:eastAsia="Times New Roman" w:hAnsi="Times New Roman"/>
          <w:sz w:val="24"/>
          <w:szCs w:val="24"/>
        </w:rPr>
      </w:pPr>
      <w:r w:rsidRPr="000F765F">
        <w:rPr>
          <w:rFonts w:ascii="Times New Roman" w:hAnsi="Times New Roman"/>
          <w:sz w:val="24"/>
          <w:szCs w:val="24"/>
        </w:rPr>
        <w:t>The purpose of this research was to expl</w:t>
      </w:r>
      <w:r>
        <w:rPr>
          <w:rFonts w:ascii="Times New Roman" w:hAnsi="Times New Roman"/>
          <w:sz w:val="24"/>
          <w:szCs w:val="24"/>
        </w:rPr>
        <w:t xml:space="preserve">ore the perceived professional and institutional </w:t>
      </w:r>
      <w:r w:rsidRPr="000F765F">
        <w:rPr>
          <w:rFonts w:ascii="Times New Roman" w:hAnsi="Times New Roman"/>
          <w:sz w:val="24"/>
          <w:szCs w:val="24"/>
        </w:rPr>
        <w:t xml:space="preserve">support for PK-12 engagement among faculty and staff in Purdue University’s College of Agriculture.  Two research questions guided this study: </w:t>
      </w:r>
      <w:r w:rsidR="00AC2033">
        <w:rPr>
          <w:rFonts w:ascii="Times New Roman" w:hAnsi="Times New Roman"/>
          <w:sz w:val="24"/>
          <w:szCs w:val="24"/>
        </w:rPr>
        <w:t xml:space="preserve">(1) </w:t>
      </w:r>
      <w:proofErr w:type="gramStart"/>
      <w:r w:rsidRPr="000F765F">
        <w:rPr>
          <w:rFonts w:ascii="Times New Roman" w:eastAsia="Times New Roman" w:hAnsi="Times New Roman"/>
          <w:sz w:val="24"/>
          <w:szCs w:val="24"/>
        </w:rPr>
        <w:t>To</w:t>
      </w:r>
      <w:proofErr w:type="gramEnd"/>
      <w:r w:rsidRPr="000F765F">
        <w:rPr>
          <w:rFonts w:ascii="Times New Roman" w:eastAsia="Times New Roman" w:hAnsi="Times New Roman"/>
          <w:sz w:val="24"/>
          <w:szCs w:val="24"/>
        </w:rPr>
        <w:t xml:space="preserve"> what extent did faculty and staff in </w:t>
      </w:r>
      <w:r w:rsidR="00AC2033">
        <w:rPr>
          <w:rFonts w:ascii="Times New Roman" w:eastAsia="Times New Roman" w:hAnsi="Times New Roman"/>
          <w:sz w:val="24"/>
          <w:szCs w:val="24"/>
        </w:rPr>
        <w:t xml:space="preserve">the </w:t>
      </w:r>
      <w:r w:rsidRPr="000F765F">
        <w:rPr>
          <w:rFonts w:ascii="Times New Roman" w:eastAsia="Times New Roman" w:hAnsi="Times New Roman"/>
          <w:sz w:val="24"/>
          <w:szCs w:val="24"/>
        </w:rPr>
        <w:t>University’s College of Agriculture participate in PK-12 Engagement?</w:t>
      </w:r>
      <w:r w:rsidR="00AC2033">
        <w:rPr>
          <w:rFonts w:ascii="Times New Roman" w:eastAsia="Times New Roman" w:hAnsi="Times New Roman"/>
          <w:sz w:val="24"/>
          <w:szCs w:val="24"/>
        </w:rPr>
        <w:t xml:space="preserve"> (2) To what extent did</w:t>
      </w:r>
      <w:r w:rsidRPr="000F765F">
        <w:rPr>
          <w:rFonts w:ascii="Times New Roman" w:eastAsia="Times New Roman" w:hAnsi="Times New Roman"/>
          <w:sz w:val="24"/>
          <w:szCs w:val="24"/>
        </w:rPr>
        <w:t xml:space="preserve"> faculty and staff in </w:t>
      </w:r>
      <w:r w:rsidR="00AC2033">
        <w:rPr>
          <w:rFonts w:ascii="Times New Roman" w:eastAsia="Times New Roman" w:hAnsi="Times New Roman"/>
          <w:sz w:val="24"/>
          <w:szCs w:val="24"/>
        </w:rPr>
        <w:t xml:space="preserve">the </w:t>
      </w:r>
      <w:r w:rsidRPr="000F765F">
        <w:rPr>
          <w:rFonts w:ascii="Times New Roman" w:eastAsia="Times New Roman" w:hAnsi="Times New Roman"/>
          <w:sz w:val="24"/>
          <w:szCs w:val="24"/>
        </w:rPr>
        <w:t>University’s College of Agriculture report</w:t>
      </w:r>
      <w:r>
        <w:rPr>
          <w:rFonts w:ascii="Times New Roman" w:eastAsia="Times New Roman" w:hAnsi="Times New Roman"/>
          <w:sz w:val="24"/>
          <w:szCs w:val="24"/>
        </w:rPr>
        <w:t xml:space="preserve"> professional and</w:t>
      </w:r>
      <w:r w:rsidRPr="000F765F">
        <w:rPr>
          <w:rFonts w:ascii="Times New Roman" w:eastAsia="Times New Roman" w:hAnsi="Times New Roman"/>
          <w:sz w:val="24"/>
          <w:szCs w:val="24"/>
        </w:rPr>
        <w:t xml:space="preserve"> institutional support for PK-12 Engagement?</w:t>
      </w:r>
    </w:p>
    <w:p w:rsidR="00F808F9" w:rsidRPr="008A51E8" w:rsidRDefault="00F808F9" w:rsidP="00F808F9">
      <w:pPr>
        <w:pStyle w:val="NoSpacing"/>
        <w:rPr>
          <w:rFonts w:ascii="Times New Roman" w:eastAsia="Times New Roman" w:hAnsi="Times New Roman"/>
          <w:sz w:val="24"/>
          <w:szCs w:val="24"/>
        </w:rPr>
      </w:pPr>
    </w:p>
    <w:p w:rsidR="00F808F9" w:rsidRPr="00A41AB9" w:rsidRDefault="00F808F9" w:rsidP="00F808F9">
      <w:pPr>
        <w:pStyle w:val="NoSpacing"/>
        <w:rPr>
          <w:rFonts w:ascii="Times New Roman" w:hAnsi="Times New Roman"/>
          <w:b/>
          <w:sz w:val="24"/>
          <w:szCs w:val="24"/>
        </w:rPr>
      </w:pPr>
      <w:r w:rsidRPr="00A41AB9">
        <w:rPr>
          <w:rFonts w:ascii="Times New Roman" w:hAnsi="Times New Roman"/>
          <w:b/>
          <w:sz w:val="24"/>
          <w:szCs w:val="24"/>
        </w:rPr>
        <w:t>Methods</w:t>
      </w:r>
    </w:p>
    <w:p w:rsidR="00F808F9" w:rsidRPr="00A41AB9" w:rsidRDefault="00F808F9" w:rsidP="00F808F9">
      <w:pPr>
        <w:pStyle w:val="NoSpacing"/>
        <w:ind w:firstLine="720"/>
        <w:rPr>
          <w:rFonts w:ascii="Times New Roman" w:eastAsia="Times New Roman" w:hAnsi="Times New Roman"/>
          <w:sz w:val="24"/>
          <w:szCs w:val="24"/>
        </w:rPr>
      </w:pPr>
      <w:r w:rsidRPr="00A41AB9">
        <w:rPr>
          <w:rFonts w:ascii="Times New Roman" w:eastAsia="Times New Roman" w:hAnsi="Times New Roman"/>
          <w:sz w:val="24"/>
          <w:szCs w:val="24"/>
        </w:rPr>
        <w:t>In the spring of 2013, an estimated 350 faculty and staff in Purdue University’s College of Agriculture were asked via email to participate in a voluntary “College of Agriculture Faculty and Staff PK-12 Enga</w:t>
      </w:r>
      <w:r>
        <w:rPr>
          <w:rFonts w:ascii="Times New Roman" w:eastAsia="Times New Roman" w:hAnsi="Times New Roman"/>
          <w:sz w:val="24"/>
          <w:szCs w:val="24"/>
        </w:rPr>
        <w:t>gement Survey.”  Participants completed an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 online qu</w:t>
      </w:r>
      <w:r w:rsidR="00AC2033">
        <w:rPr>
          <w:rFonts w:ascii="Times New Roman" w:eastAsia="Times New Roman" w:hAnsi="Times New Roman"/>
          <w:sz w:val="24"/>
          <w:szCs w:val="24"/>
        </w:rPr>
        <w:t xml:space="preserve">estionnaire consisting of 40 </w:t>
      </w:r>
      <w:r w:rsidRPr="00A41AB9">
        <w:rPr>
          <w:rFonts w:ascii="Times New Roman" w:eastAsia="Times New Roman" w:hAnsi="Times New Roman"/>
          <w:sz w:val="24"/>
          <w:szCs w:val="24"/>
        </w:rPr>
        <w:t>items</w:t>
      </w:r>
      <w:r>
        <w:rPr>
          <w:rFonts w:ascii="Times New Roman" w:eastAsia="Times New Roman" w:hAnsi="Times New Roman"/>
          <w:sz w:val="24"/>
          <w:szCs w:val="24"/>
        </w:rPr>
        <w:t>, adapted from Wade and Demb’s faculty engagement instrument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.  Ninety-four faculty and </w:t>
      </w:r>
      <w:r w:rsidR="00AC2033">
        <w:rPr>
          <w:rFonts w:ascii="Times New Roman" w:eastAsia="Times New Roman" w:hAnsi="Times New Roman"/>
          <w:sz w:val="24"/>
          <w:szCs w:val="24"/>
        </w:rPr>
        <w:t xml:space="preserve">staff participated.  The instrument was reviewed by a panel of experts for face and content validity. </w:t>
      </w:r>
      <w:r w:rsidR="005358BF">
        <w:rPr>
          <w:rFonts w:ascii="Times New Roman" w:eastAsia="Times New Roman" w:hAnsi="Times New Roman"/>
          <w:sz w:val="24"/>
          <w:szCs w:val="24"/>
        </w:rPr>
        <w:t>Data were analyzed using descriptive statistics (i.e., SPSS).</w:t>
      </w:r>
    </w:p>
    <w:p w:rsidR="00F808F9" w:rsidRPr="00A41AB9" w:rsidRDefault="00F808F9" w:rsidP="00F808F9">
      <w:pPr>
        <w:pStyle w:val="NoSpacing"/>
        <w:rPr>
          <w:rFonts w:ascii="Times New Roman" w:eastAsia="Times New Roman" w:hAnsi="Times New Roman"/>
          <w:sz w:val="24"/>
          <w:szCs w:val="24"/>
        </w:rPr>
      </w:pPr>
    </w:p>
    <w:p w:rsidR="00F808F9" w:rsidRDefault="00F808F9" w:rsidP="00F808F9">
      <w:pPr>
        <w:pStyle w:val="NoSpacing"/>
        <w:rPr>
          <w:rFonts w:ascii="Times New Roman" w:hAnsi="Times New Roman"/>
          <w:b/>
          <w:sz w:val="24"/>
          <w:szCs w:val="24"/>
        </w:rPr>
      </w:pPr>
      <w:r w:rsidRPr="00A41AB9">
        <w:rPr>
          <w:rFonts w:ascii="Times New Roman" w:hAnsi="Times New Roman"/>
          <w:b/>
          <w:sz w:val="24"/>
          <w:szCs w:val="24"/>
        </w:rPr>
        <w:t>Results</w:t>
      </w:r>
    </w:p>
    <w:p w:rsidR="00F808F9" w:rsidRPr="00F808F9" w:rsidRDefault="00F808F9" w:rsidP="00F808F9">
      <w:pPr>
        <w:pStyle w:val="NoSpacing"/>
        <w:ind w:firstLine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Participation in PK-12 Engagement: </w:t>
      </w:r>
      <w:r w:rsidR="005358BF">
        <w:rPr>
          <w:rFonts w:ascii="Times New Roman" w:hAnsi="Times New Roman"/>
          <w:sz w:val="24"/>
          <w:szCs w:val="24"/>
        </w:rPr>
        <w:t>F</w:t>
      </w:r>
      <w:r w:rsidRPr="00A41AB9">
        <w:rPr>
          <w:rFonts w:ascii="Times New Roman" w:hAnsi="Times New Roman"/>
          <w:sz w:val="24"/>
          <w:szCs w:val="24"/>
        </w:rPr>
        <w:t xml:space="preserve">aculty and staff used their expertise to serve the needs of PK-12 audiences 0 times (3%), 1-4 times (40.3%), 5-10 times (17.9%), and greater than </w:t>
      </w:r>
      <w:r w:rsidRPr="00A41AB9">
        <w:rPr>
          <w:rFonts w:ascii="Times New Roman" w:hAnsi="Times New Roman"/>
          <w:sz w:val="24"/>
          <w:szCs w:val="24"/>
        </w:rPr>
        <w:lastRenderedPageBreak/>
        <w:t>10 times (38.8%) (n = 67).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  The three most common ways </w:t>
      </w:r>
      <w:r>
        <w:rPr>
          <w:rFonts w:ascii="Times New Roman" w:eastAsia="Times New Roman" w:hAnsi="Times New Roman"/>
          <w:sz w:val="24"/>
          <w:szCs w:val="24"/>
        </w:rPr>
        <w:t xml:space="preserve">in which 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participants interacted with PK-12 audiences were pre-college on-campus events (53%), Spring Fest (48%), and other events sponsored by the University or College on campus (46%).  The three most commonly reported collaborators for PK-12 </w:t>
      </w:r>
      <w:r w:rsidR="005358BF">
        <w:rPr>
          <w:rFonts w:ascii="Times New Roman" w:eastAsia="Times New Roman" w:hAnsi="Times New Roman"/>
          <w:sz w:val="24"/>
          <w:szCs w:val="24"/>
        </w:rPr>
        <w:t>e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ngagement </w:t>
      </w:r>
      <w:r w:rsidR="005358BF">
        <w:rPr>
          <w:rFonts w:ascii="Times New Roman" w:eastAsia="Times New Roman" w:hAnsi="Times New Roman"/>
          <w:sz w:val="24"/>
          <w:szCs w:val="24"/>
        </w:rPr>
        <w:t>a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ctivities were colleagues within the department/unit (63%), colleagues within other departments/units within the College of Agriculture (44%), and colleagues at other universities (29%).  Participants reported sharing PK-12 </w:t>
      </w:r>
      <w:r w:rsidR="005358BF">
        <w:rPr>
          <w:rFonts w:ascii="Times New Roman" w:eastAsia="Times New Roman" w:hAnsi="Times New Roman"/>
          <w:sz w:val="24"/>
          <w:szCs w:val="24"/>
        </w:rPr>
        <w:t>e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ngagement activities in academic settings by giving a conference presentation (25%), a poster (15%), publishing a paper (11%), and 43% reported not sharing their PK-12 Engagement activities in an academic setting.  As a project director or co-project director, 15% reported securing or attempting to secure a grant that includes PK-12 </w:t>
      </w:r>
      <w:r w:rsidR="005358BF">
        <w:rPr>
          <w:rFonts w:ascii="Times New Roman" w:eastAsia="Times New Roman" w:hAnsi="Times New Roman"/>
          <w:sz w:val="24"/>
          <w:szCs w:val="24"/>
        </w:rPr>
        <w:t>e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ngagement.  </w:t>
      </w:r>
    </w:p>
    <w:p w:rsidR="00F808F9" w:rsidRPr="00A41AB9" w:rsidRDefault="00F808F9" w:rsidP="00F808F9">
      <w:pPr>
        <w:pStyle w:val="NoSpacing"/>
        <w:rPr>
          <w:rFonts w:ascii="Times New Roman" w:eastAsia="Times New Roman" w:hAnsi="Times New Roman"/>
          <w:sz w:val="24"/>
          <w:szCs w:val="24"/>
        </w:rPr>
      </w:pPr>
    </w:p>
    <w:p w:rsidR="00F808F9" w:rsidRPr="00A41AB9" w:rsidRDefault="00F808F9" w:rsidP="00F808F9">
      <w:pPr>
        <w:pStyle w:val="NoSpacing"/>
        <w:ind w:firstLine="720"/>
        <w:rPr>
          <w:rFonts w:ascii="Times New Roman" w:hAnsi="Times New Roman"/>
          <w:sz w:val="24"/>
          <w:szCs w:val="24"/>
        </w:rPr>
      </w:pPr>
      <w:r w:rsidRPr="000F765F">
        <w:rPr>
          <w:rFonts w:ascii="Times New Roman" w:eastAsia="Times New Roman" w:hAnsi="Times New Roman"/>
          <w:b/>
          <w:sz w:val="24"/>
          <w:szCs w:val="24"/>
        </w:rPr>
        <w:t xml:space="preserve">Support for PK-12 </w:t>
      </w:r>
      <w:r w:rsidR="005358BF" w:rsidRPr="000F765F">
        <w:rPr>
          <w:rFonts w:ascii="Times New Roman" w:eastAsia="Times New Roman" w:hAnsi="Times New Roman"/>
          <w:b/>
          <w:sz w:val="24"/>
          <w:szCs w:val="24"/>
        </w:rPr>
        <w:t>Engagement</w:t>
      </w:r>
      <w:r w:rsidRPr="000F765F">
        <w:rPr>
          <w:rFonts w:ascii="Times New Roman" w:eastAsia="Times New Roman" w:hAnsi="Times New Roman"/>
          <w:b/>
          <w:sz w:val="24"/>
          <w:szCs w:val="24"/>
        </w:rPr>
        <w:t>: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Pa</w:t>
      </w:r>
      <w:r w:rsidR="005358BF">
        <w:rPr>
          <w:rFonts w:ascii="Times New Roman" w:eastAsia="Times New Roman" w:hAnsi="Times New Roman"/>
          <w:sz w:val="24"/>
          <w:szCs w:val="24"/>
        </w:rPr>
        <w:t>rticipants agreed with two types of</w:t>
      </w:r>
      <w:r>
        <w:rPr>
          <w:rFonts w:ascii="Times New Roman" w:eastAsia="Times New Roman" w:hAnsi="Times New Roman"/>
          <w:sz w:val="24"/>
          <w:szCs w:val="24"/>
        </w:rPr>
        <w:t xml:space="preserve"> professional support for PK-12 </w:t>
      </w:r>
      <w:r w:rsidR="005358BF">
        <w:rPr>
          <w:rFonts w:ascii="Times New Roman" w:eastAsia="Times New Roman" w:hAnsi="Times New Roman"/>
          <w:sz w:val="24"/>
          <w:szCs w:val="24"/>
        </w:rPr>
        <w:t>e</w:t>
      </w:r>
      <w:r>
        <w:rPr>
          <w:rFonts w:ascii="Times New Roman" w:eastAsia="Times New Roman" w:hAnsi="Times New Roman"/>
          <w:sz w:val="24"/>
          <w:szCs w:val="24"/>
        </w:rPr>
        <w:t xml:space="preserve">ngagement: </w:t>
      </w:r>
      <w:r w:rsidR="005358BF">
        <w:rPr>
          <w:rFonts w:ascii="Times New Roman" w:eastAsia="Times New Roman" w:hAnsi="Times New Roman"/>
          <w:sz w:val="24"/>
          <w:szCs w:val="24"/>
        </w:rPr>
        <w:t xml:space="preserve">(1) </w:t>
      </w:r>
      <w:r>
        <w:rPr>
          <w:rFonts w:ascii="Times New Roman" w:eastAsia="Times New Roman" w:hAnsi="Times New Roman"/>
          <w:sz w:val="24"/>
          <w:szCs w:val="24"/>
        </w:rPr>
        <w:t>Importance within the discipline</w:t>
      </w:r>
      <w:r w:rsidR="005358BF">
        <w:rPr>
          <w:rFonts w:ascii="Times New Roman" w:eastAsia="Times New Roman" w:hAnsi="Times New Roman"/>
          <w:sz w:val="24"/>
          <w:szCs w:val="24"/>
        </w:rPr>
        <w:t>, and (2)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5358BF">
        <w:rPr>
          <w:rFonts w:ascii="Times New Roman" w:eastAsia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>mpo</w:t>
      </w:r>
      <w:r w:rsidR="005358BF">
        <w:rPr>
          <w:rFonts w:ascii="Times New Roman" w:eastAsia="Times New Roman" w:hAnsi="Times New Roman"/>
          <w:sz w:val="24"/>
          <w:szCs w:val="24"/>
        </w:rPr>
        <w:t>rtance within the department.</w:t>
      </w:r>
      <w:r>
        <w:rPr>
          <w:rFonts w:ascii="Times New Roman" w:eastAsia="Times New Roman" w:hAnsi="Times New Roman"/>
          <w:sz w:val="24"/>
          <w:szCs w:val="24"/>
        </w:rPr>
        <w:t xml:space="preserve"> Participants </w:t>
      </w:r>
      <w:r w:rsidR="005358BF">
        <w:rPr>
          <w:rFonts w:ascii="Times New Roman" w:eastAsia="Times New Roman" w:hAnsi="Times New Roman"/>
          <w:sz w:val="24"/>
          <w:szCs w:val="24"/>
        </w:rPr>
        <w:t>did not agree with “i</w:t>
      </w:r>
      <w:r>
        <w:rPr>
          <w:rFonts w:ascii="Times New Roman" w:eastAsia="Times New Roman" w:hAnsi="Times New Roman"/>
          <w:sz w:val="24"/>
          <w:szCs w:val="24"/>
        </w:rPr>
        <w:t>mportance within regional and nat</w:t>
      </w:r>
      <w:r w:rsidR="005358BF">
        <w:rPr>
          <w:rFonts w:ascii="Times New Roman" w:eastAsia="Times New Roman" w:hAnsi="Times New Roman"/>
          <w:sz w:val="24"/>
          <w:szCs w:val="24"/>
        </w:rPr>
        <w:t xml:space="preserve">ional professional associations,” regarding support for PK-12 engagement.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Participants </w:t>
      </w:r>
      <w:r w:rsidRPr="00A41AB9">
        <w:rPr>
          <w:rFonts w:ascii="Times New Roman" w:eastAsia="Times New Roman" w:hAnsi="Times New Roman"/>
          <w:bCs/>
          <w:sz w:val="24"/>
          <w:szCs w:val="24"/>
        </w:rPr>
        <w:t>agreed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 with three </w:t>
      </w:r>
      <w:r w:rsidR="005358BF">
        <w:rPr>
          <w:rFonts w:ascii="Times New Roman" w:eastAsia="Times New Roman" w:hAnsi="Times New Roman"/>
          <w:sz w:val="24"/>
          <w:szCs w:val="24"/>
        </w:rPr>
        <w:t xml:space="preserve">types of </w:t>
      </w:r>
      <w:r>
        <w:rPr>
          <w:rFonts w:ascii="Times New Roman" w:eastAsia="Times New Roman" w:hAnsi="Times New Roman"/>
          <w:sz w:val="24"/>
          <w:szCs w:val="24"/>
        </w:rPr>
        <w:t xml:space="preserve">institutional 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support for PK-12 </w:t>
      </w:r>
      <w:r w:rsidR="005358BF">
        <w:rPr>
          <w:rFonts w:ascii="Times New Roman" w:eastAsia="Times New Roman" w:hAnsi="Times New Roman"/>
          <w:sz w:val="24"/>
          <w:szCs w:val="24"/>
        </w:rPr>
        <w:t>e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ngagement: </w:t>
      </w:r>
      <w:r w:rsidR="005358BF">
        <w:rPr>
          <w:rFonts w:ascii="Times New Roman" w:eastAsia="Times New Roman" w:hAnsi="Times New Roman"/>
          <w:sz w:val="24"/>
          <w:szCs w:val="24"/>
        </w:rPr>
        <w:t>(1)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 PK-12 engagement as a part of the </w:t>
      </w:r>
      <w:r w:rsidRPr="00A41AB9">
        <w:rPr>
          <w:rFonts w:ascii="Times New Roman" w:eastAsia="Times New Roman" w:hAnsi="Times New Roman"/>
          <w:bCs/>
          <w:sz w:val="24"/>
          <w:szCs w:val="24"/>
        </w:rPr>
        <w:t>mission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 of the University; </w:t>
      </w:r>
      <w:r w:rsidR="005358BF">
        <w:rPr>
          <w:rFonts w:ascii="Times New Roman" w:eastAsia="Times New Roman" w:hAnsi="Times New Roman"/>
          <w:sz w:val="24"/>
          <w:szCs w:val="24"/>
        </w:rPr>
        <w:t>(2) u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niversity </w:t>
      </w:r>
      <w:r w:rsidRPr="00A41AB9">
        <w:rPr>
          <w:rFonts w:ascii="Times New Roman" w:eastAsia="Times New Roman" w:hAnsi="Times New Roman"/>
          <w:bCs/>
          <w:sz w:val="24"/>
          <w:szCs w:val="24"/>
        </w:rPr>
        <w:t>leadership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 support for PK-12 </w:t>
      </w:r>
      <w:r w:rsidR="005358BF">
        <w:rPr>
          <w:rFonts w:ascii="Times New Roman" w:eastAsia="Times New Roman" w:hAnsi="Times New Roman"/>
          <w:sz w:val="24"/>
          <w:szCs w:val="24"/>
        </w:rPr>
        <w:t>e</w:t>
      </w:r>
      <w:r w:rsidRPr="00A41AB9">
        <w:rPr>
          <w:rFonts w:ascii="Times New Roman" w:eastAsia="Times New Roman" w:hAnsi="Times New Roman"/>
          <w:sz w:val="24"/>
          <w:szCs w:val="24"/>
        </w:rPr>
        <w:t>ngagement efforts;</w:t>
      </w:r>
      <w:r w:rsidR="005358BF">
        <w:rPr>
          <w:rFonts w:ascii="Times New Roman" w:eastAsia="Times New Roman" w:hAnsi="Times New Roman"/>
          <w:sz w:val="24"/>
          <w:szCs w:val="24"/>
        </w:rPr>
        <w:t xml:space="preserve"> and,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 </w:t>
      </w:r>
      <w:r w:rsidR="005358BF">
        <w:rPr>
          <w:rFonts w:ascii="Times New Roman" w:eastAsia="Times New Roman" w:hAnsi="Times New Roman"/>
          <w:sz w:val="24"/>
          <w:szCs w:val="24"/>
        </w:rPr>
        <w:t>(3) i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nterest among the </w:t>
      </w:r>
      <w:r w:rsidRPr="00A41AB9">
        <w:rPr>
          <w:rFonts w:ascii="Times New Roman" w:eastAsia="Times New Roman" w:hAnsi="Times New Roman"/>
          <w:bCs/>
          <w:sz w:val="24"/>
          <w:szCs w:val="24"/>
        </w:rPr>
        <w:t>community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 to develop colla</w:t>
      </w:r>
      <w:r w:rsidR="005358BF">
        <w:rPr>
          <w:rFonts w:ascii="Times New Roman" w:eastAsia="Times New Roman" w:hAnsi="Times New Roman"/>
          <w:sz w:val="24"/>
          <w:szCs w:val="24"/>
        </w:rPr>
        <w:t xml:space="preserve">borations with the University. 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Participants </w:t>
      </w:r>
      <w:r w:rsidRPr="00A41AB9">
        <w:rPr>
          <w:rFonts w:ascii="Times New Roman" w:eastAsia="Times New Roman" w:hAnsi="Times New Roman"/>
          <w:bCs/>
          <w:sz w:val="24"/>
          <w:szCs w:val="24"/>
        </w:rPr>
        <w:t>did not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 agree with five </w:t>
      </w:r>
      <w:r w:rsidR="005358BF">
        <w:rPr>
          <w:rFonts w:ascii="Times New Roman" w:eastAsia="Times New Roman" w:hAnsi="Times New Roman"/>
          <w:sz w:val="24"/>
          <w:szCs w:val="24"/>
        </w:rPr>
        <w:t>types of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institutional 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support for PK-12 </w:t>
      </w:r>
      <w:r w:rsidR="005358BF">
        <w:rPr>
          <w:rFonts w:ascii="Times New Roman" w:eastAsia="Times New Roman" w:hAnsi="Times New Roman"/>
          <w:sz w:val="24"/>
          <w:szCs w:val="24"/>
        </w:rPr>
        <w:t>e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ngagement: </w:t>
      </w:r>
      <w:r w:rsidR="005358BF">
        <w:rPr>
          <w:rFonts w:ascii="Times New Roman" w:eastAsia="Times New Roman" w:hAnsi="Times New Roman"/>
          <w:sz w:val="24"/>
          <w:szCs w:val="24"/>
        </w:rPr>
        <w:t>(1)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 PK-12 </w:t>
      </w:r>
      <w:r w:rsidR="005358BF">
        <w:rPr>
          <w:rFonts w:ascii="Times New Roman" w:eastAsia="Times New Roman" w:hAnsi="Times New Roman"/>
          <w:sz w:val="24"/>
          <w:szCs w:val="24"/>
        </w:rPr>
        <w:t>e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ngagement as a </w:t>
      </w:r>
      <w:r w:rsidR="005358BF">
        <w:rPr>
          <w:rFonts w:ascii="Times New Roman" w:eastAsia="Times New Roman" w:hAnsi="Times New Roman"/>
          <w:sz w:val="24"/>
          <w:szCs w:val="24"/>
        </w:rPr>
        <w:t>u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niversity </w:t>
      </w:r>
      <w:r w:rsidRPr="00A41AB9">
        <w:rPr>
          <w:rFonts w:ascii="Times New Roman" w:eastAsia="Times New Roman" w:hAnsi="Times New Roman"/>
          <w:bCs/>
          <w:sz w:val="24"/>
          <w:szCs w:val="24"/>
        </w:rPr>
        <w:t>priority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; </w:t>
      </w:r>
      <w:r w:rsidR="005358BF">
        <w:rPr>
          <w:rFonts w:ascii="Times New Roman" w:eastAsia="Times New Roman" w:hAnsi="Times New Roman"/>
          <w:sz w:val="24"/>
          <w:szCs w:val="24"/>
        </w:rPr>
        <w:t xml:space="preserve">(2) </w:t>
      </w:r>
      <w:r w:rsidR="005358BF">
        <w:rPr>
          <w:rFonts w:ascii="Times New Roman" w:eastAsia="Times New Roman" w:hAnsi="Times New Roman"/>
          <w:bCs/>
          <w:sz w:val="24"/>
          <w:szCs w:val="24"/>
        </w:rPr>
        <w:t>f</w:t>
      </w:r>
      <w:r w:rsidRPr="00A41AB9">
        <w:rPr>
          <w:rFonts w:ascii="Times New Roman" w:eastAsia="Times New Roman" w:hAnsi="Times New Roman"/>
          <w:bCs/>
          <w:sz w:val="24"/>
          <w:szCs w:val="24"/>
        </w:rPr>
        <w:t>inancial support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 for PK-12 </w:t>
      </w:r>
      <w:r w:rsidR="005358BF">
        <w:rPr>
          <w:rFonts w:ascii="Times New Roman" w:eastAsia="Times New Roman" w:hAnsi="Times New Roman"/>
          <w:sz w:val="24"/>
          <w:szCs w:val="24"/>
        </w:rPr>
        <w:t>e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ngagement; </w:t>
      </w:r>
      <w:r w:rsidR="005358BF">
        <w:rPr>
          <w:rFonts w:ascii="Times New Roman" w:eastAsia="Times New Roman" w:hAnsi="Times New Roman"/>
          <w:sz w:val="24"/>
          <w:szCs w:val="24"/>
        </w:rPr>
        <w:t xml:space="preserve">(3) </w:t>
      </w:r>
      <w:r w:rsidR="005358BF">
        <w:rPr>
          <w:rFonts w:ascii="Times New Roman" w:eastAsia="Times New Roman" w:hAnsi="Times New Roman"/>
          <w:bCs/>
          <w:sz w:val="24"/>
          <w:szCs w:val="24"/>
        </w:rPr>
        <w:t>p</w:t>
      </w:r>
      <w:r w:rsidRPr="00A41AB9">
        <w:rPr>
          <w:rFonts w:ascii="Times New Roman" w:eastAsia="Times New Roman" w:hAnsi="Times New Roman"/>
          <w:bCs/>
          <w:sz w:val="24"/>
          <w:szCs w:val="24"/>
        </w:rPr>
        <w:t xml:space="preserve">romotion and tenure 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encouragement of PK-12 </w:t>
      </w:r>
      <w:r w:rsidR="005358BF">
        <w:rPr>
          <w:rFonts w:ascii="Times New Roman" w:eastAsia="Times New Roman" w:hAnsi="Times New Roman"/>
          <w:sz w:val="24"/>
          <w:szCs w:val="24"/>
        </w:rPr>
        <w:t>e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ngagement; </w:t>
      </w:r>
      <w:r w:rsidR="005358BF">
        <w:rPr>
          <w:rFonts w:ascii="Times New Roman" w:eastAsia="Times New Roman" w:hAnsi="Times New Roman"/>
          <w:sz w:val="24"/>
          <w:szCs w:val="24"/>
        </w:rPr>
        <w:t xml:space="preserve">(4) </w:t>
      </w:r>
      <w:r w:rsidR="005358BF">
        <w:rPr>
          <w:rFonts w:ascii="Times New Roman" w:eastAsia="Times New Roman" w:hAnsi="Times New Roman"/>
          <w:bCs/>
          <w:sz w:val="24"/>
          <w:szCs w:val="24"/>
        </w:rPr>
        <w:t>i</w:t>
      </w:r>
      <w:r w:rsidRPr="00A41AB9">
        <w:rPr>
          <w:rFonts w:ascii="Times New Roman" w:eastAsia="Times New Roman" w:hAnsi="Times New Roman"/>
          <w:bCs/>
          <w:sz w:val="24"/>
          <w:szCs w:val="24"/>
        </w:rPr>
        <w:t>nfrastructure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 support for PK-12 Engagement; </w:t>
      </w:r>
      <w:r w:rsidR="005358BF">
        <w:rPr>
          <w:rFonts w:ascii="Times New Roman" w:eastAsia="Times New Roman" w:hAnsi="Times New Roman"/>
          <w:sz w:val="24"/>
          <w:szCs w:val="24"/>
        </w:rPr>
        <w:t xml:space="preserve">and, (5) </w:t>
      </w:r>
      <w:r w:rsidR="005358BF">
        <w:rPr>
          <w:rFonts w:ascii="Times New Roman" w:eastAsia="Times New Roman" w:hAnsi="Times New Roman"/>
          <w:bCs/>
          <w:sz w:val="24"/>
          <w:szCs w:val="24"/>
        </w:rPr>
        <w:t>f</w:t>
      </w:r>
      <w:r w:rsidRPr="00A41AB9">
        <w:rPr>
          <w:rFonts w:ascii="Times New Roman" w:eastAsia="Times New Roman" w:hAnsi="Times New Roman"/>
          <w:bCs/>
          <w:sz w:val="24"/>
          <w:szCs w:val="24"/>
        </w:rPr>
        <w:t xml:space="preserve">aculty commitment </w:t>
      </w:r>
      <w:r w:rsidRPr="00A41AB9">
        <w:rPr>
          <w:rFonts w:ascii="Times New Roman" w:eastAsia="Times New Roman" w:hAnsi="Times New Roman"/>
          <w:sz w:val="24"/>
          <w:szCs w:val="24"/>
        </w:rPr>
        <w:t xml:space="preserve">to PK-12 Engagement. </w:t>
      </w:r>
    </w:p>
    <w:p w:rsidR="00F808F9" w:rsidRDefault="00F808F9" w:rsidP="00F808F9">
      <w:pPr>
        <w:pStyle w:val="NoSpacing"/>
        <w:rPr>
          <w:rFonts w:ascii="Times New Roman" w:eastAsia="Times New Roman" w:hAnsi="Times New Roman"/>
          <w:sz w:val="24"/>
          <w:szCs w:val="24"/>
        </w:rPr>
      </w:pPr>
    </w:p>
    <w:p w:rsidR="00F808F9" w:rsidRPr="00551131" w:rsidRDefault="00F808F9" w:rsidP="00F808F9">
      <w:pPr>
        <w:pStyle w:val="NoSpacing"/>
        <w:rPr>
          <w:rFonts w:ascii="Times New Roman" w:eastAsia="Times New Roman" w:hAnsi="Times New Roman"/>
          <w:b/>
          <w:sz w:val="24"/>
          <w:szCs w:val="24"/>
        </w:rPr>
      </w:pPr>
      <w:r w:rsidRPr="00E03574">
        <w:rPr>
          <w:rFonts w:ascii="Times New Roman" w:eastAsia="Times New Roman" w:hAnsi="Times New Roman"/>
          <w:b/>
          <w:sz w:val="24"/>
          <w:szCs w:val="24"/>
        </w:rPr>
        <w:t>Conclusions &amp; Implications</w:t>
      </w:r>
      <w:r>
        <w:rPr>
          <w:rFonts w:ascii="Times New Roman" w:eastAsia="Times New Roman" w:hAnsi="Times New Roman"/>
          <w:sz w:val="24"/>
          <w:szCs w:val="24"/>
        </w:rPr>
        <w:tab/>
      </w:r>
    </w:p>
    <w:p w:rsidR="00F808F9" w:rsidRPr="00A41AB9" w:rsidRDefault="008425FC" w:rsidP="008425FC">
      <w:pPr>
        <w:pStyle w:val="NoSpacing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Faculty and staff were mostly likely to engage with PK-12 audiences in pre-college events on campus. They agreed there were five factors of support and six factors they did not see support regarding PK-12 engagement. </w:t>
      </w:r>
      <w:r>
        <w:rPr>
          <w:rFonts w:ascii="Times New Roman" w:eastAsia="Times New Roman" w:hAnsi="Times New Roman"/>
          <w:sz w:val="24"/>
          <w:szCs w:val="24"/>
          <w:lang w:val="en"/>
        </w:rPr>
        <w:t>Recommendations for intuitions include increasing</w:t>
      </w:r>
      <w:r w:rsidRPr="00A41AB9">
        <w:rPr>
          <w:rFonts w:ascii="Times New Roman" w:eastAsia="Times New Roman" w:hAnsi="Times New Roman"/>
          <w:sz w:val="24"/>
          <w:szCs w:val="24"/>
          <w:lang w:val="en"/>
        </w:rPr>
        <w:t xml:space="preserve"> recognition of PK-12 </w:t>
      </w:r>
      <w:r>
        <w:rPr>
          <w:rFonts w:ascii="Times New Roman" w:eastAsia="Times New Roman" w:hAnsi="Times New Roman"/>
          <w:sz w:val="24"/>
          <w:szCs w:val="24"/>
          <w:lang w:val="en"/>
        </w:rPr>
        <w:t>e</w:t>
      </w:r>
      <w:r w:rsidRPr="00A41AB9">
        <w:rPr>
          <w:rFonts w:ascii="Times New Roman" w:eastAsia="Times New Roman" w:hAnsi="Times New Roman"/>
          <w:sz w:val="24"/>
          <w:szCs w:val="24"/>
          <w:lang w:val="en"/>
        </w:rPr>
        <w:t>ngagement to support promotion and tenure</w:t>
      </w:r>
      <w:r>
        <w:rPr>
          <w:rFonts w:ascii="Times New Roman" w:eastAsia="Times New Roman" w:hAnsi="Times New Roman"/>
          <w:sz w:val="24"/>
          <w:szCs w:val="24"/>
          <w:lang w:val="en"/>
        </w:rPr>
        <w:t xml:space="preserve"> may increase engagement.  Prior research has shown</w:t>
      </w:r>
      <w:r w:rsidRPr="00A41AB9">
        <w:rPr>
          <w:rFonts w:ascii="Times New Roman" w:eastAsia="Times New Roman" w:hAnsi="Times New Roman"/>
          <w:sz w:val="24"/>
          <w:szCs w:val="24"/>
          <w:lang w:val="en"/>
        </w:rPr>
        <w:t xml:space="preserve"> that time spent on scholarly service-learning activities is reduced by tenure schedules </w:t>
      </w:r>
      <w:r w:rsidRPr="00551131">
        <w:rPr>
          <w:rFonts w:ascii="Times New Roman" w:eastAsia="Times New Roman" w:hAnsi="Times New Roman"/>
          <w:noProof/>
          <w:sz w:val="24"/>
          <w:szCs w:val="24"/>
        </w:rPr>
        <w:t>(Hinck &amp; Brandell, 2000)</w:t>
      </w:r>
      <w:r>
        <w:rPr>
          <w:rFonts w:ascii="Times New Roman" w:eastAsia="Times New Roman" w:hAnsi="Times New Roman"/>
          <w:sz w:val="24"/>
          <w:szCs w:val="24"/>
          <w:lang w:val="en"/>
        </w:rPr>
        <w:t xml:space="preserve">. </w:t>
      </w:r>
      <w:r w:rsidRPr="00A41AB9">
        <w:rPr>
          <w:rFonts w:ascii="Times New Roman" w:eastAsia="Times New Roman" w:hAnsi="Times New Roman"/>
          <w:sz w:val="24"/>
          <w:szCs w:val="24"/>
          <w:lang w:val="en"/>
        </w:rPr>
        <w:t>Boyer suggested that lack of measurement parameters for service-related activities lead to faculty considering it not to be serious scholarship</w:t>
      </w:r>
      <w:r>
        <w:rPr>
          <w:rFonts w:ascii="Times New Roman" w:eastAsia="Times New Roman" w:hAnsi="Times New Roman"/>
          <w:sz w:val="24"/>
          <w:szCs w:val="24"/>
          <w:lang w:val="en"/>
        </w:rPr>
        <w:t xml:space="preserve"> </w:t>
      </w:r>
      <w:r w:rsidRPr="00FA568D">
        <w:rPr>
          <w:rFonts w:ascii="Times New Roman" w:eastAsia="Times New Roman" w:hAnsi="Times New Roman"/>
          <w:noProof/>
          <w:sz w:val="24"/>
          <w:szCs w:val="24"/>
        </w:rPr>
        <w:t>(Boyer, 1990)</w:t>
      </w:r>
      <w:r>
        <w:rPr>
          <w:rFonts w:ascii="Times New Roman" w:eastAsia="Times New Roman" w:hAnsi="Times New Roman"/>
          <w:sz w:val="24"/>
          <w:szCs w:val="24"/>
          <w:lang w:val="en"/>
        </w:rPr>
        <w:t xml:space="preserve">.  </w:t>
      </w:r>
      <w:r w:rsidRPr="00A41AB9">
        <w:rPr>
          <w:rFonts w:ascii="Times New Roman" w:eastAsia="Times New Roman" w:hAnsi="Times New Roman"/>
          <w:sz w:val="24"/>
          <w:szCs w:val="24"/>
          <w:lang w:val="en"/>
        </w:rPr>
        <w:t>Providing support for measuring out</w:t>
      </w:r>
      <w:r>
        <w:rPr>
          <w:rFonts w:ascii="Times New Roman" w:eastAsia="Times New Roman" w:hAnsi="Times New Roman"/>
          <w:sz w:val="24"/>
          <w:szCs w:val="24"/>
          <w:lang w:val="en"/>
        </w:rPr>
        <w:t xml:space="preserve">comes, and the development of </w:t>
      </w:r>
      <w:r w:rsidRPr="00A41AB9">
        <w:rPr>
          <w:rFonts w:ascii="Times New Roman" w:eastAsia="Times New Roman" w:hAnsi="Times New Roman"/>
          <w:sz w:val="24"/>
          <w:szCs w:val="24"/>
          <w:lang w:val="en"/>
        </w:rPr>
        <w:t>common assessment tool</w:t>
      </w:r>
      <w:r>
        <w:rPr>
          <w:rFonts w:ascii="Times New Roman" w:eastAsia="Times New Roman" w:hAnsi="Times New Roman"/>
          <w:sz w:val="24"/>
          <w:szCs w:val="24"/>
          <w:lang w:val="en"/>
        </w:rPr>
        <w:t xml:space="preserve">s </w:t>
      </w:r>
      <w:r w:rsidRPr="00A41AB9">
        <w:rPr>
          <w:rFonts w:ascii="Times New Roman" w:eastAsia="Times New Roman" w:hAnsi="Times New Roman"/>
          <w:sz w:val="24"/>
          <w:szCs w:val="24"/>
          <w:lang w:val="en"/>
        </w:rPr>
        <w:t xml:space="preserve">could benefit faculty and staff who participate in PK-12 </w:t>
      </w:r>
      <w:r>
        <w:rPr>
          <w:rFonts w:ascii="Times New Roman" w:eastAsia="Times New Roman" w:hAnsi="Times New Roman"/>
          <w:sz w:val="24"/>
          <w:szCs w:val="24"/>
          <w:lang w:val="en"/>
        </w:rPr>
        <w:t>e</w:t>
      </w:r>
      <w:r w:rsidRPr="00A41AB9">
        <w:rPr>
          <w:rFonts w:ascii="Times New Roman" w:eastAsia="Times New Roman" w:hAnsi="Times New Roman"/>
          <w:sz w:val="24"/>
          <w:szCs w:val="24"/>
          <w:lang w:val="en"/>
        </w:rPr>
        <w:t xml:space="preserve">ngagement.  Providing an opportunity for those </w:t>
      </w:r>
      <w:r>
        <w:rPr>
          <w:rFonts w:ascii="Times New Roman" w:eastAsia="Times New Roman" w:hAnsi="Times New Roman"/>
          <w:sz w:val="24"/>
          <w:szCs w:val="24"/>
          <w:lang w:val="en"/>
        </w:rPr>
        <w:t xml:space="preserve">in the institution </w:t>
      </w:r>
      <w:r w:rsidRPr="00A41AB9">
        <w:rPr>
          <w:rFonts w:ascii="Times New Roman" w:eastAsia="Times New Roman" w:hAnsi="Times New Roman"/>
          <w:sz w:val="24"/>
          <w:szCs w:val="24"/>
          <w:lang w:val="en"/>
        </w:rPr>
        <w:t xml:space="preserve">who participate in PK-12 </w:t>
      </w:r>
      <w:r>
        <w:rPr>
          <w:rFonts w:ascii="Times New Roman" w:eastAsia="Times New Roman" w:hAnsi="Times New Roman"/>
          <w:sz w:val="24"/>
          <w:szCs w:val="24"/>
          <w:lang w:val="en"/>
        </w:rPr>
        <w:t>e</w:t>
      </w:r>
      <w:r w:rsidRPr="00A41AB9">
        <w:rPr>
          <w:rFonts w:ascii="Times New Roman" w:eastAsia="Times New Roman" w:hAnsi="Times New Roman"/>
          <w:sz w:val="24"/>
          <w:szCs w:val="24"/>
          <w:lang w:val="en"/>
        </w:rPr>
        <w:t xml:space="preserve">ngagement to network and share ideas should also be considered.  Holland proposed that the level of involvement and norms can predict faculty engagement </w:t>
      </w:r>
      <w:r w:rsidRPr="00FA568D">
        <w:rPr>
          <w:rFonts w:ascii="Times New Roman" w:eastAsia="Times New Roman" w:hAnsi="Times New Roman"/>
          <w:noProof/>
          <w:sz w:val="24"/>
          <w:szCs w:val="24"/>
        </w:rPr>
        <w:t>(Holland, 1997)</w:t>
      </w:r>
      <w:r>
        <w:rPr>
          <w:rFonts w:ascii="Times New Roman" w:eastAsia="Times New Roman" w:hAnsi="Times New Roman"/>
          <w:sz w:val="24"/>
          <w:szCs w:val="24"/>
          <w:lang w:val="en"/>
        </w:rPr>
        <w:t xml:space="preserve">.  </w:t>
      </w:r>
      <w:r w:rsidRPr="00A41AB9">
        <w:rPr>
          <w:rFonts w:ascii="Times New Roman" w:eastAsia="Times New Roman" w:hAnsi="Times New Roman"/>
          <w:sz w:val="24"/>
          <w:szCs w:val="24"/>
          <w:lang w:val="en"/>
        </w:rPr>
        <w:t>Facilitating a regular opportunity for engaged faculty and staff to interact and learn what others are doing could enco</w:t>
      </w:r>
      <w:r>
        <w:rPr>
          <w:rFonts w:ascii="Times New Roman" w:eastAsia="Times New Roman" w:hAnsi="Times New Roman"/>
          <w:sz w:val="24"/>
          <w:szCs w:val="24"/>
          <w:lang w:val="en"/>
        </w:rPr>
        <w:t xml:space="preserve">urage a culture of engagement. Finally, faculty and staff may need support and strategies to share their activities and scholarship regarding PK-12 engagement. Faculty and staff commonly mentioned they </w:t>
      </w:r>
      <w:r>
        <w:rPr>
          <w:rFonts w:ascii="Times New Roman" w:eastAsia="Times New Roman" w:hAnsi="Times New Roman"/>
          <w:sz w:val="24"/>
          <w:szCs w:val="24"/>
        </w:rPr>
        <w:t>had</w:t>
      </w:r>
      <w:r w:rsidR="00F808F9">
        <w:rPr>
          <w:rFonts w:ascii="Times New Roman" w:eastAsia="Times New Roman" w:hAnsi="Times New Roman"/>
          <w:sz w:val="24"/>
          <w:szCs w:val="24"/>
        </w:rPr>
        <w:t xml:space="preserve"> not shared their </w:t>
      </w:r>
      <w:r>
        <w:rPr>
          <w:rFonts w:ascii="Times New Roman" w:eastAsia="Times New Roman" w:hAnsi="Times New Roman"/>
          <w:sz w:val="24"/>
          <w:szCs w:val="24"/>
        </w:rPr>
        <w:t xml:space="preserve">PK-12 </w:t>
      </w:r>
      <w:r w:rsidR="00F808F9">
        <w:rPr>
          <w:rFonts w:ascii="Times New Roman" w:eastAsia="Times New Roman" w:hAnsi="Times New Roman"/>
          <w:sz w:val="24"/>
          <w:szCs w:val="24"/>
        </w:rPr>
        <w:t>a</w:t>
      </w:r>
      <w:r>
        <w:rPr>
          <w:rFonts w:ascii="Times New Roman" w:eastAsia="Times New Roman" w:hAnsi="Times New Roman"/>
          <w:sz w:val="24"/>
          <w:szCs w:val="24"/>
        </w:rPr>
        <w:t xml:space="preserve">ctivities with other colleagues in a professional setting. </w:t>
      </w:r>
      <w:r w:rsidR="00F808F9">
        <w:rPr>
          <w:rFonts w:ascii="Times New Roman" w:eastAsia="Times New Roman" w:hAnsi="Times New Roman"/>
          <w:sz w:val="24"/>
          <w:szCs w:val="24"/>
        </w:rPr>
        <w:t xml:space="preserve">This may be due to the reported low perceived support for PK-12 </w:t>
      </w:r>
      <w:r>
        <w:rPr>
          <w:rFonts w:ascii="Times New Roman" w:eastAsia="Times New Roman" w:hAnsi="Times New Roman"/>
          <w:sz w:val="24"/>
          <w:szCs w:val="24"/>
        </w:rPr>
        <w:t>e</w:t>
      </w:r>
      <w:r w:rsidR="00F808F9">
        <w:rPr>
          <w:rFonts w:ascii="Times New Roman" w:eastAsia="Times New Roman" w:hAnsi="Times New Roman"/>
          <w:sz w:val="24"/>
          <w:szCs w:val="24"/>
        </w:rPr>
        <w:t xml:space="preserve">ngagement within professional associations.  Prior research has found that members of professional organizations which value engagement may be more likely to engage </w:t>
      </w:r>
      <w:r w:rsidR="00F808F9" w:rsidRPr="00644C37">
        <w:rPr>
          <w:rFonts w:ascii="Times New Roman" w:eastAsia="Times New Roman" w:hAnsi="Times New Roman"/>
          <w:noProof/>
          <w:sz w:val="24"/>
          <w:szCs w:val="24"/>
        </w:rPr>
        <w:t>(Ward, 2003)</w:t>
      </w:r>
      <w:r w:rsidR="00F808F9">
        <w:rPr>
          <w:rFonts w:ascii="Times New Roman" w:eastAsia="Times New Roman" w:hAnsi="Times New Roman"/>
          <w:sz w:val="24"/>
          <w:szCs w:val="24"/>
        </w:rPr>
        <w:t xml:space="preserve">.  Increasing support and resources available from professional organizations may be beneficial to increasing PK-12 </w:t>
      </w:r>
      <w:r>
        <w:rPr>
          <w:rFonts w:ascii="Times New Roman" w:eastAsia="Times New Roman" w:hAnsi="Times New Roman"/>
          <w:sz w:val="24"/>
          <w:szCs w:val="24"/>
        </w:rPr>
        <w:t>e</w:t>
      </w:r>
      <w:r w:rsidR="00F808F9">
        <w:rPr>
          <w:rFonts w:ascii="Times New Roman" w:eastAsia="Times New Roman" w:hAnsi="Times New Roman"/>
          <w:sz w:val="24"/>
          <w:szCs w:val="24"/>
        </w:rPr>
        <w:t xml:space="preserve">ngagement.  </w:t>
      </w:r>
    </w:p>
    <w:p w:rsidR="00F808F9" w:rsidRDefault="00F808F9" w:rsidP="00F808F9">
      <w:pPr>
        <w:pStyle w:val="NoSpacing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</w:p>
    <w:p w:rsidR="00F808F9" w:rsidRPr="005358BF" w:rsidRDefault="00F808F9" w:rsidP="005358BF">
      <w:pPr>
        <w:pStyle w:val="Bibliography"/>
        <w:ind w:left="720" w:hanging="720"/>
        <w:rPr>
          <w:rFonts w:ascii="Times New Roman" w:hAnsi="Times New Roman"/>
          <w:b/>
          <w:noProof/>
          <w:sz w:val="24"/>
          <w:szCs w:val="24"/>
        </w:rPr>
      </w:pPr>
      <w:r w:rsidRPr="005358BF">
        <w:rPr>
          <w:rFonts w:ascii="Times New Roman" w:hAnsi="Times New Roman"/>
          <w:b/>
          <w:noProof/>
          <w:sz w:val="24"/>
          <w:szCs w:val="24"/>
        </w:rPr>
        <w:lastRenderedPageBreak/>
        <w:t>References</w:t>
      </w:r>
    </w:p>
    <w:p w:rsidR="00F808F9" w:rsidRPr="005358BF" w:rsidRDefault="00F808F9" w:rsidP="00F808F9">
      <w:pPr>
        <w:pStyle w:val="Bibliography"/>
        <w:ind w:left="720" w:hanging="720"/>
        <w:rPr>
          <w:rFonts w:ascii="Times New Roman" w:hAnsi="Times New Roman"/>
          <w:noProof/>
          <w:sz w:val="24"/>
          <w:szCs w:val="24"/>
        </w:rPr>
      </w:pPr>
      <w:r w:rsidRPr="005358BF">
        <w:rPr>
          <w:rFonts w:ascii="Times New Roman" w:hAnsi="Times New Roman"/>
          <w:noProof/>
          <w:sz w:val="24"/>
          <w:szCs w:val="24"/>
        </w:rPr>
        <w:t xml:space="preserve">Boyer, E. (1990). </w:t>
      </w:r>
      <w:r w:rsidRPr="005358BF">
        <w:rPr>
          <w:rFonts w:ascii="Times New Roman" w:hAnsi="Times New Roman"/>
          <w:i/>
          <w:iCs/>
          <w:noProof/>
          <w:sz w:val="24"/>
          <w:szCs w:val="24"/>
        </w:rPr>
        <w:t>Scholarship Reconsidered: Priorities of the Professoriate.</w:t>
      </w:r>
      <w:r w:rsidRPr="005358BF">
        <w:rPr>
          <w:rFonts w:ascii="Times New Roman" w:hAnsi="Times New Roman"/>
          <w:noProof/>
          <w:sz w:val="24"/>
          <w:szCs w:val="24"/>
        </w:rPr>
        <w:t xml:space="preserve"> Princeton: Princeton University Press .</w:t>
      </w:r>
    </w:p>
    <w:p w:rsidR="00F808F9" w:rsidRPr="005358BF" w:rsidRDefault="00F808F9" w:rsidP="00F808F9">
      <w:pPr>
        <w:pStyle w:val="Bibliography"/>
        <w:ind w:left="720" w:hanging="720"/>
        <w:rPr>
          <w:rFonts w:ascii="Times New Roman" w:hAnsi="Times New Roman"/>
          <w:noProof/>
          <w:sz w:val="24"/>
          <w:szCs w:val="24"/>
        </w:rPr>
      </w:pPr>
      <w:r w:rsidRPr="005358BF">
        <w:rPr>
          <w:rFonts w:ascii="Times New Roman" w:hAnsi="Times New Roman"/>
          <w:noProof/>
          <w:sz w:val="24"/>
          <w:szCs w:val="24"/>
        </w:rPr>
        <w:t xml:space="preserve">Hinck, S., &amp; Brandell, M. (2000). The Relationship Between Institutional Support and Campus Acceptance of Academic Service Learning. </w:t>
      </w:r>
      <w:r w:rsidRPr="005358BF">
        <w:rPr>
          <w:rFonts w:ascii="Times New Roman" w:hAnsi="Times New Roman"/>
          <w:i/>
          <w:iCs/>
          <w:noProof/>
          <w:sz w:val="24"/>
          <w:szCs w:val="24"/>
        </w:rPr>
        <w:t>American Behavioral Scientist</w:t>
      </w:r>
      <w:r w:rsidRPr="005358BF">
        <w:rPr>
          <w:rFonts w:ascii="Times New Roman" w:hAnsi="Times New Roman"/>
          <w:noProof/>
          <w:sz w:val="24"/>
          <w:szCs w:val="24"/>
        </w:rPr>
        <w:t>, 868-881.</w:t>
      </w:r>
    </w:p>
    <w:p w:rsidR="00F808F9" w:rsidRPr="005358BF" w:rsidRDefault="00F808F9" w:rsidP="00F808F9">
      <w:pPr>
        <w:pStyle w:val="Bibliography"/>
        <w:ind w:left="720" w:hanging="720"/>
        <w:rPr>
          <w:rFonts w:ascii="Times New Roman" w:hAnsi="Times New Roman"/>
          <w:noProof/>
          <w:sz w:val="24"/>
          <w:szCs w:val="24"/>
        </w:rPr>
      </w:pPr>
      <w:r w:rsidRPr="005358BF">
        <w:rPr>
          <w:rFonts w:ascii="Times New Roman" w:hAnsi="Times New Roman"/>
          <w:noProof/>
          <w:sz w:val="24"/>
          <w:szCs w:val="24"/>
        </w:rPr>
        <w:t xml:space="preserve">Holland. (1997). Analyzing Institutional Commitment to Service. </w:t>
      </w:r>
      <w:r w:rsidRPr="005358BF">
        <w:rPr>
          <w:rFonts w:ascii="Times New Roman" w:hAnsi="Times New Roman"/>
          <w:i/>
          <w:iCs/>
          <w:noProof/>
          <w:sz w:val="24"/>
          <w:szCs w:val="24"/>
        </w:rPr>
        <w:t>American Behavioral Scientist</w:t>
      </w:r>
      <w:r w:rsidRPr="005358BF">
        <w:rPr>
          <w:rFonts w:ascii="Times New Roman" w:hAnsi="Times New Roman"/>
          <w:noProof/>
          <w:sz w:val="24"/>
          <w:szCs w:val="24"/>
        </w:rPr>
        <w:t>, 868-881.</w:t>
      </w:r>
    </w:p>
    <w:p w:rsidR="00F808F9" w:rsidRPr="005358BF" w:rsidRDefault="00F808F9" w:rsidP="00F808F9">
      <w:pPr>
        <w:pStyle w:val="Bibliography"/>
        <w:ind w:left="720" w:hanging="720"/>
        <w:rPr>
          <w:rFonts w:ascii="Times New Roman" w:hAnsi="Times New Roman"/>
          <w:noProof/>
          <w:sz w:val="24"/>
          <w:szCs w:val="24"/>
        </w:rPr>
      </w:pPr>
      <w:r w:rsidRPr="005358BF">
        <w:rPr>
          <w:rFonts w:ascii="Times New Roman" w:hAnsi="Times New Roman"/>
          <w:noProof/>
          <w:sz w:val="24"/>
          <w:szCs w:val="24"/>
        </w:rPr>
        <w:t xml:space="preserve">Wade, A., &amp; Demb, A. (2009). A Conceptual Model to Explore Faculty Community Engagement. </w:t>
      </w:r>
      <w:r w:rsidRPr="005358BF">
        <w:rPr>
          <w:rFonts w:ascii="Times New Roman" w:hAnsi="Times New Roman"/>
          <w:i/>
          <w:iCs/>
          <w:noProof/>
          <w:sz w:val="24"/>
          <w:szCs w:val="24"/>
        </w:rPr>
        <w:t>Michigan Journal of Community Service Learning</w:t>
      </w:r>
      <w:r w:rsidRPr="005358BF">
        <w:rPr>
          <w:rFonts w:ascii="Times New Roman" w:hAnsi="Times New Roman"/>
          <w:noProof/>
          <w:sz w:val="24"/>
          <w:szCs w:val="24"/>
        </w:rPr>
        <w:t>, 5-16.</w:t>
      </w:r>
    </w:p>
    <w:p w:rsidR="00B929A7" w:rsidRPr="001F5D4F" w:rsidRDefault="00F808F9" w:rsidP="001F5D4F">
      <w:pPr>
        <w:pStyle w:val="Bibliography"/>
        <w:ind w:left="720" w:hanging="720"/>
        <w:rPr>
          <w:rFonts w:ascii="Times New Roman" w:hAnsi="Times New Roman"/>
          <w:noProof/>
          <w:sz w:val="24"/>
          <w:szCs w:val="24"/>
        </w:rPr>
      </w:pPr>
      <w:r w:rsidRPr="005358BF">
        <w:rPr>
          <w:rFonts w:ascii="Times New Roman" w:hAnsi="Times New Roman"/>
          <w:noProof/>
          <w:sz w:val="24"/>
          <w:szCs w:val="24"/>
        </w:rPr>
        <w:t xml:space="preserve">Ward, K. (2003). </w:t>
      </w:r>
      <w:r w:rsidRPr="005358BF">
        <w:rPr>
          <w:rFonts w:ascii="Times New Roman" w:hAnsi="Times New Roman"/>
          <w:i/>
          <w:iCs/>
          <w:noProof/>
          <w:sz w:val="24"/>
          <w:szCs w:val="24"/>
        </w:rPr>
        <w:t>Faculty Service Roles and the Scholarship of Engagement.</w:t>
      </w:r>
      <w:r w:rsidRPr="005358BF">
        <w:rPr>
          <w:rFonts w:ascii="Times New Roman" w:hAnsi="Times New Roman"/>
          <w:noProof/>
          <w:sz w:val="24"/>
          <w:szCs w:val="24"/>
        </w:rPr>
        <w:t xml:space="preserve"> Washington, DC: ERIC Clearinghouse on Higher Education .</w:t>
      </w:r>
    </w:p>
    <w:sectPr w:rsidR="00B929A7" w:rsidRPr="001F5D4F" w:rsidSect="005E7A11">
      <w:footerReference w:type="first" r:id="rId11"/>
      <w:pgSz w:w="12240" w:h="15840" w:code="1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998" w:rsidRDefault="00985998">
      <w:r>
        <w:separator/>
      </w:r>
    </w:p>
  </w:endnote>
  <w:endnote w:type="continuationSeparator" w:id="0">
    <w:p w:rsidR="00985998" w:rsidRDefault="00985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A11" w:rsidRDefault="005E7A11" w:rsidP="005E7A11">
    <w:pPr>
      <w:pStyle w:val="Footer"/>
      <w:tabs>
        <w:tab w:val="clear" w:pos="4320"/>
        <w:tab w:val="center" w:pos="4680"/>
      </w:tabs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1300F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A11" w:rsidRDefault="005E7A11" w:rsidP="005E7A11">
    <w:pPr>
      <w:pStyle w:val="Footer"/>
      <w:tabs>
        <w:tab w:val="clear" w:pos="4320"/>
        <w:tab w:val="center" w:pos="4680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A11" w:rsidRDefault="005E7A11" w:rsidP="005E7A11">
    <w:pPr>
      <w:pStyle w:val="Footer"/>
      <w:tabs>
        <w:tab w:val="clear" w:pos="4320"/>
        <w:tab w:val="center" w:pos="4680"/>
      </w:tabs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1300F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998" w:rsidRDefault="00985998">
      <w:r>
        <w:separator/>
      </w:r>
    </w:p>
  </w:footnote>
  <w:footnote w:type="continuationSeparator" w:id="0">
    <w:p w:rsidR="00985998" w:rsidRDefault="009859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A76" w:rsidRDefault="00463FD8" w:rsidP="00357A76">
    <w:pPr>
      <w:pStyle w:val="Title"/>
      <w:jc w:val="right"/>
    </w:pPr>
    <w:r>
      <w:t>Research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C16F4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136473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A4CC8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0C61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C2224D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A46C0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FA0AC5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A640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7FCB9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1FACC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8E93AC7"/>
    <w:multiLevelType w:val="hybridMultilevel"/>
    <w:tmpl w:val="1B4E07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B98"/>
    <w:rsid w:val="001E6446"/>
    <w:rsid w:val="001F5D4F"/>
    <w:rsid w:val="00207392"/>
    <w:rsid w:val="0025135E"/>
    <w:rsid w:val="002E6197"/>
    <w:rsid w:val="00357A76"/>
    <w:rsid w:val="00357BB1"/>
    <w:rsid w:val="003C5D19"/>
    <w:rsid w:val="004437C0"/>
    <w:rsid w:val="00463FD8"/>
    <w:rsid w:val="004B57CB"/>
    <w:rsid w:val="00510BE4"/>
    <w:rsid w:val="00522B6A"/>
    <w:rsid w:val="00535540"/>
    <w:rsid w:val="005358BF"/>
    <w:rsid w:val="0055601C"/>
    <w:rsid w:val="005E7A11"/>
    <w:rsid w:val="0067485B"/>
    <w:rsid w:val="00714790"/>
    <w:rsid w:val="007151FF"/>
    <w:rsid w:val="00763512"/>
    <w:rsid w:val="007909F4"/>
    <w:rsid w:val="007C7F74"/>
    <w:rsid w:val="008425FC"/>
    <w:rsid w:val="00865740"/>
    <w:rsid w:val="00950B26"/>
    <w:rsid w:val="00982AAE"/>
    <w:rsid w:val="00985998"/>
    <w:rsid w:val="00A637A2"/>
    <w:rsid w:val="00AC2033"/>
    <w:rsid w:val="00B51AED"/>
    <w:rsid w:val="00B75B98"/>
    <w:rsid w:val="00B929A7"/>
    <w:rsid w:val="00BB1C0B"/>
    <w:rsid w:val="00BD76C5"/>
    <w:rsid w:val="00C803E6"/>
    <w:rsid w:val="00D32FBD"/>
    <w:rsid w:val="00E41C18"/>
    <w:rsid w:val="00E90A24"/>
    <w:rsid w:val="00F075EE"/>
    <w:rsid w:val="00F1300F"/>
    <w:rsid w:val="00F808F9"/>
    <w:rsid w:val="00FD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B6698A-0FBB-40A3-8BBF-04353AD5D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08F9"/>
    <w:pPr>
      <w:keepNext/>
      <w:keepLines/>
      <w:spacing w:before="240" w:line="259" w:lineRule="auto"/>
      <w:outlineLvl w:val="0"/>
    </w:pPr>
    <w:rPr>
      <w:rFonts w:ascii="Calibri Light" w:hAnsi="Calibri Light"/>
      <w:color w:val="2E74B5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7C7F7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3Char">
    <w:name w:val="Heading 3 Char"/>
    <w:link w:val="Heading3"/>
    <w:rsid w:val="007C7F74"/>
    <w:rPr>
      <w:rFonts w:ascii="Arial" w:hAnsi="Arial" w:cs="Arial"/>
      <w:b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semiHidden/>
    <w:rsid w:val="00207392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763512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customStyle="1" w:styleId="Author">
    <w:name w:val="Author"/>
    <w:basedOn w:val="Title"/>
    <w:rsid w:val="00763512"/>
    <w:rPr>
      <w:b w:val="0"/>
    </w:rPr>
  </w:style>
  <w:style w:type="paragraph" w:styleId="Header">
    <w:name w:val="header"/>
    <w:basedOn w:val="Normal"/>
    <w:rsid w:val="005E7A1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E7A1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E7A11"/>
  </w:style>
  <w:style w:type="character" w:styleId="Hyperlink">
    <w:name w:val="Hyperlink"/>
    <w:rsid w:val="005E7A11"/>
    <w:rPr>
      <w:color w:val="0000FF"/>
      <w:u w:val="single"/>
    </w:rPr>
  </w:style>
  <w:style w:type="paragraph" w:styleId="NoSpacing">
    <w:name w:val="No Spacing"/>
    <w:uiPriority w:val="1"/>
    <w:qFormat/>
    <w:rsid w:val="00522B6A"/>
    <w:rPr>
      <w:rFonts w:ascii="Calibri" w:eastAsia="Calibri" w:hAnsi="Calibri"/>
      <w:sz w:val="22"/>
      <w:szCs w:val="22"/>
    </w:rPr>
  </w:style>
  <w:style w:type="character" w:customStyle="1" w:styleId="Heading1Char">
    <w:name w:val="Heading 1 Char"/>
    <w:link w:val="Heading1"/>
    <w:uiPriority w:val="9"/>
    <w:rsid w:val="00F808F9"/>
    <w:rPr>
      <w:rFonts w:ascii="Calibri Light" w:hAnsi="Calibri Light"/>
      <w:color w:val="2E74B5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F808F9"/>
    <w:pPr>
      <w:spacing w:after="160" w:line="259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Wad091</b:Tag>
    <b:SourceType>JournalArticle</b:SourceType>
    <b:Guid>{103C6F23-9E19-4E1D-AF5E-ABFE44DB387A}</b:Guid>
    <b:Author>
      <b:Author>
        <b:NameList>
          <b:Person>
            <b:Last>Wade</b:Last>
            <b:First>Amy</b:First>
          </b:Person>
          <b:Person>
            <b:Last>Demb</b:Last>
            <b:First>Ada</b:First>
          </b:Person>
        </b:NameList>
      </b:Author>
    </b:Author>
    <b:Title>A Conceptual Model to Explore Faculty Community Engagement</b:Title>
    <b:JournalName>Michigan Journal of Community Service Learning</b:JournalName>
    <b:Year>2009</b:Year>
    <b:Pages>5-16</b:Pages>
    <b:RefOrder>1</b:RefOrder>
  </b:Source>
  <b:Source>
    <b:Tag>War03</b:Tag>
    <b:SourceType>Book</b:SourceType>
    <b:Guid>{0A0A754F-F015-43F3-A3B0-3330B4E272A1}</b:Guid>
    <b:Author>
      <b:Author>
        <b:NameList>
          <b:Person>
            <b:Last>Ward</b:Last>
            <b:First>K</b:First>
          </b:Person>
        </b:NameList>
      </b:Author>
    </b:Author>
    <b:Title>Faculty Service Roles and the Scholarship of Engagement</b:Title>
    <b:JournalName>ASHE-ERIC Higher Education Report</b:JournalName>
    <b:Year>2003</b:Year>
    <b:City>Washington, DC</b:City>
    <b:Publisher>ERIC Clearinghouse on Higher Education </b:Publisher>
    <b:RefOrder>2</b:RefOrder>
  </b:Source>
  <b:Source>
    <b:Tag>Hin00</b:Tag>
    <b:SourceType>JournalArticle</b:SourceType>
    <b:Guid>{616E4903-61A6-4A76-97AB-4A99D5660137}</b:Guid>
    <b:Title>The Relationship Between Institutional Support and Campus Acceptance of Academic Service Learning</b:Title>
    <b:Year>2000</b:Year>
    <b:Author>
      <b:Author>
        <b:NameList>
          <b:Person>
            <b:Last>Hinck</b:Last>
            <b:First>S</b:First>
          </b:Person>
          <b:Person>
            <b:Last>Brandell</b:Last>
            <b:First>M</b:First>
          </b:Person>
        </b:NameList>
      </b:Author>
    </b:Author>
    <b:JournalName>American Behavioral Scientist</b:JournalName>
    <b:Pages>868-881</b:Pages>
    <b:RefOrder>3</b:RefOrder>
  </b:Source>
  <b:Source>
    <b:Tag>Boy90</b:Tag>
    <b:SourceType>Book</b:SourceType>
    <b:Guid>{EA5B48A2-BC9D-4C3A-AC36-EF7A04BD0A1D}</b:Guid>
    <b:Author>
      <b:Author>
        <b:NameList>
          <b:Person>
            <b:Last>Boyer</b:Last>
            <b:First>E</b:First>
          </b:Person>
        </b:NameList>
      </b:Author>
    </b:Author>
    <b:Title>Scholarship Reconsidered: Priorities of the Professoriate</b:Title>
    <b:Year>1990</b:Year>
    <b:City>Princeton</b:City>
    <b:Publisher>Princeton University Press </b:Publisher>
    <b:RefOrder>4</b:RefOrder>
  </b:Source>
  <b:Source>
    <b:Tag>Hol97</b:Tag>
    <b:SourceType>JournalArticle</b:SourceType>
    <b:Guid>{5CF82596-5685-45BB-84B9-E70891E25919}</b:Guid>
    <b:Author>
      <b:Author>
        <b:NameList>
          <b:Person>
            <b:Last>Holland</b:Last>
          </b:Person>
        </b:NameList>
      </b:Author>
    </b:Author>
    <b:Title>Analyzing Institutional Commitment to Service</b:Title>
    <b:Year>1997</b:Year>
    <b:JournalName>American Behavioral Scientist</b:JournalName>
    <b:Pages>868-881</b:Pages>
    <b:RefOrder>5</b:RefOrder>
  </b:Source>
</b:Sources>
</file>

<file path=customXml/itemProps1.xml><?xml version="1.0" encoding="utf-8"?>
<ds:datastoreItem xmlns:ds="http://schemas.openxmlformats.org/officeDocument/2006/customXml" ds:itemID="{3F81BFE4-AD24-46C3-800A-99F2D9780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AAAE Poster Abstract template</vt:lpstr>
    </vt:vector>
  </TitlesOfParts>
  <Company>Peak Consulting</Company>
  <LinksUpToDate>false</LinksUpToDate>
  <CharactersWithSpaces>7950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AAAE Poster Abstract template</dc:title>
  <dc:subject/>
  <dc:creator>Michael Spiess</dc:creator>
  <cp:keywords/>
  <dc:description/>
  <cp:lastModifiedBy>Knobloch, Neil A</cp:lastModifiedBy>
  <cp:revision>2</cp:revision>
  <cp:lastPrinted>2004-01-08T11:09:00Z</cp:lastPrinted>
  <dcterms:created xsi:type="dcterms:W3CDTF">2015-09-30T15:37:00Z</dcterms:created>
  <dcterms:modified xsi:type="dcterms:W3CDTF">2015-09-30T15:37:00Z</dcterms:modified>
</cp:coreProperties>
</file>