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6E9" w:rsidRDefault="006376E9" w:rsidP="006376E9">
      <w:pPr>
        <w:jc w:val="right"/>
        <w:rPr>
          <w:rFonts w:ascii="Times New Roman" w:hAnsi="Times New Roman" w:cs="Times New Roman"/>
          <w:b/>
          <w:sz w:val="24"/>
        </w:rPr>
      </w:pPr>
      <w:r>
        <w:rPr>
          <w:rFonts w:ascii="Times New Roman" w:hAnsi="Times New Roman" w:cs="Times New Roman"/>
          <w:b/>
          <w:sz w:val="24"/>
        </w:rPr>
        <w:t>RESEARCH</w:t>
      </w:r>
    </w:p>
    <w:p w:rsidR="006376E9" w:rsidRDefault="006376E9" w:rsidP="006376E9">
      <w:pPr>
        <w:jc w:val="center"/>
        <w:rPr>
          <w:rFonts w:ascii="Times New Roman" w:hAnsi="Times New Roman" w:cs="Times New Roman"/>
          <w:b/>
          <w:sz w:val="24"/>
        </w:rPr>
      </w:pPr>
    </w:p>
    <w:p w:rsidR="006376E9" w:rsidRDefault="006376E9" w:rsidP="006376E9">
      <w:pPr>
        <w:jc w:val="center"/>
        <w:rPr>
          <w:rFonts w:ascii="Times New Roman" w:hAnsi="Times New Roman" w:cs="Times New Roman"/>
          <w:b/>
          <w:sz w:val="24"/>
        </w:rPr>
      </w:pPr>
    </w:p>
    <w:p w:rsidR="006376E9" w:rsidRDefault="006376E9" w:rsidP="006376E9">
      <w:pPr>
        <w:jc w:val="center"/>
        <w:rPr>
          <w:rFonts w:ascii="Times New Roman" w:hAnsi="Times New Roman" w:cs="Times New Roman"/>
          <w:b/>
          <w:sz w:val="24"/>
        </w:rPr>
      </w:pPr>
    </w:p>
    <w:p w:rsidR="006376E9" w:rsidRDefault="000C1CC6" w:rsidP="006376E9">
      <w:pPr>
        <w:jc w:val="center"/>
        <w:rPr>
          <w:rFonts w:ascii="Times New Roman" w:hAnsi="Times New Roman" w:cs="Times New Roman"/>
          <w:b/>
          <w:sz w:val="24"/>
        </w:rPr>
      </w:pPr>
      <w:r w:rsidRPr="000C1CC6">
        <w:rPr>
          <w:rFonts w:ascii="Times New Roman" w:hAnsi="Times New Roman" w:cs="Times New Roman"/>
          <w:b/>
          <w:sz w:val="24"/>
        </w:rPr>
        <w:t>Faculty perceptions of discipline specific pedagogies in post-secondary agriculture education</w:t>
      </w:r>
    </w:p>
    <w:p w:rsidR="000C1CC6" w:rsidRDefault="000C1CC6" w:rsidP="006376E9">
      <w:pPr>
        <w:jc w:val="center"/>
        <w:rPr>
          <w:rFonts w:ascii="Times New Roman" w:hAnsi="Times New Roman" w:cs="Times New Roman"/>
          <w:b/>
          <w:sz w:val="24"/>
        </w:rPr>
      </w:pPr>
    </w:p>
    <w:p w:rsidR="000C1CC6" w:rsidRDefault="000C1CC6" w:rsidP="006376E9">
      <w:pPr>
        <w:jc w:val="center"/>
        <w:rPr>
          <w:rFonts w:ascii="Times New Roman" w:hAnsi="Times New Roman" w:cs="Times New Roman"/>
          <w:b/>
          <w:sz w:val="24"/>
        </w:rPr>
      </w:pPr>
      <w:r>
        <w:rPr>
          <w:rFonts w:ascii="Times New Roman" w:hAnsi="Times New Roman" w:cs="Times New Roman"/>
          <w:b/>
          <w:sz w:val="24"/>
        </w:rPr>
        <w:t>Laura L. Rice, PhD</w:t>
      </w:r>
    </w:p>
    <w:p w:rsidR="000C1CC6" w:rsidRPr="000C1CC6" w:rsidRDefault="002670E5" w:rsidP="000C1CC6">
      <w:pPr>
        <w:spacing w:line="240" w:lineRule="auto"/>
        <w:jc w:val="center"/>
        <w:rPr>
          <w:rFonts w:ascii="Times New Roman" w:hAnsi="Times New Roman" w:cs="Times New Roman"/>
          <w:sz w:val="24"/>
        </w:rPr>
      </w:pPr>
      <w:r>
        <w:rPr>
          <w:rFonts w:ascii="Times New Roman" w:hAnsi="Times New Roman" w:cs="Times New Roman"/>
          <w:sz w:val="24"/>
        </w:rPr>
        <w:t>The Pennsylvania State University</w:t>
      </w:r>
      <w:r>
        <w:rPr>
          <w:rFonts w:ascii="Times New Roman" w:hAnsi="Times New Roman" w:cs="Times New Roman"/>
          <w:sz w:val="24"/>
        </w:rPr>
        <w:br/>
      </w:r>
      <w:r w:rsidR="000C1CC6" w:rsidRPr="000C1CC6">
        <w:rPr>
          <w:rFonts w:ascii="Times New Roman" w:hAnsi="Times New Roman" w:cs="Times New Roman"/>
          <w:sz w:val="24"/>
        </w:rPr>
        <w:t>204A Ferguson Building</w:t>
      </w:r>
      <w:r w:rsidR="000C1CC6">
        <w:rPr>
          <w:rFonts w:ascii="Times New Roman" w:hAnsi="Times New Roman" w:cs="Times New Roman"/>
          <w:sz w:val="24"/>
        </w:rPr>
        <w:br/>
      </w:r>
      <w:r w:rsidR="000C1CC6" w:rsidRPr="000C1CC6">
        <w:rPr>
          <w:rFonts w:ascii="Times New Roman" w:hAnsi="Times New Roman" w:cs="Times New Roman"/>
          <w:sz w:val="24"/>
        </w:rPr>
        <w:t>University Park, PA 16802</w:t>
      </w:r>
      <w:r w:rsidR="000C1CC6">
        <w:rPr>
          <w:rFonts w:ascii="Times New Roman" w:hAnsi="Times New Roman" w:cs="Times New Roman"/>
          <w:sz w:val="24"/>
        </w:rPr>
        <w:br/>
      </w:r>
      <w:r w:rsidR="000C1CC6" w:rsidRPr="000C1CC6">
        <w:rPr>
          <w:rFonts w:ascii="Times New Roman" w:hAnsi="Times New Roman" w:cs="Times New Roman"/>
          <w:sz w:val="24"/>
        </w:rPr>
        <w:t>814.865.6987</w:t>
      </w:r>
      <w:r w:rsidR="000C1CC6">
        <w:rPr>
          <w:rFonts w:ascii="Times New Roman" w:hAnsi="Times New Roman" w:cs="Times New Roman"/>
          <w:sz w:val="24"/>
        </w:rPr>
        <w:br/>
      </w:r>
      <w:r w:rsidR="000C1CC6" w:rsidRPr="000C1CC6">
        <w:rPr>
          <w:rFonts w:ascii="Times New Roman" w:hAnsi="Times New Roman" w:cs="Times New Roman"/>
          <w:sz w:val="24"/>
        </w:rPr>
        <w:t>laurarice@psu.edu</w:t>
      </w:r>
    </w:p>
    <w:p w:rsidR="000C1CC6" w:rsidRDefault="000C1CC6" w:rsidP="006376E9">
      <w:pPr>
        <w:jc w:val="center"/>
        <w:rPr>
          <w:rFonts w:ascii="Times New Roman" w:hAnsi="Times New Roman" w:cs="Times New Roman"/>
          <w:b/>
          <w:sz w:val="24"/>
        </w:rPr>
      </w:pPr>
    </w:p>
    <w:p w:rsidR="000C1CC6" w:rsidRDefault="000C1CC6" w:rsidP="006376E9">
      <w:pPr>
        <w:jc w:val="center"/>
        <w:rPr>
          <w:rFonts w:ascii="Times New Roman" w:hAnsi="Times New Roman" w:cs="Times New Roman"/>
          <w:b/>
          <w:sz w:val="24"/>
        </w:rPr>
      </w:pPr>
      <w:r>
        <w:rPr>
          <w:rFonts w:ascii="Times New Roman" w:hAnsi="Times New Roman" w:cs="Times New Roman"/>
          <w:b/>
          <w:sz w:val="24"/>
        </w:rPr>
        <w:t>Daniel D. Foster, PhD</w:t>
      </w:r>
    </w:p>
    <w:p w:rsidR="006376E9" w:rsidRPr="000C1CC6" w:rsidRDefault="002670E5" w:rsidP="006376E9">
      <w:pPr>
        <w:jc w:val="center"/>
        <w:rPr>
          <w:rFonts w:ascii="Times New Roman" w:hAnsi="Times New Roman" w:cs="Times New Roman"/>
          <w:sz w:val="24"/>
        </w:rPr>
      </w:pPr>
      <w:r>
        <w:rPr>
          <w:rFonts w:ascii="Times New Roman" w:hAnsi="Times New Roman" w:cs="Times New Roman"/>
          <w:sz w:val="24"/>
        </w:rPr>
        <w:t>The Pennsylvania State University</w:t>
      </w:r>
      <w:r>
        <w:rPr>
          <w:rFonts w:ascii="Times New Roman" w:hAnsi="Times New Roman" w:cs="Times New Roman"/>
          <w:sz w:val="24"/>
        </w:rPr>
        <w:br/>
      </w:r>
      <w:bookmarkStart w:id="0" w:name="_GoBack"/>
      <w:bookmarkEnd w:id="0"/>
      <w:r w:rsidR="000C1CC6" w:rsidRPr="000C1CC6">
        <w:rPr>
          <w:rFonts w:ascii="Times New Roman" w:hAnsi="Times New Roman" w:cs="Times New Roman"/>
          <w:sz w:val="24"/>
        </w:rPr>
        <w:t>211 Ferguson Building</w:t>
      </w:r>
      <w:r w:rsidR="000C1CC6">
        <w:rPr>
          <w:rFonts w:ascii="Times New Roman" w:hAnsi="Times New Roman" w:cs="Times New Roman"/>
          <w:sz w:val="24"/>
        </w:rPr>
        <w:br/>
      </w:r>
      <w:r w:rsidR="000C1CC6" w:rsidRPr="000C1CC6">
        <w:rPr>
          <w:rFonts w:ascii="Times New Roman" w:hAnsi="Times New Roman" w:cs="Times New Roman"/>
          <w:sz w:val="24"/>
        </w:rPr>
        <w:t>University Park, PA 16802</w:t>
      </w:r>
      <w:r w:rsidR="000C1CC6">
        <w:rPr>
          <w:rFonts w:ascii="Times New Roman" w:hAnsi="Times New Roman" w:cs="Times New Roman"/>
          <w:sz w:val="24"/>
        </w:rPr>
        <w:br/>
        <w:t>814.863.0192</w:t>
      </w:r>
      <w:r w:rsidR="000C1CC6">
        <w:rPr>
          <w:rFonts w:ascii="Times New Roman" w:hAnsi="Times New Roman" w:cs="Times New Roman"/>
          <w:sz w:val="24"/>
        </w:rPr>
        <w:br/>
      </w:r>
      <w:r w:rsidR="000C1CC6" w:rsidRPr="000C1CC6">
        <w:rPr>
          <w:rFonts w:ascii="Times New Roman" w:hAnsi="Times New Roman" w:cs="Times New Roman"/>
          <w:sz w:val="24"/>
        </w:rPr>
        <w:t>foster@psu.edu</w:t>
      </w:r>
      <w:r w:rsidR="006376E9">
        <w:rPr>
          <w:rFonts w:ascii="Times New Roman" w:hAnsi="Times New Roman" w:cs="Times New Roman"/>
          <w:b/>
          <w:sz w:val="24"/>
        </w:rPr>
        <w:br w:type="page"/>
      </w:r>
    </w:p>
    <w:p w:rsidR="006376E9" w:rsidRDefault="006376E9" w:rsidP="000C1CC6">
      <w:pPr>
        <w:spacing w:line="240" w:lineRule="auto"/>
        <w:jc w:val="center"/>
        <w:rPr>
          <w:rFonts w:ascii="Times New Roman" w:hAnsi="Times New Roman" w:cs="Times New Roman"/>
          <w:b/>
          <w:sz w:val="24"/>
        </w:rPr>
      </w:pPr>
      <w:r>
        <w:rPr>
          <w:rFonts w:ascii="Times New Roman" w:hAnsi="Times New Roman" w:cs="Times New Roman"/>
          <w:b/>
          <w:sz w:val="24"/>
        </w:rPr>
        <w:lastRenderedPageBreak/>
        <w:t>Faculty perceptions of discipline specific pedagogies in post-secondary agriculture education</w:t>
      </w:r>
    </w:p>
    <w:p w:rsidR="00E0575E" w:rsidRPr="00E0575E" w:rsidRDefault="00E0575E" w:rsidP="000C1CC6">
      <w:pPr>
        <w:spacing w:line="240" w:lineRule="auto"/>
        <w:jc w:val="center"/>
        <w:rPr>
          <w:rFonts w:ascii="Times New Roman" w:hAnsi="Times New Roman" w:cs="Times New Roman"/>
          <w:b/>
          <w:sz w:val="24"/>
        </w:rPr>
      </w:pPr>
      <w:r w:rsidRPr="00E0575E">
        <w:rPr>
          <w:rFonts w:ascii="Times New Roman" w:hAnsi="Times New Roman" w:cs="Times New Roman"/>
          <w:b/>
          <w:sz w:val="24"/>
        </w:rPr>
        <w:t>Introduction</w:t>
      </w:r>
    </w:p>
    <w:p w:rsidR="00E0575E" w:rsidRDefault="00E0575E" w:rsidP="000C1CC6">
      <w:pPr>
        <w:spacing w:line="240" w:lineRule="auto"/>
        <w:rPr>
          <w:rFonts w:ascii="Times New Roman" w:hAnsi="Times New Roman" w:cs="Times New Roman"/>
          <w:sz w:val="24"/>
        </w:rPr>
      </w:pPr>
      <w:r w:rsidRPr="00E0575E">
        <w:rPr>
          <w:rFonts w:ascii="Times New Roman" w:hAnsi="Times New Roman" w:cs="Times New Roman"/>
          <w:sz w:val="24"/>
        </w:rPr>
        <w:t>Colleges of Agricultural Sciences are charged with the task of addressing our nation’s societal and industry challenges by preparing “a diverse workforce that includes scientists and professionals with knowledge and skills beyond today’s standards” (Doerfert, 2011, p. 19). By 2018, 44 percent of jobs in agriculture, food and natural resources will require some postsecondary education (U.S. Department of Agriculture Economic Research Service, 2014). University instructors must focus on the continuing need for “quality teaching and learning outcomes and life-long human capital development of our workforce” (Doerfert, 2011, p. 20).</w:t>
      </w:r>
      <w:r>
        <w:rPr>
          <w:rFonts w:ascii="Times New Roman" w:hAnsi="Times New Roman" w:cs="Times New Roman"/>
          <w:sz w:val="24"/>
        </w:rPr>
        <w:t xml:space="preserve"> </w:t>
      </w:r>
      <w:r w:rsidR="009D3A8D" w:rsidRPr="009D3A8D">
        <w:rPr>
          <w:rFonts w:ascii="Times New Roman" w:hAnsi="Times New Roman" w:cs="Times New Roman"/>
          <w:sz w:val="24"/>
        </w:rPr>
        <w:t xml:space="preserve">Current research must pay more attention to the complexity of teaching when attempting to further understanding of university-level teaching. Researching discipline specific pedagogies holds exciting potential for developing more complex understandings of university academics as teachers, which in turn has implications for the improvement of university-level teaching. </w:t>
      </w:r>
      <w:r>
        <w:rPr>
          <w:rFonts w:ascii="Times New Roman" w:hAnsi="Times New Roman" w:cs="Times New Roman"/>
          <w:sz w:val="24"/>
        </w:rPr>
        <w:t xml:space="preserve">The purpose of this research study was to </w:t>
      </w:r>
      <w:r w:rsidR="009D3A8D">
        <w:rPr>
          <w:rFonts w:ascii="Times New Roman" w:hAnsi="Times New Roman" w:cs="Times New Roman"/>
          <w:sz w:val="24"/>
        </w:rPr>
        <w:t>d</w:t>
      </w:r>
      <w:r w:rsidR="009D3A8D" w:rsidRPr="009D3A8D">
        <w:rPr>
          <w:rFonts w:ascii="Times New Roman" w:hAnsi="Times New Roman" w:cs="Times New Roman"/>
          <w:sz w:val="24"/>
        </w:rPr>
        <w:t xml:space="preserve">escribe faculty members’ perceptions of discipline specific pedagogy </w:t>
      </w:r>
      <w:r w:rsidR="00B57139">
        <w:rPr>
          <w:rFonts w:ascii="Times New Roman" w:hAnsi="Times New Roman" w:cs="Times New Roman"/>
          <w:sz w:val="24"/>
        </w:rPr>
        <w:t>at a leading agricultural university</w:t>
      </w:r>
      <w:r>
        <w:rPr>
          <w:rFonts w:ascii="Times New Roman" w:hAnsi="Times New Roman" w:cs="Times New Roman"/>
          <w:sz w:val="24"/>
        </w:rPr>
        <w:t>.</w:t>
      </w:r>
    </w:p>
    <w:p w:rsidR="00B57139" w:rsidRDefault="00B57139" w:rsidP="000C1CC6">
      <w:pPr>
        <w:spacing w:line="240" w:lineRule="auto"/>
        <w:jc w:val="center"/>
        <w:rPr>
          <w:rFonts w:ascii="Times New Roman" w:hAnsi="Times New Roman" w:cs="Times New Roman"/>
          <w:b/>
          <w:sz w:val="24"/>
        </w:rPr>
      </w:pPr>
      <w:r w:rsidRPr="00B57139">
        <w:rPr>
          <w:rFonts w:ascii="Times New Roman" w:hAnsi="Times New Roman" w:cs="Times New Roman"/>
          <w:b/>
          <w:sz w:val="24"/>
        </w:rPr>
        <w:t>Conceptual Framework</w:t>
      </w:r>
    </w:p>
    <w:p w:rsidR="00B57139" w:rsidRPr="00B57139" w:rsidRDefault="006376E9" w:rsidP="00B57139">
      <w:pPr>
        <w:rPr>
          <w:rFonts w:ascii="Times New Roman" w:hAnsi="Times New Roman" w:cs="Times New Roman"/>
          <w:sz w:val="24"/>
        </w:rPr>
      </w:pPr>
      <w:r w:rsidRPr="00B57139">
        <w:rPr>
          <w:rFonts w:ascii="Times New Roman" w:eastAsia="Times New Roman" w:hAnsi="Times New Roman" w:cs="Times New Roman"/>
          <w:noProof/>
          <w:szCs w:val="24"/>
        </w:rPr>
        <w:drawing>
          <wp:anchor distT="0" distB="0" distL="114300" distR="114300" simplePos="0" relativeHeight="251659264" behindDoc="0" locked="0" layoutInCell="1" allowOverlap="1" wp14:anchorId="4610C757" wp14:editId="0CBC3C3C">
            <wp:simplePos x="0" y="0"/>
            <wp:positionH relativeFrom="column">
              <wp:posOffset>993140</wp:posOffset>
            </wp:positionH>
            <wp:positionV relativeFrom="paragraph">
              <wp:posOffset>1017905</wp:posOffset>
            </wp:positionV>
            <wp:extent cx="3763010" cy="2272665"/>
            <wp:effectExtent l="0" t="0" r="8890" b="0"/>
            <wp:wrapTight wrapText="bothSides">
              <wp:wrapPolygon edited="0">
                <wp:start x="0" y="0"/>
                <wp:lineTo x="0" y="21365"/>
                <wp:lineTo x="21542" y="21365"/>
                <wp:lineTo x="21542" y="0"/>
                <wp:lineTo x="0" y="0"/>
              </wp:wrapPolygon>
            </wp:wrapTight>
            <wp:docPr id="1" name="Picture 1" descr="C:\Users\Laura\Desktop\Dissertation Conceptual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ura\Desktop\Dissertation Conceptual Model.jpg"/>
                    <pic:cNvPicPr>
                      <a:picLocks noChangeAspect="1" noChangeArrowheads="1"/>
                    </pic:cNvPicPr>
                  </pic:nvPicPr>
                  <pic:blipFill>
                    <a:blip r:embed="rId7" cstate="print">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763010" cy="2272665"/>
                    </a:xfrm>
                    <a:prstGeom prst="rect">
                      <a:avLst/>
                    </a:prstGeom>
                    <a:noFill/>
                    <a:ln>
                      <a:noFill/>
                    </a:ln>
                  </pic:spPr>
                </pic:pic>
              </a:graphicData>
            </a:graphic>
            <wp14:sizeRelH relativeFrom="page">
              <wp14:pctWidth>0</wp14:pctWidth>
            </wp14:sizeRelH>
            <wp14:sizeRelV relativeFrom="page">
              <wp14:pctHeight>0</wp14:pctHeight>
            </wp14:sizeRelV>
          </wp:anchor>
        </w:drawing>
      </w:r>
      <w:r w:rsidR="00B57139" w:rsidRPr="00B57139">
        <w:rPr>
          <w:rFonts w:ascii="Times New Roman" w:hAnsi="Times New Roman" w:cs="Times New Roman"/>
          <w:sz w:val="24"/>
        </w:rPr>
        <w:t>The conceptual framework for this study was guided by relevant theoretical and empirical research.  The researcher‘s conceptual model examines practitioners of post-s</w:t>
      </w:r>
      <w:r w:rsidR="00B57139">
        <w:rPr>
          <w:rFonts w:ascii="Times New Roman" w:hAnsi="Times New Roman" w:cs="Times New Roman"/>
          <w:sz w:val="24"/>
        </w:rPr>
        <w:t>econdary Agriculture Education</w:t>
      </w:r>
      <w:r w:rsidR="00B57139" w:rsidRPr="00B57139">
        <w:rPr>
          <w:rFonts w:ascii="Times New Roman" w:hAnsi="Times New Roman" w:cs="Times New Roman"/>
          <w:sz w:val="24"/>
        </w:rPr>
        <w:t xml:space="preserve"> on the role pedagogical content knowledge and discipline specific pedagogies play in forming a practitioner’s discipline specific content knowledge.  Figure </w:t>
      </w:r>
      <w:r w:rsidR="00B57139">
        <w:rPr>
          <w:rFonts w:ascii="Times New Roman" w:hAnsi="Times New Roman" w:cs="Times New Roman"/>
          <w:sz w:val="24"/>
        </w:rPr>
        <w:t>1</w:t>
      </w:r>
      <w:r w:rsidR="00B57139" w:rsidRPr="00B57139">
        <w:rPr>
          <w:rFonts w:ascii="Times New Roman" w:hAnsi="Times New Roman" w:cs="Times New Roman"/>
          <w:sz w:val="24"/>
        </w:rPr>
        <w:t xml:space="preserve"> provides a visual model of the conceptual framework for this study.</w:t>
      </w:r>
    </w:p>
    <w:p w:rsidR="00B57139" w:rsidRPr="00B57139" w:rsidRDefault="00B57139" w:rsidP="00B57139">
      <w:pPr>
        <w:rPr>
          <w:rFonts w:ascii="Times New Roman" w:hAnsi="Times New Roman" w:cs="Times New Roman"/>
          <w:b/>
          <w:sz w:val="24"/>
        </w:rPr>
      </w:pPr>
    </w:p>
    <w:p w:rsidR="00E0575E" w:rsidRPr="00E0575E" w:rsidRDefault="00E0575E" w:rsidP="00E0575E">
      <w:pPr>
        <w:rPr>
          <w:rFonts w:ascii="Times New Roman" w:hAnsi="Times New Roman" w:cs="Times New Roman"/>
          <w:sz w:val="24"/>
        </w:rPr>
      </w:pPr>
    </w:p>
    <w:p w:rsidR="00E0575E" w:rsidRPr="00E0575E" w:rsidRDefault="00E0575E" w:rsidP="00E0575E">
      <w:pPr>
        <w:rPr>
          <w:rFonts w:ascii="Times New Roman" w:hAnsi="Times New Roman" w:cs="Times New Roman"/>
          <w:sz w:val="24"/>
        </w:rPr>
      </w:pPr>
      <w:r w:rsidRPr="00E0575E">
        <w:rPr>
          <w:rFonts w:ascii="Times New Roman" w:hAnsi="Times New Roman" w:cs="Times New Roman"/>
          <w:sz w:val="24"/>
        </w:rPr>
        <w:t xml:space="preserve"> </w:t>
      </w:r>
    </w:p>
    <w:p w:rsidR="00180651" w:rsidRDefault="00180651">
      <w:pPr>
        <w:rPr>
          <w:rFonts w:ascii="Times New Roman" w:hAnsi="Times New Roman" w:cs="Times New Roman"/>
          <w:sz w:val="24"/>
        </w:rPr>
      </w:pPr>
    </w:p>
    <w:p w:rsidR="00B57139" w:rsidRDefault="00B57139">
      <w:pPr>
        <w:rPr>
          <w:rFonts w:ascii="Times New Roman" w:hAnsi="Times New Roman" w:cs="Times New Roman"/>
          <w:sz w:val="24"/>
        </w:rPr>
      </w:pPr>
    </w:p>
    <w:p w:rsidR="00B57139" w:rsidRDefault="00B57139">
      <w:pPr>
        <w:rPr>
          <w:rFonts w:ascii="Times New Roman" w:hAnsi="Times New Roman" w:cs="Times New Roman"/>
          <w:sz w:val="24"/>
        </w:rPr>
      </w:pPr>
    </w:p>
    <w:p w:rsidR="00B3487C" w:rsidRDefault="006376E9" w:rsidP="00B57139">
      <w:pPr>
        <w:jc w:val="center"/>
        <w:rPr>
          <w:rFonts w:ascii="Times New Roman" w:hAnsi="Times New Roman" w:cs="Times New Roman"/>
          <w:b/>
          <w:sz w:val="24"/>
        </w:rPr>
      </w:pPr>
      <w:r w:rsidRPr="00B57139">
        <w:rPr>
          <w:rFonts w:ascii="Times New Roman" w:hAnsi="Times New Roman" w:cs="Times New Roman"/>
          <w:noProof/>
          <w:sz w:val="24"/>
        </w:rPr>
        <mc:AlternateContent>
          <mc:Choice Requires="wps">
            <w:drawing>
              <wp:anchor distT="0" distB="0" distL="114300" distR="114300" simplePos="0" relativeHeight="251661312" behindDoc="0" locked="0" layoutInCell="1" allowOverlap="1" wp14:anchorId="65F9749B" wp14:editId="2DFB54EC">
                <wp:simplePos x="0" y="0"/>
                <wp:positionH relativeFrom="column">
                  <wp:posOffset>456565</wp:posOffset>
                </wp:positionH>
                <wp:positionV relativeFrom="paragraph">
                  <wp:posOffset>70485</wp:posOffset>
                </wp:positionV>
                <wp:extent cx="5477510" cy="615315"/>
                <wp:effectExtent l="0" t="0" r="889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7510" cy="615315"/>
                        </a:xfrm>
                        <a:prstGeom prst="rect">
                          <a:avLst/>
                        </a:prstGeom>
                        <a:solidFill>
                          <a:srgbClr val="FFFFFF"/>
                        </a:solidFill>
                        <a:ln w="9525">
                          <a:noFill/>
                          <a:miter lim="800000"/>
                          <a:headEnd/>
                          <a:tailEnd/>
                        </a:ln>
                      </wps:spPr>
                      <wps:txbx>
                        <w:txbxContent>
                          <w:p w:rsidR="00B57139" w:rsidRDefault="00B57139">
                            <w:r w:rsidRPr="00B57139">
                              <w:rPr>
                                <w:rFonts w:ascii="Times New Roman" w:hAnsi="Times New Roman" w:cs="Times New Roman"/>
                                <w:bCs/>
                                <w:i/>
                                <w:sz w:val="20"/>
                              </w:rPr>
                              <w:t>Figure 1.</w:t>
                            </w:r>
                            <w:r w:rsidRPr="00B57139">
                              <w:rPr>
                                <w:rFonts w:ascii="Times New Roman" w:hAnsi="Times New Roman" w:cs="Times New Roman"/>
                                <w:bCs/>
                                <w:sz w:val="20"/>
                              </w:rPr>
                              <w:t xml:space="preserve"> Conceptual Framework</w:t>
                            </w:r>
                            <w:r w:rsidRPr="00B57139">
                              <w:rPr>
                                <w:rFonts w:ascii="Times New Roman" w:hAnsi="Times New Roman" w:cs="Times New Roman"/>
                                <w:bCs/>
                                <w:i/>
                                <w:sz w:val="20"/>
                              </w:rPr>
                              <w:t xml:space="preserve"> </w:t>
                            </w:r>
                            <w:r w:rsidRPr="00B57139">
                              <w:rPr>
                                <w:rFonts w:ascii="Times New Roman" w:hAnsi="Times New Roman" w:cs="Times New Roman"/>
                                <w:bCs/>
                                <w:sz w:val="20"/>
                              </w:rPr>
                              <w:t>examines practitioners of post-secondary Agriculture Education on the role pedagogical content knowledge and discipline specific pedagogies play in forming a practitioner’s discipline specific content knowledge.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95pt;margin-top:5.55pt;width:431.3pt;height:48.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" stroked="f">
                <v:textbox>
                  <w:txbxContent>
                    <w:p w:rsidR="00B57139" w:rsidRDefault="00B57139">
                      <w:r w:rsidRPr="00B57139">
                        <w:rPr>
                          <w:rFonts w:ascii="Times New Roman" w:hAnsi="Times New Roman" w:cs="Times New Roman"/>
                          <w:bCs/>
                          <w:i/>
                          <w:sz w:val="20"/>
                        </w:rPr>
                        <w:t>Figure 1.</w:t>
                      </w:r>
                      <w:r w:rsidRPr="00B57139">
                        <w:rPr>
                          <w:rFonts w:ascii="Times New Roman" w:hAnsi="Times New Roman" w:cs="Times New Roman"/>
                          <w:bCs/>
                          <w:sz w:val="20"/>
                        </w:rPr>
                        <w:t xml:space="preserve"> Conceptual Framework</w:t>
                      </w:r>
                      <w:r w:rsidRPr="00B57139">
                        <w:rPr>
                          <w:rFonts w:ascii="Times New Roman" w:hAnsi="Times New Roman" w:cs="Times New Roman"/>
                          <w:bCs/>
                          <w:i/>
                          <w:sz w:val="20"/>
                        </w:rPr>
                        <w:t xml:space="preserve"> </w:t>
                      </w:r>
                      <w:r w:rsidRPr="00B57139">
                        <w:rPr>
                          <w:rFonts w:ascii="Times New Roman" w:hAnsi="Times New Roman" w:cs="Times New Roman"/>
                          <w:bCs/>
                          <w:sz w:val="20"/>
                        </w:rPr>
                        <w:t>examines practitioners of post-secondary Agriculture Education on the role pedagogical content knowledge and discipline specific pedagogies play in forming a practitioner’s discipline specific content knowledge.</w:t>
                      </w:r>
                    </w:p>
                  </w:txbxContent>
                </v:textbox>
              </v:shape>
            </w:pict>
          </mc:Fallback>
        </mc:AlternateContent>
      </w:r>
    </w:p>
    <w:p w:rsidR="00B3487C" w:rsidRDefault="00B3487C" w:rsidP="00B57139">
      <w:pPr>
        <w:jc w:val="center"/>
        <w:rPr>
          <w:rFonts w:ascii="Times New Roman" w:hAnsi="Times New Roman" w:cs="Times New Roman"/>
          <w:b/>
          <w:sz w:val="24"/>
        </w:rPr>
      </w:pPr>
    </w:p>
    <w:p w:rsidR="00B57139" w:rsidRPr="00B57139" w:rsidRDefault="00B57139" w:rsidP="00B57139">
      <w:pPr>
        <w:jc w:val="center"/>
        <w:rPr>
          <w:rFonts w:ascii="Times New Roman" w:hAnsi="Times New Roman" w:cs="Times New Roman"/>
          <w:b/>
          <w:sz w:val="24"/>
        </w:rPr>
      </w:pPr>
      <w:r w:rsidRPr="00B57139">
        <w:rPr>
          <w:rFonts w:ascii="Times New Roman" w:hAnsi="Times New Roman" w:cs="Times New Roman"/>
          <w:b/>
          <w:sz w:val="24"/>
        </w:rPr>
        <w:t>Methodology</w:t>
      </w:r>
    </w:p>
    <w:p w:rsidR="002A6F47" w:rsidRDefault="00B57139" w:rsidP="00237E11">
      <w:pPr>
        <w:spacing w:line="240" w:lineRule="auto"/>
        <w:rPr>
          <w:rFonts w:ascii="Times New Roman" w:hAnsi="Times New Roman" w:cs="Times New Roman"/>
          <w:sz w:val="24"/>
        </w:rPr>
      </w:pPr>
      <w:r w:rsidRPr="00B57139">
        <w:rPr>
          <w:rFonts w:ascii="Times New Roman" w:hAnsi="Times New Roman" w:cs="Times New Roman"/>
          <w:sz w:val="24"/>
        </w:rPr>
        <w:t xml:space="preserve">This study employed a case–study approach (Gall, Gall, &amp; Borg, 2003). The </w:t>
      </w:r>
      <w:r w:rsidR="00B3487C">
        <w:rPr>
          <w:rFonts w:ascii="Times New Roman" w:hAnsi="Times New Roman" w:cs="Times New Roman"/>
          <w:sz w:val="24"/>
        </w:rPr>
        <w:t xml:space="preserve">nine </w:t>
      </w:r>
      <w:r>
        <w:rPr>
          <w:rFonts w:ascii="Times New Roman" w:hAnsi="Times New Roman" w:cs="Times New Roman"/>
          <w:sz w:val="24"/>
        </w:rPr>
        <w:t>faculty</w:t>
      </w:r>
      <w:r w:rsidRPr="00B57139">
        <w:rPr>
          <w:rFonts w:ascii="Times New Roman" w:hAnsi="Times New Roman" w:cs="Times New Roman"/>
          <w:sz w:val="24"/>
        </w:rPr>
        <w:t xml:space="preserve"> selected to participate were deemed to be excellent teachers according to their receipt of an award honoring their teaching.</w:t>
      </w:r>
      <w:r w:rsidR="002A6F47">
        <w:rPr>
          <w:rFonts w:ascii="Times New Roman" w:hAnsi="Times New Roman" w:cs="Times New Roman"/>
          <w:sz w:val="24"/>
        </w:rPr>
        <w:t xml:space="preserve"> </w:t>
      </w:r>
      <w:r w:rsidR="002A6F47" w:rsidRPr="002A6F47">
        <w:rPr>
          <w:rFonts w:ascii="Times New Roman" w:hAnsi="Times New Roman" w:cs="Times New Roman"/>
          <w:sz w:val="24"/>
        </w:rPr>
        <w:t>Data was collected using in-depth, structured interviews.</w:t>
      </w:r>
      <w:r w:rsidR="002A6F47">
        <w:rPr>
          <w:rFonts w:ascii="Times New Roman" w:hAnsi="Times New Roman" w:cs="Times New Roman"/>
          <w:sz w:val="24"/>
        </w:rPr>
        <w:t xml:space="preserve"> </w:t>
      </w:r>
      <w:r w:rsidR="002A6F47" w:rsidRPr="002A6F47">
        <w:rPr>
          <w:rFonts w:ascii="Times New Roman" w:hAnsi="Times New Roman" w:cs="Times New Roman"/>
          <w:sz w:val="24"/>
        </w:rPr>
        <w:t xml:space="preserve">A </w:t>
      </w:r>
      <w:r w:rsidR="002A6F47" w:rsidRPr="002A6F47">
        <w:rPr>
          <w:rFonts w:ascii="Times New Roman" w:hAnsi="Times New Roman" w:cs="Times New Roman"/>
          <w:sz w:val="24"/>
        </w:rPr>
        <w:lastRenderedPageBreak/>
        <w:t>structured standardized open-ended interview method was utilized.</w:t>
      </w:r>
      <w:r w:rsidR="002A6F47">
        <w:rPr>
          <w:rFonts w:ascii="Times New Roman" w:hAnsi="Times New Roman" w:cs="Times New Roman"/>
          <w:sz w:val="24"/>
        </w:rPr>
        <w:t xml:space="preserve"> </w:t>
      </w:r>
      <w:r w:rsidR="002A6F47" w:rsidRPr="002A6F47">
        <w:rPr>
          <w:rFonts w:ascii="Times New Roman" w:hAnsi="Times New Roman" w:cs="Times New Roman"/>
          <w:sz w:val="24"/>
        </w:rPr>
        <w:t>Each interview was recorded using a digital recording device.  The recordings were then transcribed verbatim by</w:t>
      </w:r>
      <w:r w:rsidR="002A6F47">
        <w:rPr>
          <w:rFonts w:ascii="Times New Roman" w:hAnsi="Times New Roman" w:cs="Times New Roman"/>
          <w:sz w:val="24"/>
        </w:rPr>
        <w:t xml:space="preserve"> a reputable</w:t>
      </w:r>
      <w:r w:rsidR="002A6F47" w:rsidRPr="002A6F47">
        <w:rPr>
          <w:rFonts w:ascii="Times New Roman" w:hAnsi="Times New Roman" w:cs="Times New Roman"/>
          <w:sz w:val="24"/>
        </w:rPr>
        <w:t xml:space="preserve"> </w:t>
      </w:r>
      <w:r w:rsidR="002A6F47">
        <w:rPr>
          <w:rFonts w:ascii="Times New Roman" w:hAnsi="Times New Roman" w:cs="Times New Roman"/>
          <w:sz w:val="24"/>
        </w:rPr>
        <w:t xml:space="preserve">transcription service. </w:t>
      </w:r>
      <w:r w:rsidR="002A6F47" w:rsidRPr="002A6F47">
        <w:rPr>
          <w:rFonts w:ascii="Times New Roman" w:hAnsi="Times New Roman" w:cs="Times New Roman"/>
          <w:sz w:val="24"/>
        </w:rPr>
        <w:t>A short faculty questionnaire was developed at the conclusion of the interview process.  The questionnaire was utilized to provide clarity and deeper understanding of the findings in the interviews.  The main form of data</w:t>
      </w:r>
      <w:r w:rsidR="002A6F47">
        <w:rPr>
          <w:rFonts w:ascii="Times New Roman" w:hAnsi="Times New Roman" w:cs="Times New Roman"/>
          <w:sz w:val="24"/>
        </w:rPr>
        <w:t xml:space="preserve"> analysis was content analysis.</w:t>
      </w:r>
      <w:r w:rsidR="002A6F47" w:rsidRPr="002A6F47">
        <w:rPr>
          <w:rFonts w:ascii="Times New Roman" w:hAnsi="Times New Roman" w:cs="Times New Roman"/>
          <w:sz w:val="24"/>
        </w:rPr>
        <w:t xml:space="preserve"> With the amount of text generated by in-depth interviews</w:t>
      </w:r>
      <w:r w:rsidR="002A6F47">
        <w:rPr>
          <w:rFonts w:ascii="Times New Roman" w:hAnsi="Times New Roman" w:cs="Times New Roman"/>
          <w:sz w:val="24"/>
        </w:rPr>
        <w:t xml:space="preserve"> and the questionnaire</w:t>
      </w:r>
      <w:r w:rsidR="002A6F47" w:rsidRPr="002A6F47">
        <w:rPr>
          <w:rFonts w:ascii="Times New Roman" w:hAnsi="Times New Roman" w:cs="Times New Roman"/>
          <w:sz w:val="24"/>
        </w:rPr>
        <w:t xml:space="preserve">, constant comparative data analysis was used. In this method, each occurrence in the data </w:t>
      </w:r>
      <w:r w:rsidR="002A6F47">
        <w:rPr>
          <w:rFonts w:ascii="Times New Roman" w:hAnsi="Times New Roman" w:cs="Times New Roman"/>
          <w:sz w:val="24"/>
        </w:rPr>
        <w:t>was</w:t>
      </w:r>
      <w:r w:rsidR="002A6F47" w:rsidRPr="002A6F47">
        <w:rPr>
          <w:rFonts w:ascii="Times New Roman" w:hAnsi="Times New Roman" w:cs="Times New Roman"/>
          <w:sz w:val="24"/>
        </w:rPr>
        <w:t xml:space="preserve"> compared with other incidents for similarities and differences, thus generating as many themes of analysis as possible (Corbin &amp; Strauss, 2008).</w:t>
      </w:r>
    </w:p>
    <w:p w:rsidR="002A6F47" w:rsidRPr="002A6F47" w:rsidRDefault="002A6F47" w:rsidP="000C1CC6">
      <w:pPr>
        <w:spacing w:line="240" w:lineRule="auto"/>
        <w:jc w:val="center"/>
        <w:rPr>
          <w:rFonts w:ascii="Times New Roman" w:hAnsi="Times New Roman" w:cs="Times New Roman"/>
          <w:b/>
          <w:sz w:val="24"/>
        </w:rPr>
      </w:pPr>
      <w:r w:rsidRPr="002A6F47">
        <w:rPr>
          <w:rFonts w:ascii="Times New Roman" w:hAnsi="Times New Roman" w:cs="Times New Roman"/>
          <w:b/>
          <w:sz w:val="24"/>
        </w:rPr>
        <w:t>Results/Findings</w:t>
      </w:r>
    </w:p>
    <w:p w:rsidR="00B57139" w:rsidRDefault="00B3487C" w:rsidP="000C1CC6">
      <w:pPr>
        <w:spacing w:line="240" w:lineRule="auto"/>
        <w:rPr>
          <w:rFonts w:ascii="Times New Roman" w:hAnsi="Times New Roman" w:cs="Times New Roman"/>
          <w:sz w:val="24"/>
        </w:rPr>
      </w:pPr>
      <w:r>
        <w:rPr>
          <w:rFonts w:ascii="Times New Roman" w:hAnsi="Times New Roman" w:cs="Times New Roman"/>
          <w:sz w:val="24"/>
        </w:rPr>
        <w:t xml:space="preserve">Table 1 provides the </w:t>
      </w:r>
      <w:r w:rsidRPr="00B3487C">
        <w:rPr>
          <w:rFonts w:ascii="Times New Roman" w:hAnsi="Times New Roman" w:cs="Times New Roman"/>
          <w:sz w:val="24"/>
        </w:rPr>
        <w:t>perceived discipline specific pedagogy as presented by the respective faculty member</w:t>
      </w:r>
      <w:r w:rsidR="006376E9">
        <w:rPr>
          <w:rFonts w:ascii="Times New Roman" w:hAnsi="Times New Roman" w:cs="Times New Roman"/>
          <w:sz w:val="24"/>
        </w:rPr>
        <w:t xml:space="preserve"> for their respective discipline</w:t>
      </w:r>
      <w:r>
        <w:rPr>
          <w:rFonts w:ascii="Times New Roman" w:hAnsi="Times New Roman" w:cs="Times New Roman"/>
          <w:sz w:val="24"/>
        </w:rPr>
        <w:t>.</w:t>
      </w:r>
    </w:p>
    <w:p w:rsidR="00B3487C" w:rsidRPr="00B3487C" w:rsidRDefault="00B3487C" w:rsidP="00B3487C">
      <w:pPr>
        <w:rPr>
          <w:rFonts w:ascii="Times New Roman" w:hAnsi="Times New Roman" w:cs="Times New Roman"/>
          <w:bCs/>
          <w:sz w:val="20"/>
        </w:rPr>
      </w:pPr>
      <w:bookmarkStart w:id="1" w:name="_Toc424207037"/>
      <w:bookmarkStart w:id="2" w:name="_Toc424207025"/>
      <w:bookmarkStart w:id="3" w:name="_Toc424894050"/>
      <w:r w:rsidRPr="00B3487C">
        <w:rPr>
          <w:rFonts w:ascii="Times New Roman" w:hAnsi="Times New Roman" w:cs="Times New Roman"/>
          <w:bCs/>
          <w:sz w:val="20"/>
        </w:rPr>
        <w:t xml:space="preserve">Table </w:t>
      </w:r>
      <w:r w:rsidRPr="00B3487C">
        <w:rPr>
          <w:rFonts w:ascii="Times New Roman" w:hAnsi="Times New Roman" w:cs="Times New Roman"/>
          <w:bCs/>
          <w:sz w:val="20"/>
        </w:rPr>
        <w:fldChar w:fldCharType="begin"/>
      </w:r>
      <w:r w:rsidRPr="00B3487C">
        <w:rPr>
          <w:rFonts w:ascii="Times New Roman" w:hAnsi="Times New Roman" w:cs="Times New Roman"/>
          <w:bCs/>
          <w:sz w:val="20"/>
        </w:rPr>
        <w:instrText xml:space="preserve"> SEQ Table \* ARABIC </w:instrText>
      </w:r>
      <w:r w:rsidRPr="00B3487C">
        <w:rPr>
          <w:rFonts w:ascii="Times New Roman" w:hAnsi="Times New Roman" w:cs="Times New Roman"/>
          <w:bCs/>
          <w:sz w:val="20"/>
        </w:rPr>
        <w:fldChar w:fldCharType="separate"/>
      </w:r>
      <w:r w:rsidRPr="00B3487C">
        <w:rPr>
          <w:rFonts w:ascii="Times New Roman" w:hAnsi="Times New Roman" w:cs="Times New Roman"/>
          <w:bCs/>
          <w:sz w:val="20"/>
        </w:rPr>
        <w:t>1</w:t>
      </w:r>
      <w:r w:rsidRPr="00B3487C">
        <w:rPr>
          <w:rFonts w:ascii="Times New Roman" w:hAnsi="Times New Roman" w:cs="Times New Roman"/>
          <w:bCs/>
          <w:sz w:val="20"/>
        </w:rPr>
        <w:fldChar w:fldCharType="end"/>
      </w:r>
      <w:r w:rsidRPr="00B3487C">
        <w:rPr>
          <w:rFonts w:ascii="Times New Roman" w:hAnsi="Times New Roman" w:cs="Times New Roman"/>
          <w:bCs/>
          <w:sz w:val="20"/>
        </w:rPr>
        <w:t xml:space="preserve">. </w:t>
      </w:r>
      <w:r w:rsidRPr="00B3487C">
        <w:rPr>
          <w:rFonts w:ascii="Times New Roman" w:hAnsi="Times New Roman" w:cs="Times New Roman"/>
          <w:bCs/>
          <w:i/>
          <w:sz w:val="20"/>
        </w:rPr>
        <w:t xml:space="preserve">Perceived Discipline Specific Pedagogies by </w:t>
      </w:r>
      <w:r>
        <w:rPr>
          <w:rFonts w:ascii="Times New Roman" w:hAnsi="Times New Roman" w:cs="Times New Roman"/>
          <w:bCs/>
          <w:i/>
          <w:sz w:val="20"/>
        </w:rPr>
        <w:t>Award-winning</w:t>
      </w:r>
      <w:r w:rsidRPr="00B3487C">
        <w:rPr>
          <w:rFonts w:ascii="Times New Roman" w:hAnsi="Times New Roman" w:cs="Times New Roman"/>
          <w:bCs/>
          <w:i/>
          <w:sz w:val="20"/>
        </w:rPr>
        <w:t xml:space="preserve"> Faculty</w:t>
      </w:r>
      <w:bookmarkEnd w:id="1"/>
    </w:p>
    <w:tbl>
      <w:tblPr>
        <w:tblStyle w:val="TableGrid"/>
        <w:tblW w:w="0" w:type="auto"/>
        <w:tblBorders>
          <w:left w:val="none" w:sz="0" w:space="0" w:color="auto"/>
          <w:right w:val="none" w:sz="0" w:space="0" w:color="auto"/>
        </w:tblBorders>
        <w:tblLook w:val="04A0" w:firstRow="1" w:lastRow="0" w:firstColumn="1" w:lastColumn="0" w:noHBand="0" w:noVBand="1"/>
      </w:tblPr>
      <w:tblGrid>
        <w:gridCol w:w="4428"/>
        <w:gridCol w:w="4428"/>
      </w:tblGrid>
      <w:tr w:rsidR="00B3487C" w:rsidRPr="00B3487C" w:rsidTr="00D763ED">
        <w:tc>
          <w:tcPr>
            <w:tcW w:w="4428" w:type="dxa"/>
            <w:tcBorders>
              <w:bottom w:val="single" w:sz="4" w:space="0" w:color="auto"/>
              <w:right w:val="nil"/>
            </w:tcBorders>
            <w:vAlign w:val="center"/>
          </w:tcPr>
          <w:p w:rsidR="00B3487C" w:rsidRPr="00B3487C" w:rsidRDefault="00B3487C" w:rsidP="00B3487C">
            <w:pPr>
              <w:spacing w:after="200" w:line="276" w:lineRule="auto"/>
              <w:rPr>
                <w:rFonts w:ascii="Times New Roman" w:hAnsi="Times New Roman" w:cs="Times New Roman"/>
                <w:b/>
                <w:bCs/>
                <w:sz w:val="20"/>
              </w:rPr>
            </w:pPr>
            <w:r w:rsidRPr="00B3487C">
              <w:rPr>
                <w:rFonts w:ascii="Times New Roman" w:hAnsi="Times New Roman" w:cs="Times New Roman"/>
                <w:b/>
                <w:bCs/>
                <w:sz w:val="20"/>
              </w:rPr>
              <w:t>Discipline</w:t>
            </w:r>
          </w:p>
        </w:tc>
        <w:tc>
          <w:tcPr>
            <w:tcW w:w="4428" w:type="dxa"/>
            <w:tcBorders>
              <w:left w:val="nil"/>
              <w:bottom w:val="single" w:sz="4" w:space="0" w:color="auto"/>
            </w:tcBorders>
            <w:vAlign w:val="center"/>
          </w:tcPr>
          <w:p w:rsidR="00B3487C" w:rsidRPr="00B3487C" w:rsidRDefault="00B3487C" w:rsidP="00B3487C">
            <w:pPr>
              <w:spacing w:after="200" w:line="276" w:lineRule="auto"/>
              <w:rPr>
                <w:rFonts w:ascii="Times New Roman" w:hAnsi="Times New Roman" w:cs="Times New Roman"/>
                <w:b/>
                <w:bCs/>
                <w:sz w:val="20"/>
              </w:rPr>
            </w:pPr>
            <w:r w:rsidRPr="00B3487C">
              <w:rPr>
                <w:rFonts w:ascii="Times New Roman" w:hAnsi="Times New Roman" w:cs="Times New Roman"/>
                <w:b/>
                <w:bCs/>
                <w:sz w:val="20"/>
              </w:rPr>
              <w:t>Discipline Specific Pedagogy</w:t>
            </w:r>
          </w:p>
        </w:tc>
      </w:tr>
      <w:tr w:rsidR="00B3487C" w:rsidRPr="00B3487C" w:rsidTr="00D763ED">
        <w:trPr>
          <w:trHeight w:val="450"/>
        </w:trPr>
        <w:tc>
          <w:tcPr>
            <w:tcW w:w="4428" w:type="dxa"/>
            <w:tcBorders>
              <w:top w:val="nil"/>
              <w:bottom w:val="nil"/>
              <w:right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Agricultural and Extension Education</w:t>
            </w:r>
          </w:p>
        </w:tc>
        <w:tc>
          <w:tcPr>
            <w:tcW w:w="4428" w:type="dxa"/>
            <w:tcBorders>
              <w:top w:val="nil"/>
              <w:left w:val="nil"/>
              <w:bottom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Problem-based Learning</w:t>
            </w:r>
          </w:p>
        </w:tc>
      </w:tr>
      <w:tr w:rsidR="00B3487C" w:rsidRPr="00B3487C" w:rsidTr="00D763ED">
        <w:trPr>
          <w:trHeight w:val="450"/>
        </w:trPr>
        <w:tc>
          <w:tcPr>
            <w:tcW w:w="4428" w:type="dxa"/>
            <w:tcBorders>
              <w:top w:val="nil"/>
              <w:bottom w:val="nil"/>
              <w:right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Agroecology</w:t>
            </w:r>
          </w:p>
        </w:tc>
        <w:tc>
          <w:tcPr>
            <w:tcW w:w="4428" w:type="dxa"/>
            <w:tcBorders>
              <w:top w:val="nil"/>
              <w:left w:val="nil"/>
              <w:bottom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Hands-on/Active Learning</w:t>
            </w:r>
          </w:p>
        </w:tc>
      </w:tr>
      <w:tr w:rsidR="00B3487C" w:rsidRPr="00B3487C" w:rsidTr="00D763ED">
        <w:trPr>
          <w:trHeight w:val="540"/>
        </w:trPr>
        <w:tc>
          <w:tcPr>
            <w:tcW w:w="4428" w:type="dxa"/>
            <w:tcBorders>
              <w:top w:val="nil"/>
              <w:bottom w:val="nil"/>
              <w:right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Agronomy</w:t>
            </w:r>
          </w:p>
        </w:tc>
        <w:tc>
          <w:tcPr>
            <w:tcW w:w="4428" w:type="dxa"/>
            <w:tcBorders>
              <w:top w:val="nil"/>
              <w:left w:val="nil"/>
              <w:bottom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 xml:space="preserve">Experiential </w:t>
            </w:r>
          </w:p>
        </w:tc>
      </w:tr>
      <w:tr w:rsidR="00B3487C" w:rsidRPr="00B3487C" w:rsidTr="00D763ED">
        <w:trPr>
          <w:trHeight w:val="341"/>
        </w:trPr>
        <w:tc>
          <w:tcPr>
            <w:tcW w:w="4428" w:type="dxa"/>
            <w:tcBorders>
              <w:top w:val="nil"/>
              <w:bottom w:val="nil"/>
              <w:right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Equine Science</w:t>
            </w:r>
          </w:p>
        </w:tc>
        <w:tc>
          <w:tcPr>
            <w:tcW w:w="4428" w:type="dxa"/>
            <w:tcBorders>
              <w:top w:val="nil"/>
              <w:left w:val="nil"/>
              <w:bottom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None</w:t>
            </w:r>
          </w:p>
        </w:tc>
      </w:tr>
      <w:tr w:rsidR="00B3487C" w:rsidRPr="00B3487C" w:rsidTr="00D763ED">
        <w:trPr>
          <w:trHeight w:val="441"/>
        </w:trPr>
        <w:tc>
          <w:tcPr>
            <w:tcW w:w="4428" w:type="dxa"/>
            <w:tcBorders>
              <w:top w:val="nil"/>
              <w:bottom w:val="nil"/>
              <w:right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Landscape Architecture</w:t>
            </w:r>
          </w:p>
        </w:tc>
        <w:tc>
          <w:tcPr>
            <w:tcW w:w="4428" w:type="dxa"/>
            <w:tcBorders>
              <w:top w:val="nil"/>
              <w:left w:val="nil"/>
              <w:bottom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Project-based; problem-based; Experiential</w:t>
            </w:r>
          </w:p>
        </w:tc>
      </w:tr>
      <w:tr w:rsidR="00B3487C" w:rsidRPr="00B3487C" w:rsidTr="00B3487C">
        <w:trPr>
          <w:trHeight w:val="351"/>
        </w:trPr>
        <w:tc>
          <w:tcPr>
            <w:tcW w:w="4428" w:type="dxa"/>
            <w:tcBorders>
              <w:top w:val="nil"/>
              <w:bottom w:val="nil"/>
              <w:right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Rural Sociology</w:t>
            </w:r>
          </w:p>
        </w:tc>
        <w:tc>
          <w:tcPr>
            <w:tcW w:w="4428" w:type="dxa"/>
            <w:tcBorders>
              <w:top w:val="nil"/>
              <w:left w:val="nil"/>
              <w:bottom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Promote critical thinking</w:t>
            </w:r>
          </w:p>
        </w:tc>
      </w:tr>
      <w:tr w:rsidR="00B3487C" w:rsidRPr="00B3487C" w:rsidTr="00B3487C">
        <w:trPr>
          <w:trHeight w:val="495"/>
        </w:trPr>
        <w:tc>
          <w:tcPr>
            <w:tcW w:w="4428" w:type="dxa"/>
            <w:tcBorders>
              <w:top w:val="nil"/>
              <w:bottom w:val="nil"/>
              <w:right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Small Animal Science</w:t>
            </w:r>
          </w:p>
        </w:tc>
        <w:tc>
          <w:tcPr>
            <w:tcW w:w="4428" w:type="dxa"/>
            <w:tcBorders>
              <w:top w:val="nil"/>
              <w:left w:val="nil"/>
              <w:bottom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Active Learning; Lecture; Laboratory/Hands-on experiences</w:t>
            </w:r>
          </w:p>
        </w:tc>
      </w:tr>
      <w:tr w:rsidR="00B3487C" w:rsidRPr="00B3487C" w:rsidTr="00B3487C">
        <w:trPr>
          <w:trHeight w:val="306"/>
        </w:trPr>
        <w:tc>
          <w:tcPr>
            <w:tcW w:w="4428" w:type="dxa"/>
            <w:tcBorders>
              <w:top w:val="nil"/>
              <w:bottom w:val="single" w:sz="4" w:space="0" w:color="auto"/>
              <w:right w:val="nil"/>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Soil Biogeochemistry/Environmental Science</w:t>
            </w:r>
          </w:p>
        </w:tc>
        <w:tc>
          <w:tcPr>
            <w:tcW w:w="4428" w:type="dxa"/>
            <w:tcBorders>
              <w:top w:val="nil"/>
              <w:left w:val="nil"/>
              <w:bottom w:val="single" w:sz="4" w:space="0" w:color="auto"/>
            </w:tcBorders>
            <w:vAlign w:val="center"/>
          </w:tcPr>
          <w:p w:rsidR="00B3487C" w:rsidRPr="00B3487C" w:rsidRDefault="00B3487C" w:rsidP="00B3487C">
            <w:pPr>
              <w:spacing w:after="200" w:line="276" w:lineRule="auto"/>
              <w:rPr>
                <w:rFonts w:ascii="Times New Roman" w:hAnsi="Times New Roman" w:cs="Times New Roman"/>
                <w:bCs/>
                <w:sz w:val="20"/>
              </w:rPr>
            </w:pPr>
            <w:r w:rsidRPr="00B3487C">
              <w:rPr>
                <w:rFonts w:ascii="Times New Roman" w:hAnsi="Times New Roman" w:cs="Times New Roman"/>
                <w:bCs/>
                <w:sz w:val="20"/>
              </w:rPr>
              <w:t>Field methods, case studies, virtual field experience</w:t>
            </w:r>
          </w:p>
        </w:tc>
      </w:tr>
    </w:tbl>
    <w:bookmarkEnd w:id="2"/>
    <w:bookmarkEnd w:id="3"/>
    <w:p w:rsidR="00B57139" w:rsidRPr="00B3487C" w:rsidRDefault="000C1CC6" w:rsidP="00B3487C">
      <w:pPr>
        <w:jc w:val="center"/>
        <w:rPr>
          <w:rFonts w:ascii="Times New Roman" w:hAnsi="Times New Roman" w:cs="Times New Roman"/>
          <w:b/>
          <w:sz w:val="24"/>
        </w:rPr>
      </w:pPr>
      <w:r>
        <w:rPr>
          <w:rFonts w:ascii="Times New Roman" w:hAnsi="Times New Roman" w:cs="Times New Roman"/>
          <w:b/>
          <w:sz w:val="24"/>
        </w:rPr>
        <w:br/>
      </w:r>
      <w:r w:rsidR="00B3487C" w:rsidRPr="00B3487C">
        <w:rPr>
          <w:rFonts w:ascii="Times New Roman" w:hAnsi="Times New Roman" w:cs="Times New Roman"/>
          <w:b/>
          <w:sz w:val="24"/>
        </w:rPr>
        <w:t>Conclusions/Implications/Recommendations</w:t>
      </w:r>
    </w:p>
    <w:p w:rsidR="00B3487C" w:rsidRDefault="00B3487C" w:rsidP="00B3487C">
      <w:pPr>
        <w:rPr>
          <w:rFonts w:ascii="Times New Roman" w:hAnsi="Times New Roman" w:cs="Times New Roman"/>
          <w:sz w:val="24"/>
        </w:rPr>
      </w:pPr>
      <w:r w:rsidRPr="00B3487C">
        <w:rPr>
          <w:rFonts w:ascii="Times New Roman" w:hAnsi="Times New Roman" w:cs="Times New Roman"/>
          <w:sz w:val="24"/>
        </w:rPr>
        <w:t>The faculty’s perceptions of their discipline specific pedagogy included both subject-specific strategies and topic-specific strategies.</w:t>
      </w:r>
      <w:r>
        <w:rPr>
          <w:rFonts w:ascii="Times New Roman" w:hAnsi="Times New Roman" w:cs="Times New Roman"/>
          <w:sz w:val="24"/>
        </w:rPr>
        <w:t xml:space="preserve"> </w:t>
      </w:r>
      <w:r w:rsidRPr="00B3487C">
        <w:rPr>
          <w:rFonts w:ascii="Times New Roman" w:hAnsi="Times New Roman" w:cs="Times New Roman"/>
          <w:sz w:val="24"/>
        </w:rPr>
        <w:t>The participants were able to articulate clearly the instructional practices they use within their classrooms; however, there is insufficient description from the faculty to label the strategies a discipline-specific pedagogy.</w:t>
      </w:r>
      <w:r w:rsidRPr="00B3487C">
        <w:rPr>
          <w:rFonts w:ascii="Times New Roman" w:eastAsia="Times New Roman" w:hAnsi="Times New Roman" w:cs="Times New Roman"/>
          <w:szCs w:val="24"/>
        </w:rPr>
        <w:t xml:space="preserve"> </w:t>
      </w:r>
      <w:r w:rsidRPr="00B3487C">
        <w:rPr>
          <w:rFonts w:ascii="Times New Roman" w:hAnsi="Times New Roman" w:cs="Times New Roman"/>
          <w:sz w:val="24"/>
        </w:rPr>
        <w:t xml:space="preserve">Shulman </w:t>
      </w:r>
      <w:r>
        <w:rPr>
          <w:rFonts w:ascii="Times New Roman" w:hAnsi="Times New Roman" w:cs="Times New Roman"/>
          <w:sz w:val="24"/>
        </w:rPr>
        <w:t xml:space="preserve">(2005) </w:t>
      </w:r>
      <w:r w:rsidRPr="00B3487C">
        <w:rPr>
          <w:rFonts w:ascii="Times New Roman" w:hAnsi="Times New Roman" w:cs="Times New Roman"/>
          <w:sz w:val="24"/>
        </w:rPr>
        <w:t>discusses the three dimensions of signature pedagogy, which include a surface structure, a deep structure, and an implicit structure. Although this study has definitely identified the three structures used to formulate a signature pedagogy, it was the opinion of one individual within each respective field. A recommendation for further research would be to measure the discipline specific pedagogies against industry demands and if students are graduating with the knowledge, skills, and dispositions required for careers in their respective discipline.</w:t>
      </w:r>
    </w:p>
    <w:p w:rsidR="006376E9" w:rsidRDefault="006376E9" w:rsidP="006376E9">
      <w:pPr>
        <w:jc w:val="center"/>
        <w:rPr>
          <w:rFonts w:ascii="Times New Roman" w:hAnsi="Times New Roman" w:cs="Times New Roman"/>
          <w:b/>
          <w:sz w:val="24"/>
        </w:rPr>
      </w:pPr>
      <w:r w:rsidRPr="006376E9">
        <w:rPr>
          <w:rFonts w:ascii="Times New Roman" w:hAnsi="Times New Roman" w:cs="Times New Roman"/>
          <w:b/>
          <w:sz w:val="24"/>
        </w:rPr>
        <w:lastRenderedPageBreak/>
        <w:t>References</w:t>
      </w:r>
    </w:p>
    <w:p w:rsidR="006376E9" w:rsidRDefault="006376E9" w:rsidP="006376E9">
      <w:pPr>
        <w:tabs>
          <w:tab w:val="left" w:pos="720"/>
        </w:tabs>
        <w:suppressAutoHyphens/>
        <w:spacing w:after="0" w:line="240" w:lineRule="auto"/>
        <w:ind w:left="720" w:hanging="720"/>
        <w:rPr>
          <w:rFonts w:ascii="Times New Roman" w:eastAsia="Times New Roman" w:hAnsi="Times New Roman" w:cs="Times New Roman"/>
          <w:sz w:val="24"/>
          <w:szCs w:val="24"/>
        </w:rPr>
      </w:pPr>
      <w:r w:rsidRPr="006376E9">
        <w:rPr>
          <w:rFonts w:ascii="Times New Roman" w:eastAsia="Times New Roman" w:hAnsi="Times New Roman" w:cs="Times New Roman"/>
          <w:sz w:val="24"/>
          <w:szCs w:val="24"/>
        </w:rPr>
        <w:t xml:space="preserve">Corbin, J., &amp; Strauss, A. (2008). </w:t>
      </w:r>
      <w:r w:rsidRPr="006376E9">
        <w:rPr>
          <w:rFonts w:ascii="Times New Roman" w:eastAsia="Times New Roman" w:hAnsi="Times New Roman" w:cs="Times New Roman"/>
          <w:i/>
          <w:iCs/>
          <w:sz w:val="24"/>
          <w:szCs w:val="24"/>
        </w:rPr>
        <w:t>Basics of qualitative research</w:t>
      </w:r>
      <w:r w:rsidRPr="006376E9">
        <w:rPr>
          <w:rFonts w:ascii="Times New Roman" w:eastAsia="Times New Roman" w:hAnsi="Times New Roman" w:cs="Times New Roman"/>
          <w:sz w:val="24"/>
          <w:szCs w:val="24"/>
        </w:rPr>
        <w:t>. Thousand Oaks: Sage Publications Inc.</w:t>
      </w:r>
    </w:p>
    <w:p w:rsidR="006376E9" w:rsidRPr="006376E9" w:rsidRDefault="006376E9" w:rsidP="006376E9">
      <w:pPr>
        <w:tabs>
          <w:tab w:val="left" w:pos="720"/>
        </w:tabs>
        <w:suppressAutoHyphens/>
        <w:spacing w:after="0" w:line="240" w:lineRule="auto"/>
        <w:ind w:left="720" w:hanging="720"/>
        <w:rPr>
          <w:rFonts w:ascii="Times New Roman" w:eastAsia="Times New Roman" w:hAnsi="Times New Roman" w:cs="Times New Roman"/>
          <w:sz w:val="24"/>
          <w:szCs w:val="24"/>
        </w:rPr>
      </w:pPr>
    </w:p>
    <w:p w:rsidR="006376E9" w:rsidRDefault="006376E9" w:rsidP="006376E9">
      <w:pPr>
        <w:tabs>
          <w:tab w:val="left" w:pos="720"/>
        </w:tabs>
        <w:suppressAutoHyphens/>
        <w:spacing w:after="0" w:line="240" w:lineRule="auto"/>
        <w:ind w:left="720" w:hanging="720"/>
        <w:rPr>
          <w:rFonts w:ascii="Times New Roman" w:eastAsia="Times New Roman" w:hAnsi="Times New Roman" w:cs="Times New Roman"/>
          <w:sz w:val="24"/>
          <w:szCs w:val="24"/>
        </w:rPr>
      </w:pPr>
      <w:r w:rsidRPr="006376E9">
        <w:rPr>
          <w:rFonts w:ascii="Times New Roman" w:eastAsia="Times New Roman" w:hAnsi="Times New Roman" w:cs="Times New Roman"/>
          <w:sz w:val="24"/>
          <w:szCs w:val="24"/>
        </w:rPr>
        <w:t xml:space="preserve">Doerfert, D. L. (2011). </w:t>
      </w:r>
      <w:r w:rsidRPr="006376E9">
        <w:rPr>
          <w:rFonts w:ascii="Times New Roman" w:eastAsia="Times New Roman" w:hAnsi="Times New Roman" w:cs="Times New Roman"/>
          <w:i/>
          <w:sz w:val="24"/>
          <w:szCs w:val="24"/>
        </w:rPr>
        <w:t>National research agenda: American Association for Agricultural Education’s research priority areas for 2011-2015</w:t>
      </w:r>
      <w:r w:rsidRPr="006376E9">
        <w:rPr>
          <w:rFonts w:ascii="Times New Roman" w:eastAsia="Times New Roman" w:hAnsi="Times New Roman" w:cs="Times New Roman"/>
          <w:sz w:val="24"/>
          <w:szCs w:val="24"/>
        </w:rPr>
        <w:t>. In T. T. University (Ed.). Lubbock, TX: Department of Agricultural Education and Communications.</w:t>
      </w:r>
    </w:p>
    <w:p w:rsidR="006376E9" w:rsidRDefault="006376E9" w:rsidP="006376E9">
      <w:pPr>
        <w:tabs>
          <w:tab w:val="left" w:pos="720"/>
        </w:tabs>
        <w:suppressAutoHyphens/>
        <w:spacing w:after="0" w:line="240" w:lineRule="auto"/>
        <w:ind w:left="720" w:hanging="720"/>
        <w:rPr>
          <w:rFonts w:ascii="Times New Roman" w:eastAsia="Times New Roman" w:hAnsi="Times New Roman" w:cs="Times New Roman"/>
          <w:sz w:val="24"/>
          <w:szCs w:val="24"/>
        </w:rPr>
      </w:pPr>
    </w:p>
    <w:p w:rsidR="006376E9" w:rsidRDefault="006376E9" w:rsidP="006376E9">
      <w:pPr>
        <w:tabs>
          <w:tab w:val="left" w:pos="720"/>
        </w:tabs>
        <w:suppressAutoHyphens/>
        <w:spacing w:after="0" w:line="240" w:lineRule="auto"/>
        <w:ind w:left="720" w:hanging="720"/>
        <w:rPr>
          <w:rFonts w:ascii="Times New Roman" w:eastAsia="Times New Roman" w:hAnsi="Times New Roman" w:cs="Times New Roman"/>
          <w:sz w:val="24"/>
          <w:szCs w:val="24"/>
        </w:rPr>
      </w:pPr>
      <w:r w:rsidRPr="006376E9">
        <w:rPr>
          <w:rFonts w:ascii="Times New Roman" w:eastAsia="Times New Roman" w:hAnsi="Times New Roman" w:cs="Times New Roman"/>
          <w:sz w:val="24"/>
          <w:szCs w:val="24"/>
        </w:rPr>
        <w:t xml:space="preserve">Gall, M. D., Gall, J. P., &amp; Borg, W. R. (2003). </w:t>
      </w:r>
      <w:r w:rsidRPr="006376E9">
        <w:rPr>
          <w:rFonts w:ascii="Times New Roman" w:eastAsia="Times New Roman" w:hAnsi="Times New Roman" w:cs="Times New Roman"/>
          <w:i/>
          <w:iCs/>
          <w:sz w:val="24"/>
          <w:szCs w:val="24"/>
        </w:rPr>
        <w:t xml:space="preserve">Educational research: An introduction </w:t>
      </w:r>
      <w:r w:rsidRPr="006376E9">
        <w:rPr>
          <w:rFonts w:ascii="Times New Roman" w:eastAsia="Times New Roman" w:hAnsi="Times New Roman" w:cs="Times New Roman"/>
          <w:sz w:val="24"/>
          <w:szCs w:val="24"/>
        </w:rPr>
        <w:t>(7th ed.). Boston, MA: A &amp; B Publications.</w:t>
      </w:r>
    </w:p>
    <w:p w:rsidR="000C1CC6" w:rsidRDefault="000C1CC6" w:rsidP="006376E9">
      <w:pPr>
        <w:tabs>
          <w:tab w:val="left" w:pos="720"/>
        </w:tabs>
        <w:suppressAutoHyphens/>
        <w:spacing w:after="0" w:line="240" w:lineRule="auto"/>
        <w:ind w:left="720" w:hanging="720"/>
        <w:rPr>
          <w:rFonts w:ascii="Times New Roman" w:eastAsia="Times New Roman" w:hAnsi="Times New Roman" w:cs="Times New Roman"/>
          <w:sz w:val="24"/>
          <w:szCs w:val="24"/>
        </w:rPr>
      </w:pPr>
    </w:p>
    <w:p w:rsidR="000C1CC6" w:rsidRDefault="000C1CC6" w:rsidP="000C1CC6">
      <w:pPr>
        <w:tabs>
          <w:tab w:val="left" w:pos="720"/>
        </w:tabs>
        <w:suppressAutoHyphens/>
        <w:spacing w:after="0" w:line="240" w:lineRule="auto"/>
        <w:ind w:left="720" w:hanging="720"/>
        <w:rPr>
          <w:rFonts w:ascii="Times New Roman" w:eastAsia="Times New Roman" w:hAnsi="Times New Roman" w:cs="Times New Roman"/>
          <w:sz w:val="24"/>
          <w:szCs w:val="24"/>
        </w:rPr>
      </w:pPr>
      <w:r w:rsidRPr="000C1CC6">
        <w:rPr>
          <w:rFonts w:ascii="Times New Roman" w:eastAsia="Times New Roman" w:hAnsi="Times New Roman" w:cs="Times New Roman"/>
          <w:sz w:val="24"/>
          <w:szCs w:val="24"/>
        </w:rPr>
        <w:t xml:space="preserve">Shulman, L. S., (1986). Those who understand: Knowledge growth in teaching.. </w:t>
      </w:r>
      <w:r w:rsidRPr="000C1CC6">
        <w:rPr>
          <w:rFonts w:ascii="Times New Roman" w:eastAsia="Times New Roman" w:hAnsi="Times New Roman" w:cs="Times New Roman"/>
          <w:i/>
          <w:sz w:val="24"/>
          <w:szCs w:val="24"/>
        </w:rPr>
        <w:t>Educational Researcher, 15</w:t>
      </w:r>
      <w:r w:rsidRPr="000C1CC6">
        <w:rPr>
          <w:rFonts w:ascii="Times New Roman" w:eastAsia="Times New Roman" w:hAnsi="Times New Roman" w:cs="Times New Roman"/>
          <w:sz w:val="24"/>
          <w:szCs w:val="24"/>
        </w:rPr>
        <w:t>(2), 4-14.</w:t>
      </w:r>
    </w:p>
    <w:p w:rsidR="000C1CC6" w:rsidRPr="000C1CC6" w:rsidRDefault="000C1CC6" w:rsidP="000C1CC6">
      <w:pPr>
        <w:tabs>
          <w:tab w:val="left" w:pos="720"/>
        </w:tabs>
        <w:suppressAutoHyphens/>
        <w:spacing w:after="0" w:line="240" w:lineRule="auto"/>
        <w:ind w:left="720" w:hanging="720"/>
        <w:rPr>
          <w:rFonts w:ascii="Times New Roman" w:eastAsia="Times New Roman" w:hAnsi="Times New Roman" w:cs="Times New Roman"/>
          <w:sz w:val="24"/>
          <w:szCs w:val="24"/>
        </w:rPr>
      </w:pPr>
    </w:p>
    <w:p w:rsidR="000C1CC6" w:rsidRPr="000C1CC6" w:rsidRDefault="000C1CC6" w:rsidP="000C1CC6">
      <w:pPr>
        <w:tabs>
          <w:tab w:val="left" w:pos="720"/>
        </w:tabs>
        <w:suppressAutoHyphens/>
        <w:spacing w:after="0" w:line="240" w:lineRule="auto"/>
        <w:ind w:left="720" w:hanging="720"/>
        <w:rPr>
          <w:rFonts w:ascii="Times New Roman" w:eastAsia="Times New Roman" w:hAnsi="Times New Roman" w:cs="Times New Roman"/>
          <w:sz w:val="24"/>
          <w:szCs w:val="24"/>
        </w:rPr>
      </w:pPr>
      <w:r w:rsidRPr="000C1CC6">
        <w:rPr>
          <w:rFonts w:ascii="Times New Roman" w:eastAsia="Times New Roman" w:hAnsi="Times New Roman" w:cs="Times New Roman"/>
          <w:sz w:val="24"/>
          <w:szCs w:val="24"/>
        </w:rPr>
        <w:t xml:space="preserve">Shulman, L. S. (1987). Knowledge and teaching: Foundations of the new reform. </w:t>
      </w:r>
      <w:r w:rsidRPr="000C1CC6">
        <w:rPr>
          <w:rFonts w:ascii="Times New Roman" w:eastAsia="Times New Roman" w:hAnsi="Times New Roman" w:cs="Times New Roman"/>
          <w:i/>
          <w:iCs/>
          <w:sz w:val="24"/>
          <w:szCs w:val="24"/>
        </w:rPr>
        <w:t>Harvard Educational Review, 57</w:t>
      </w:r>
      <w:r w:rsidRPr="000C1CC6">
        <w:rPr>
          <w:rFonts w:ascii="Times New Roman" w:eastAsia="Times New Roman" w:hAnsi="Times New Roman" w:cs="Times New Roman"/>
          <w:sz w:val="24"/>
          <w:szCs w:val="24"/>
        </w:rPr>
        <w:t>(1), 1-21.</w:t>
      </w:r>
    </w:p>
    <w:p w:rsidR="000C1CC6" w:rsidRDefault="000C1CC6" w:rsidP="006376E9">
      <w:pPr>
        <w:tabs>
          <w:tab w:val="left" w:pos="720"/>
        </w:tabs>
        <w:suppressAutoHyphens/>
        <w:spacing w:after="0" w:line="240" w:lineRule="auto"/>
        <w:ind w:left="720" w:hanging="720"/>
        <w:rPr>
          <w:rFonts w:ascii="Times New Roman" w:eastAsia="Times New Roman" w:hAnsi="Times New Roman" w:cs="Times New Roman"/>
          <w:sz w:val="24"/>
          <w:szCs w:val="24"/>
        </w:rPr>
      </w:pPr>
    </w:p>
    <w:p w:rsidR="006376E9" w:rsidRPr="006376E9" w:rsidRDefault="006376E9" w:rsidP="006376E9">
      <w:pPr>
        <w:tabs>
          <w:tab w:val="left" w:pos="720"/>
        </w:tabs>
        <w:suppressAutoHyphens/>
        <w:spacing w:after="0" w:line="480" w:lineRule="auto"/>
        <w:ind w:left="720" w:hanging="720"/>
        <w:rPr>
          <w:rFonts w:ascii="Times New Roman" w:eastAsia="Times New Roman" w:hAnsi="Times New Roman" w:cs="Times New Roman"/>
          <w:sz w:val="24"/>
          <w:szCs w:val="24"/>
        </w:rPr>
      </w:pPr>
      <w:r w:rsidRPr="006376E9">
        <w:rPr>
          <w:rFonts w:ascii="Times New Roman" w:eastAsia="Times New Roman" w:hAnsi="Times New Roman" w:cs="Times New Roman"/>
          <w:sz w:val="24"/>
          <w:szCs w:val="24"/>
        </w:rPr>
        <w:t xml:space="preserve">Shulman, L. (2005). Signature pedagogies in the professions, </w:t>
      </w:r>
      <w:r w:rsidRPr="006376E9">
        <w:rPr>
          <w:rFonts w:ascii="Times New Roman" w:eastAsia="Times New Roman" w:hAnsi="Times New Roman" w:cs="Times New Roman"/>
          <w:i/>
          <w:sz w:val="24"/>
          <w:szCs w:val="24"/>
        </w:rPr>
        <w:t>Daedalus</w:t>
      </w:r>
      <w:r w:rsidR="000C1CC6" w:rsidRPr="006376E9">
        <w:rPr>
          <w:rFonts w:ascii="Times New Roman" w:eastAsia="Times New Roman" w:hAnsi="Times New Roman" w:cs="Times New Roman"/>
          <w:i/>
          <w:sz w:val="24"/>
          <w:szCs w:val="24"/>
        </w:rPr>
        <w:t>, 134</w:t>
      </w:r>
      <w:r w:rsidRPr="006376E9">
        <w:rPr>
          <w:rFonts w:ascii="Times New Roman" w:eastAsia="Times New Roman" w:hAnsi="Times New Roman" w:cs="Times New Roman"/>
          <w:sz w:val="24"/>
          <w:szCs w:val="24"/>
        </w:rPr>
        <w:t>, 52-59.</w:t>
      </w:r>
    </w:p>
    <w:p w:rsidR="006376E9" w:rsidRDefault="006376E9" w:rsidP="006376E9">
      <w:pPr>
        <w:tabs>
          <w:tab w:val="left" w:pos="720"/>
        </w:tabs>
        <w:suppressAutoHyphens/>
        <w:spacing w:after="0" w:line="240" w:lineRule="auto"/>
        <w:ind w:left="720" w:hanging="720"/>
        <w:rPr>
          <w:rFonts w:ascii="Times New Roman" w:eastAsia="Times New Roman" w:hAnsi="Times New Roman" w:cs="Times New Roman"/>
          <w:sz w:val="24"/>
          <w:szCs w:val="24"/>
        </w:rPr>
      </w:pPr>
      <w:r w:rsidRPr="006376E9">
        <w:rPr>
          <w:rFonts w:ascii="Times New Roman" w:eastAsia="Times New Roman" w:hAnsi="Times New Roman" w:cs="Times New Roman"/>
          <w:sz w:val="24"/>
          <w:szCs w:val="24"/>
        </w:rPr>
        <w:t xml:space="preserve">United States Department of Agriculture Economic Research Service. (2014). Ag and Food Statistics: Charting the Essentials. </w:t>
      </w:r>
      <w:proofErr w:type="gramStart"/>
      <w:r w:rsidRPr="006376E9">
        <w:rPr>
          <w:rFonts w:ascii="Times New Roman" w:eastAsia="Times New Roman" w:hAnsi="Times New Roman" w:cs="Times New Roman"/>
          <w:sz w:val="24"/>
          <w:szCs w:val="24"/>
        </w:rPr>
        <w:t xml:space="preserve">Retrieved from </w:t>
      </w:r>
      <w:hyperlink r:id="rId9" w:history="1">
        <w:r w:rsidR="000C1CC6" w:rsidRPr="009010BE">
          <w:rPr>
            <w:rStyle w:val="Hyperlink"/>
            <w:rFonts w:ascii="Times New Roman" w:eastAsia="Times New Roman" w:hAnsi="Times New Roman" w:cs="Times New Roman"/>
            <w:sz w:val="24"/>
            <w:szCs w:val="24"/>
          </w:rPr>
          <w:t>http://www.ers.usda.gov/dataproducts/ag-and-food-statistics-charting-the-essentials.aspx</w:t>
        </w:r>
      </w:hyperlink>
      <w:r w:rsidRPr="006376E9">
        <w:rPr>
          <w:rFonts w:ascii="Times New Roman" w:eastAsia="Times New Roman" w:hAnsi="Times New Roman" w:cs="Times New Roman"/>
          <w:sz w:val="24"/>
          <w:szCs w:val="24"/>
        </w:rPr>
        <w:t>.</w:t>
      </w:r>
      <w:proofErr w:type="gramEnd"/>
    </w:p>
    <w:p w:rsidR="000C1CC6" w:rsidRDefault="000C1CC6" w:rsidP="006376E9">
      <w:pPr>
        <w:tabs>
          <w:tab w:val="left" w:pos="720"/>
        </w:tabs>
        <w:suppressAutoHyphens/>
        <w:spacing w:after="0" w:line="240" w:lineRule="auto"/>
        <w:ind w:left="720" w:hanging="720"/>
        <w:rPr>
          <w:rFonts w:ascii="Times New Roman" w:eastAsia="Times New Roman" w:hAnsi="Times New Roman" w:cs="Times New Roman"/>
          <w:sz w:val="24"/>
          <w:szCs w:val="24"/>
        </w:rPr>
      </w:pPr>
    </w:p>
    <w:p w:rsidR="000C1CC6" w:rsidRPr="006376E9" w:rsidRDefault="000C1CC6" w:rsidP="006376E9">
      <w:pPr>
        <w:tabs>
          <w:tab w:val="left" w:pos="720"/>
        </w:tabs>
        <w:suppressAutoHyphens/>
        <w:spacing w:after="0" w:line="240" w:lineRule="auto"/>
        <w:ind w:left="720" w:hanging="720"/>
        <w:rPr>
          <w:rFonts w:ascii="Times New Roman" w:eastAsia="Times New Roman" w:hAnsi="Times New Roman" w:cs="Times New Roman"/>
          <w:sz w:val="24"/>
          <w:szCs w:val="24"/>
        </w:rPr>
      </w:pPr>
    </w:p>
    <w:p w:rsidR="006376E9" w:rsidRPr="006376E9" w:rsidRDefault="006376E9" w:rsidP="006376E9">
      <w:pPr>
        <w:rPr>
          <w:rFonts w:ascii="Times New Roman" w:hAnsi="Times New Roman" w:cs="Times New Roman"/>
          <w:b/>
          <w:sz w:val="24"/>
        </w:rPr>
      </w:pPr>
    </w:p>
    <w:sectPr w:rsidR="006376E9" w:rsidRPr="006376E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E76" w:rsidRDefault="00604E76" w:rsidP="00B57139">
      <w:pPr>
        <w:spacing w:after="0" w:line="240" w:lineRule="auto"/>
      </w:pPr>
      <w:r>
        <w:separator/>
      </w:r>
    </w:p>
  </w:endnote>
  <w:endnote w:type="continuationSeparator" w:id="0">
    <w:p w:rsidR="00604E76" w:rsidRDefault="00604E76" w:rsidP="00B57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E76" w:rsidRDefault="00604E76" w:rsidP="00B57139">
      <w:pPr>
        <w:spacing w:after="0" w:line="240" w:lineRule="auto"/>
      </w:pPr>
      <w:r>
        <w:separator/>
      </w:r>
    </w:p>
  </w:footnote>
  <w:footnote w:type="continuationSeparator" w:id="0">
    <w:p w:rsidR="00604E76" w:rsidRDefault="00604E76" w:rsidP="00B571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75E"/>
    <w:rsid w:val="000C1CC6"/>
    <w:rsid w:val="00180651"/>
    <w:rsid w:val="00237E11"/>
    <w:rsid w:val="002670E5"/>
    <w:rsid w:val="002A6F47"/>
    <w:rsid w:val="00604E76"/>
    <w:rsid w:val="006376E9"/>
    <w:rsid w:val="0066166A"/>
    <w:rsid w:val="009D3A8D"/>
    <w:rsid w:val="00B3487C"/>
    <w:rsid w:val="00B57139"/>
    <w:rsid w:val="00D52789"/>
    <w:rsid w:val="00E05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1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7139"/>
  </w:style>
  <w:style w:type="paragraph" w:styleId="Footer">
    <w:name w:val="footer"/>
    <w:basedOn w:val="Normal"/>
    <w:link w:val="FooterChar"/>
    <w:uiPriority w:val="99"/>
    <w:unhideWhenUsed/>
    <w:rsid w:val="00B571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7139"/>
  </w:style>
  <w:style w:type="paragraph" w:styleId="BalloonText">
    <w:name w:val="Balloon Text"/>
    <w:basedOn w:val="Normal"/>
    <w:link w:val="BalloonTextChar"/>
    <w:uiPriority w:val="99"/>
    <w:semiHidden/>
    <w:unhideWhenUsed/>
    <w:rsid w:val="00B571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139"/>
    <w:rPr>
      <w:rFonts w:ascii="Tahoma" w:hAnsi="Tahoma" w:cs="Tahoma"/>
      <w:sz w:val="16"/>
      <w:szCs w:val="16"/>
    </w:rPr>
  </w:style>
  <w:style w:type="table" w:styleId="TableGrid">
    <w:name w:val="Table Grid"/>
    <w:basedOn w:val="TableNormal"/>
    <w:uiPriority w:val="59"/>
    <w:rsid w:val="00B348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1CC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1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7139"/>
  </w:style>
  <w:style w:type="paragraph" w:styleId="Footer">
    <w:name w:val="footer"/>
    <w:basedOn w:val="Normal"/>
    <w:link w:val="FooterChar"/>
    <w:uiPriority w:val="99"/>
    <w:unhideWhenUsed/>
    <w:rsid w:val="00B571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7139"/>
  </w:style>
  <w:style w:type="paragraph" w:styleId="BalloonText">
    <w:name w:val="Balloon Text"/>
    <w:basedOn w:val="Normal"/>
    <w:link w:val="BalloonTextChar"/>
    <w:uiPriority w:val="99"/>
    <w:semiHidden/>
    <w:unhideWhenUsed/>
    <w:rsid w:val="00B571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139"/>
    <w:rPr>
      <w:rFonts w:ascii="Tahoma" w:hAnsi="Tahoma" w:cs="Tahoma"/>
      <w:sz w:val="16"/>
      <w:szCs w:val="16"/>
    </w:rPr>
  </w:style>
  <w:style w:type="table" w:styleId="TableGrid">
    <w:name w:val="Table Grid"/>
    <w:basedOn w:val="TableNormal"/>
    <w:uiPriority w:val="59"/>
    <w:rsid w:val="00B348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1C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rs.usda.gov/dataproducts/ag-and-food-statistics-charting-the-essential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4</Pages>
  <Words>896</Words>
  <Characters>5109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The Pennsylvania State University</Company>
  <LinksUpToDate>false</LinksUpToDate>
  <CharactersWithSpaces>5994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LEA SANKEY RICE</dc:creator>
  <cp:lastModifiedBy>LAURA LEA SANKEY RICE</cp:lastModifiedBy>
  <cp:revision>2</cp:revision>
  <dcterms:created xsi:type="dcterms:W3CDTF">2015-07-27T14:27:00Z</dcterms:created>
  <dcterms:modified xsi:type="dcterms:W3CDTF">2015-07-27T16:18:00Z</dcterms:modified>
</cp:coreProperties>
</file>