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1A6" w:rsidRPr="006E31A6" w:rsidRDefault="006E31A6" w:rsidP="006E31A6">
      <w:pPr>
        <w:jc w:val="right"/>
        <w:rPr>
          <w:rFonts w:ascii="Times New Roman" w:hAnsi="Times New Roman" w:cs="Times New Roman"/>
          <w:sz w:val="24"/>
          <w:szCs w:val="24"/>
        </w:rPr>
      </w:pPr>
      <w:r w:rsidRPr="006E31A6">
        <w:rPr>
          <w:rFonts w:ascii="Times New Roman" w:hAnsi="Times New Roman" w:cs="Times New Roman"/>
          <w:sz w:val="24"/>
          <w:szCs w:val="24"/>
        </w:rPr>
        <w:t>Research</w:t>
      </w:r>
    </w:p>
    <w:p w:rsidR="006E31A6" w:rsidRDefault="006E31A6" w:rsidP="006E31A6">
      <w:pPr>
        <w:jc w:val="right"/>
        <w:rPr>
          <w:rFonts w:ascii="Times New Roman" w:hAnsi="Times New Roman" w:cs="Times New Roman"/>
          <w:b/>
          <w:sz w:val="24"/>
          <w:szCs w:val="24"/>
        </w:rPr>
      </w:pPr>
    </w:p>
    <w:p w:rsidR="006E31A6" w:rsidRDefault="008943C7" w:rsidP="002F70E4">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Pre-service Agricultural Education Students’ Perceived Competence in an Introductory Level Agricultural Mechanics Course </w:t>
      </w:r>
    </w:p>
    <w:p w:rsidR="006E31A6" w:rsidRDefault="006E31A6" w:rsidP="006E31A6">
      <w:pPr>
        <w:jc w:val="center"/>
        <w:rPr>
          <w:rFonts w:ascii="Times New Roman" w:hAnsi="Times New Roman" w:cs="Times New Roman"/>
          <w:b/>
          <w:sz w:val="24"/>
          <w:szCs w:val="24"/>
        </w:rPr>
      </w:pPr>
    </w:p>
    <w:p w:rsidR="006E31A6" w:rsidRPr="006E31A6" w:rsidRDefault="008943C7" w:rsidP="00B6133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John C. Ewing</w:t>
      </w:r>
    </w:p>
    <w:p w:rsidR="006E31A6" w:rsidRPr="006E31A6" w:rsidRDefault="006E31A6" w:rsidP="00B61334">
      <w:pPr>
        <w:spacing w:after="0" w:line="240" w:lineRule="auto"/>
        <w:jc w:val="center"/>
        <w:rPr>
          <w:rFonts w:ascii="Times New Roman" w:hAnsi="Times New Roman" w:cs="Times New Roman"/>
          <w:sz w:val="24"/>
          <w:szCs w:val="24"/>
        </w:rPr>
      </w:pPr>
      <w:r w:rsidRPr="006E31A6">
        <w:rPr>
          <w:rFonts w:ascii="Times New Roman" w:hAnsi="Times New Roman" w:cs="Times New Roman"/>
          <w:sz w:val="24"/>
          <w:szCs w:val="24"/>
        </w:rPr>
        <w:t>The Pennsylvania State University</w:t>
      </w:r>
    </w:p>
    <w:p w:rsidR="006E31A6" w:rsidRPr="006E31A6" w:rsidRDefault="006E31A6" w:rsidP="00B61334">
      <w:pPr>
        <w:spacing w:after="0" w:line="240" w:lineRule="auto"/>
        <w:jc w:val="center"/>
        <w:rPr>
          <w:rFonts w:ascii="Times New Roman" w:hAnsi="Times New Roman" w:cs="Times New Roman"/>
          <w:sz w:val="24"/>
          <w:szCs w:val="24"/>
        </w:rPr>
      </w:pPr>
      <w:r w:rsidRPr="006E31A6">
        <w:rPr>
          <w:rFonts w:ascii="Times New Roman" w:hAnsi="Times New Roman" w:cs="Times New Roman"/>
          <w:sz w:val="24"/>
          <w:szCs w:val="24"/>
        </w:rPr>
        <w:t>21</w:t>
      </w:r>
      <w:r w:rsidR="008943C7">
        <w:rPr>
          <w:rFonts w:ascii="Times New Roman" w:hAnsi="Times New Roman" w:cs="Times New Roman"/>
          <w:sz w:val="24"/>
          <w:szCs w:val="24"/>
        </w:rPr>
        <w:t>5</w:t>
      </w:r>
      <w:r w:rsidRPr="006E31A6">
        <w:rPr>
          <w:rFonts w:ascii="Times New Roman" w:hAnsi="Times New Roman" w:cs="Times New Roman"/>
          <w:sz w:val="24"/>
          <w:szCs w:val="24"/>
        </w:rPr>
        <w:t xml:space="preserve"> Ferguson Building</w:t>
      </w:r>
    </w:p>
    <w:p w:rsidR="006E31A6" w:rsidRPr="006E31A6" w:rsidRDefault="006E31A6" w:rsidP="00B61334">
      <w:pPr>
        <w:spacing w:after="0" w:line="240" w:lineRule="auto"/>
        <w:jc w:val="center"/>
        <w:rPr>
          <w:rFonts w:ascii="Times New Roman" w:hAnsi="Times New Roman" w:cs="Times New Roman"/>
          <w:sz w:val="24"/>
          <w:szCs w:val="24"/>
        </w:rPr>
      </w:pPr>
      <w:r w:rsidRPr="006E31A6">
        <w:rPr>
          <w:rFonts w:ascii="Times New Roman" w:hAnsi="Times New Roman" w:cs="Times New Roman"/>
          <w:sz w:val="24"/>
          <w:szCs w:val="24"/>
        </w:rPr>
        <w:t>University Park, PA 16802</w:t>
      </w:r>
    </w:p>
    <w:p w:rsidR="006E31A6" w:rsidRPr="006E31A6" w:rsidRDefault="008943C7" w:rsidP="00B6133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814-863-7463</w:t>
      </w:r>
    </w:p>
    <w:p w:rsidR="006E31A6" w:rsidRPr="006E31A6" w:rsidRDefault="00D02F2B" w:rsidP="00B61334">
      <w:pPr>
        <w:spacing w:line="240" w:lineRule="auto"/>
        <w:jc w:val="center"/>
        <w:rPr>
          <w:rFonts w:ascii="Times New Roman" w:hAnsi="Times New Roman" w:cs="Times New Roman"/>
          <w:sz w:val="24"/>
          <w:szCs w:val="24"/>
        </w:rPr>
      </w:pPr>
      <w:hyperlink r:id="rId6" w:history="1">
        <w:r w:rsidR="008943C7" w:rsidRPr="00611101">
          <w:rPr>
            <w:rStyle w:val="Hyperlink"/>
            <w:rFonts w:ascii="Times New Roman" w:hAnsi="Times New Roman" w:cs="Times New Roman"/>
            <w:sz w:val="24"/>
            <w:szCs w:val="24"/>
          </w:rPr>
          <w:t>jce122@psu.edu</w:t>
        </w:r>
      </w:hyperlink>
    </w:p>
    <w:p w:rsidR="006E31A6" w:rsidRDefault="006E31A6" w:rsidP="00B61334">
      <w:pPr>
        <w:spacing w:line="240" w:lineRule="auto"/>
        <w:jc w:val="center"/>
        <w:rPr>
          <w:rFonts w:ascii="Times New Roman" w:hAnsi="Times New Roman" w:cs="Times New Roman"/>
          <w:sz w:val="24"/>
          <w:szCs w:val="24"/>
        </w:rPr>
      </w:pPr>
    </w:p>
    <w:p w:rsidR="006E31A6" w:rsidRPr="006E31A6" w:rsidRDefault="008943C7" w:rsidP="00B6133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Rama Radhakrishna</w:t>
      </w:r>
    </w:p>
    <w:p w:rsidR="006E31A6" w:rsidRPr="006E31A6" w:rsidRDefault="006E31A6" w:rsidP="00B61334">
      <w:pPr>
        <w:spacing w:after="0" w:line="240" w:lineRule="auto"/>
        <w:jc w:val="center"/>
        <w:rPr>
          <w:rFonts w:ascii="Times New Roman" w:hAnsi="Times New Roman" w:cs="Times New Roman"/>
          <w:sz w:val="24"/>
          <w:szCs w:val="24"/>
        </w:rPr>
      </w:pPr>
      <w:r w:rsidRPr="006E31A6">
        <w:rPr>
          <w:rFonts w:ascii="Times New Roman" w:hAnsi="Times New Roman" w:cs="Times New Roman"/>
          <w:sz w:val="24"/>
          <w:szCs w:val="24"/>
        </w:rPr>
        <w:t>The Pennsylvania State University</w:t>
      </w:r>
    </w:p>
    <w:p w:rsidR="006E31A6" w:rsidRPr="006E31A6" w:rsidRDefault="008943C7" w:rsidP="00B6133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r w:rsidR="006E31A6" w:rsidRPr="006E31A6">
        <w:rPr>
          <w:rFonts w:ascii="Times New Roman" w:hAnsi="Times New Roman" w:cs="Times New Roman"/>
          <w:sz w:val="24"/>
          <w:szCs w:val="24"/>
        </w:rPr>
        <w:t xml:space="preserve"> Ferguson Building</w:t>
      </w:r>
    </w:p>
    <w:p w:rsidR="006E31A6" w:rsidRPr="006E31A6" w:rsidRDefault="006E31A6" w:rsidP="00B61334">
      <w:pPr>
        <w:spacing w:after="0" w:line="240" w:lineRule="auto"/>
        <w:jc w:val="center"/>
        <w:rPr>
          <w:rFonts w:ascii="Times New Roman" w:hAnsi="Times New Roman" w:cs="Times New Roman"/>
          <w:sz w:val="24"/>
          <w:szCs w:val="24"/>
        </w:rPr>
      </w:pPr>
      <w:r w:rsidRPr="006E31A6">
        <w:rPr>
          <w:rFonts w:ascii="Times New Roman" w:hAnsi="Times New Roman" w:cs="Times New Roman"/>
          <w:sz w:val="24"/>
          <w:szCs w:val="24"/>
        </w:rPr>
        <w:t>University Park, PA 16802</w:t>
      </w:r>
    </w:p>
    <w:p w:rsidR="006E31A6" w:rsidRPr="006E31A6" w:rsidRDefault="008943C7" w:rsidP="00B6133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814-863-7420</w:t>
      </w:r>
    </w:p>
    <w:p w:rsidR="008943C7" w:rsidRDefault="00D02F2B" w:rsidP="00B61334">
      <w:pPr>
        <w:spacing w:after="0" w:line="240" w:lineRule="auto"/>
        <w:jc w:val="center"/>
        <w:rPr>
          <w:rFonts w:ascii="Times New Roman" w:hAnsi="Times New Roman" w:cs="Times New Roman"/>
          <w:sz w:val="24"/>
          <w:szCs w:val="24"/>
        </w:rPr>
      </w:pPr>
      <w:hyperlink r:id="rId7" w:history="1">
        <w:r w:rsidR="005E3A0D" w:rsidRPr="00611101">
          <w:rPr>
            <w:rStyle w:val="Hyperlink"/>
            <w:rFonts w:ascii="Times New Roman" w:hAnsi="Times New Roman" w:cs="Times New Roman"/>
            <w:sz w:val="24"/>
            <w:szCs w:val="24"/>
          </w:rPr>
          <w:t>brr100@psu.edu</w:t>
        </w:r>
      </w:hyperlink>
    </w:p>
    <w:p w:rsidR="005E3A0D" w:rsidRDefault="005E3A0D" w:rsidP="00B61334">
      <w:pPr>
        <w:spacing w:after="0" w:line="240" w:lineRule="auto"/>
        <w:jc w:val="center"/>
        <w:rPr>
          <w:rFonts w:ascii="Times New Roman" w:hAnsi="Times New Roman" w:cs="Times New Roman"/>
          <w:sz w:val="24"/>
          <w:szCs w:val="24"/>
        </w:rPr>
      </w:pPr>
    </w:p>
    <w:p w:rsidR="005E3A0D" w:rsidRDefault="005E3A0D" w:rsidP="00B6133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Katherine Andrews</w:t>
      </w:r>
    </w:p>
    <w:p w:rsidR="005E3A0D" w:rsidRDefault="005E3A0D" w:rsidP="00B6133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Pennsylvania State University</w:t>
      </w:r>
    </w:p>
    <w:p w:rsidR="005E3A0D" w:rsidRDefault="005E3A0D" w:rsidP="00B6133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213 Ferguson Building</w:t>
      </w:r>
    </w:p>
    <w:p w:rsidR="005E3A0D" w:rsidRDefault="005E3A0D" w:rsidP="00B6133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Park, PA 16802</w:t>
      </w:r>
    </w:p>
    <w:p w:rsidR="005E3A0D" w:rsidRDefault="00D02F2B" w:rsidP="00B61334">
      <w:pPr>
        <w:spacing w:after="0" w:line="240" w:lineRule="auto"/>
        <w:jc w:val="center"/>
        <w:rPr>
          <w:rFonts w:ascii="Times New Roman" w:hAnsi="Times New Roman" w:cs="Times New Roman"/>
          <w:sz w:val="24"/>
          <w:szCs w:val="24"/>
        </w:rPr>
      </w:pPr>
      <w:hyperlink r:id="rId8" w:history="1">
        <w:r w:rsidR="00D06ED0" w:rsidRPr="00611101">
          <w:rPr>
            <w:rStyle w:val="Hyperlink"/>
            <w:rFonts w:ascii="Times New Roman" w:hAnsi="Times New Roman" w:cs="Times New Roman"/>
            <w:sz w:val="24"/>
            <w:szCs w:val="24"/>
          </w:rPr>
          <w:t>kla5199@psu.edu</w:t>
        </w:r>
      </w:hyperlink>
    </w:p>
    <w:p w:rsidR="00D06ED0" w:rsidRDefault="00D06ED0" w:rsidP="00B61334">
      <w:pPr>
        <w:spacing w:after="0" w:line="240" w:lineRule="auto"/>
        <w:jc w:val="center"/>
        <w:rPr>
          <w:rFonts w:ascii="Times New Roman" w:hAnsi="Times New Roman" w:cs="Times New Roman"/>
          <w:sz w:val="24"/>
          <w:szCs w:val="24"/>
        </w:rPr>
      </w:pPr>
    </w:p>
    <w:p w:rsidR="008943C7" w:rsidRDefault="008943C7">
      <w:pPr>
        <w:rPr>
          <w:rFonts w:ascii="Times New Roman" w:hAnsi="Times New Roman" w:cs="Times New Roman"/>
          <w:sz w:val="24"/>
          <w:szCs w:val="24"/>
        </w:rPr>
      </w:pPr>
      <w:r>
        <w:rPr>
          <w:rFonts w:ascii="Times New Roman" w:hAnsi="Times New Roman" w:cs="Times New Roman"/>
          <w:sz w:val="24"/>
          <w:szCs w:val="24"/>
        </w:rPr>
        <w:br w:type="page"/>
      </w:r>
    </w:p>
    <w:p w:rsidR="002F70E4" w:rsidRDefault="002F70E4" w:rsidP="00B61334">
      <w:pPr>
        <w:spacing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Research</w:t>
      </w:r>
    </w:p>
    <w:p w:rsidR="008943C7" w:rsidRDefault="008943C7" w:rsidP="00B61334">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Pre-service Agricultural Education Students’ Perceived Competence in an Introductory Level Agricultural Mechanics Course </w:t>
      </w:r>
    </w:p>
    <w:p w:rsidR="006536F3" w:rsidRPr="006536F3" w:rsidRDefault="006536F3" w:rsidP="006536F3">
      <w:pPr>
        <w:rPr>
          <w:rFonts w:ascii="Times New Roman" w:hAnsi="Times New Roman" w:cs="Times New Roman"/>
          <w:b/>
          <w:sz w:val="24"/>
          <w:szCs w:val="24"/>
        </w:rPr>
      </w:pPr>
      <w:r>
        <w:rPr>
          <w:rFonts w:ascii="Times New Roman" w:hAnsi="Times New Roman" w:cs="Times New Roman"/>
          <w:b/>
          <w:sz w:val="24"/>
          <w:szCs w:val="24"/>
        </w:rPr>
        <w:t>Introduction</w:t>
      </w:r>
    </w:p>
    <w:p w:rsidR="00EC49D5" w:rsidRDefault="008943C7" w:rsidP="00B61334">
      <w:pPr>
        <w:pStyle w:val="Default"/>
        <w:ind w:right="-180"/>
        <w:rPr>
          <w:rFonts w:ascii="Times New Roman" w:hAnsi="Times New Roman" w:cs="Times New Roman"/>
          <w:iCs/>
          <w:color w:val="auto"/>
        </w:rPr>
      </w:pPr>
      <w:r>
        <w:rPr>
          <w:rFonts w:ascii="Times New Roman" w:hAnsi="Times New Roman" w:cs="Times New Roman"/>
        </w:rPr>
        <w:t>Agricultural education pre-service candidates are asked to teach a var</w:t>
      </w:r>
      <w:r w:rsidR="00624610">
        <w:rPr>
          <w:rFonts w:ascii="Times New Roman" w:hAnsi="Times New Roman" w:cs="Times New Roman"/>
        </w:rPr>
        <w:t>iety of technical content areas</w:t>
      </w:r>
      <w:r w:rsidR="00C53EDD">
        <w:rPr>
          <w:rFonts w:ascii="Times New Roman" w:hAnsi="Times New Roman" w:cs="Times New Roman"/>
        </w:rPr>
        <w:t>. Pre-service candidates need to be prepared to teach effectively, and safely in all areas that are listed in the state’s requirements for teacher certification (</w:t>
      </w:r>
      <w:r w:rsidR="0001413E">
        <w:rPr>
          <w:rFonts w:ascii="Times New Roman" w:hAnsi="Times New Roman" w:cs="Times New Roman"/>
        </w:rPr>
        <w:t>STATE CSPG</w:t>
      </w:r>
      <w:r w:rsidR="00B97BBA">
        <w:rPr>
          <w:rFonts w:ascii="Times New Roman" w:hAnsi="Times New Roman" w:cs="Times New Roman"/>
        </w:rPr>
        <w:t>, 2015</w:t>
      </w:r>
      <w:r w:rsidR="00C53EDD">
        <w:rPr>
          <w:rFonts w:ascii="Times New Roman" w:hAnsi="Times New Roman" w:cs="Times New Roman"/>
        </w:rPr>
        <w:t xml:space="preserve">). </w:t>
      </w:r>
      <w:proofErr w:type="gramStart"/>
      <w:r w:rsidR="00C53EDD">
        <w:rPr>
          <w:rFonts w:ascii="Times New Roman" w:hAnsi="Times New Roman" w:cs="Times New Roman"/>
        </w:rPr>
        <w:t xml:space="preserve">Byrd, Anderson, Paulsen, and Shultz (2015) state, </w:t>
      </w:r>
      <w:r w:rsidR="00624610">
        <w:rPr>
          <w:rFonts w:ascii="Times New Roman" w:hAnsi="Times New Roman" w:cs="Times New Roman"/>
        </w:rPr>
        <w:t>“Preparing teachers to teach agricultural mechanics is a difficult task since many topic areas are included in the curriculum” (p. 20).</w:t>
      </w:r>
      <w:proofErr w:type="gramEnd"/>
      <w:r w:rsidR="00624610">
        <w:rPr>
          <w:rFonts w:ascii="Times New Roman" w:hAnsi="Times New Roman" w:cs="Times New Roman"/>
        </w:rPr>
        <w:t xml:space="preserve"> Subsequently, </w:t>
      </w:r>
      <w:r>
        <w:rPr>
          <w:rFonts w:ascii="Times New Roman" w:hAnsi="Times New Roman" w:cs="Times New Roman"/>
        </w:rPr>
        <w:t>agricultural mechanics</w:t>
      </w:r>
      <w:r w:rsidR="00B97DF5">
        <w:rPr>
          <w:rFonts w:ascii="Times New Roman" w:hAnsi="Times New Roman" w:cs="Times New Roman"/>
        </w:rPr>
        <w:t>, or specific areas within teaching agricultural mechanics,</w:t>
      </w:r>
      <w:r>
        <w:rPr>
          <w:rFonts w:ascii="Times New Roman" w:hAnsi="Times New Roman" w:cs="Times New Roman"/>
        </w:rPr>
        <w:t xml:space="preserve"> is often cited as </w:t>
      </w:r>
      <w:r w:rsidR="00B97DF5">
        <w:rPr>
          <w:rFonts w:ascii="Times New Roman" w:hAnsi="Times New Roman" w:cs="Times New Roman"/>
        </w:rPr>
        <w:t>an area</w:t>
      </w:r>
      <w:r>
        <w:rPr>
          <w:rFonts w:ascii="Times New Roman" w:hAnsi="Times New Roman" w:cs="Times New Roman"/>
        </w:rPr>
        <w:t xml:space="preserve"> of low competence</w:t>
      </w:r>
      <w:r w:rsidR="00C53EDD">
        <w:rPr>
          <w:rFonts w:ascii="Times New Roman" w:hAnsi="Times New Roman" w:cs="Times New Roman"/>
        </w:rPr>
        <w:t xml:space="preserve"> (Blackb</w:t>
      </w:r>
      <w:r w:rsidR="0001413E">
        <w:rPr>
          <w:rFonts w:ascii="Times New Roman" w:hAnsi="Times New Roman" w:cs="Times New Roman"/>
        </w:rPr>
        <w:t>urn, Robinson, &amp; Field, 2015</w:t>
      </w:r>
      <w:r w:rsidR="00C53EDD">
        <w:rPr>
          <w:rFonts w:ascii="Times New Roman" w:hAnsi="Times New Roman" w:cs="Times New Roman"/>
        </w:rPr>
        <w:t xml:space="preserve">; </w:t>
      </w:r>
      <w:r w:rsidR="0001413E">
        <w:rPr>
          <w:rFonts w:ascii="Times New Roman" w:hAnsi="Times New Roman" w:cs="Times New Roman"/>
        </w:rPr>
        <w:t xml:space="preserve">Saucier &amp; </w:t>
      </w:r>
      <w:proofErr w:type="spellStart"/>
      <w:r w:rsidR="0001413E">
        <w:rPr>
          <w:rFonts w:ascii="Times New Roman" w:hAnsi="Times New Roman" w:cs="Times New Roman"/>
        </w:rPr>
        <w:t>McKim</w:t>
      </w:r>
      <w:proofErr w:type="spellEnd"/>
      <w:r w:rsidR="0001413E">
        <w:rPr>
          <w:rFonts w:ascii="Times New Roman" w:hAnsi="Times New Roman" w:cs="Times New Roman"/>
        </w:rPr>
        <w:t xml:space="preserve">, 2011; Shultz, Anderson, Shultz, &amp; Paulsen, 2014; </w:t>
      </w:r>
      <w:r w:rsidR="00C53EDD">
        <w:rPr>
          <w:rFonts w:ascii="Times New Roman" w:hAnsi="Times New Roman" w:cs="Times New Roman"/>
        </w:rPr>
        <w:t xml:space="preserve">Stripling, Thoron, </w:t>
      </w:r>
      <w:r w:rsidR="0001413E">
        <w:rPr>
          <w:rFonts w:ascii="Times New Roman" w:hAnsi="Times New Roman" w:cs="Times New Roman"/>
        </w:rPr>
        <w:t xml:space="preserve">&amp; </w:t>
      </w:r>
      <w:proofErr w:type="spellStart"/>
      <w:r w:rsidR="0001413E">
        <w:rPr>
          <w:rFonts w:ascii="Times New Roman" w:hAnsi="Times New Roman" w:cs="Times New Roman"/>
        </w:rPr>
        <w:t>Estepp</w:t>
      </w:r>
      <w:proofErr w:type="spellEnd"/>
      <w:r w:rsidR="0001413E">
        <w:rPr>
          <w:rFonts w:ascii="Times New Roman" w:hAnsi="Times New Roman" w:cs="Times New Roman"/>
        </w:rPr>
        <w:t>, 2014</w:t>
      </w:r>
      <w:r w:rsidR="00B97DF5">
        <w:rPr>
          <w:rFonts w:ascii="Times New Roman" w:hAnsi="Times New Roman" w:cs="Times New Roman"/>
        </w:rPr>
        <w:t>)</w:t>
      </w:r>
      <w:r w:rsidR="0061457A">
        <w:rPr>
          <w:rFonts w:ascii="Times New Roman" w:hAnsi="Times New Roman" w:cs="Times New Roman"/>
        </w:rPr>
        <w:t xml:space="preserve">. Blackburn, Robinson, and Field (2015) </w:t>
      </w:r>
      <w:r w:rsidR="00B61334">
        <w:rPr>
          <w:rFonts w:ascii="Times New Roman" w:hAnsi="Times New Roman" w:cs="Times New Roman"/>
        </w:rPr>
        <w:t>indicated</w:t>
      </w:r>
      <w:r w:rsidR="0061457A">
        <w:rPr>
          <w:rFonts w:ascii="Times New Roman" w:hAnsi="Times New Roman" w:cs="Times New Roman"/>
        </w:rPr>
        <w:t xml:space="preserve"> that research should be conducted to explore students’ perceived competence in multiple areas of agricultural mechanics at both the beginning and end of the course.</w:t>
      </w:r>
      <w:r w:rsidR="00EC49D5">
        <w:rPr>
          <w:rFonts w:ascii="Times New Roman" w:hAnsi="Times New Roman" w:cs="Times New Roman"/>
        </w:rPr>
        <w:t xml:space="preserve"> The current study incorporates this recommendation by examining an introductory-level agricultural mechanics course, while addressing Research Priority Area 3 of the National Research Agenda (Doerfert, 2011) </w:t>
      </w:r>
      <w:r w:rsidR="00EC49D5" w:rsidRPr="00D06ED0">
        <w:rPr>
          <w:rFonts w:ascii="Times New Roman" w:hAnsi="Times New Roman" w:cs="Times New Roman"/>
          <w:color w:val="auto"/>
        </w:rPr>
        <w:t xml:space="preserve">by working to meet the key outcome of </w:t>
      </w:r>
      <w:r w:rsidR="00EC49D5">
        <w:rPr>
          <w:rFonts w:ascii="Times New Roman" w:hAnsi="Times New Roman" w:cs="Times New Roman"/>
          <w:color w:val="auto"/>
        </w:rPr>
        <w:t xml:space="preserve">ensuring: </w:t>
      </w:r>
      <w:r w:rsidR="00EC49D5" w:rsidRPr="00D06ED0">
        <w:rPr>
          <w:rFonts w:ascii="Times New Roman" w:hAnsi="Times New Roman" w:cs="Times New Roman"/>
          <w:i/>
          <w:iCs/>
          <w:color w:val="auto"/>
        </w:rPr>
        <w:t xml:space="preserve">A sufficient supply of well-prepared agricultural scientists and professionals drive sustainable growth, scientific discovery, and innovation in public, private, and academic settings. </w:t>
      </w:r>
    </w:p>
    <w:p w:rsidR="00FE1C97" w:rsidRPr="00BE27D2" w:rsidRDefault="00FE1C97" w:rsidP="00761D19">
      <w:pPr>
        <w:pStyle w:val="Default"/>
        <w:rPr>
          <w:rFonts w:ascii="Times New Roman" w:hAnsi="Times New Roman" w:cs="Times New Roman"/>
          <w:sz w:val="16"/>
          <w:szCs w:val="16"/>
        </w:rPr>
      </w:pPr>
    </w:p>
    <w:p w:rsidR="00BE27D2" w:rsidRDefault="006536F3" w:rsidP="00BE27D2">
      <w:pPr>
        <w:rPr>
          <w:rFonts w:ascii="Times New Roman" w:hAnsi="Times New Roman" w:cs="Times New Roman"/>
          <w:sz w:val="24"/>
          <w:szCs w:val="24"/>
        </w:rPr>
      </w:pPr>
      <w:r w:rsidRPr="006536F3">
        <w:rPr>
          <w:rFonts w:ascii="Times New Roman" w:hAnsi="Times New Roman" w:cs="Times New Roman"/>
          <w:b/>
          <w:sz w:val="24"/>
          <w:szCs w:val="24"/>
        </w:rPr>
        <w:t>Theoretical Foundation</w:t>
      </w:r>
      <w:r w:rsidR="00067616" w:rsidRPr="006536F3">
        <w:rPr>
          <w:rFonts w:ascii="Times New Roman" w:hAnsi="Times New Roman" w:cs="Times New Roman"/>
          <w:b/>
          <w:sz w:val="24"/>
          <w:szCs w:val="24"/>
        </w:rPr>
        <w:t xml:space="preserve">  </w:t>
      </w:r>
    </w:p>
    <w:p w:rsidR="00FC1FE6" w:rsidRDefault="00D11CEB" w:rsidP="00C82C2E">
      <w:pPr>
        <w:spacing w:line="240" w:lineRule="auto"/>
        <w:rPr>
          <w:rFonts w:ascii="Times New Roman" w:hAnsi="Times New Roman" w:cs="Times New Roman"/>
          <w:sz w:val="24"/>
          <w:szCs w:val="24"/>
        </w:rPr>
      </w:pPr>
      <w:r>
        <w:rPr>
          <w:rFonts w:ascii="Times New Roman" w:hAnsi="Times New Roman" w:cs="Times New Roman"/>
          <w:sz w:val="24"/>
          <w:szCs w:val="24"/>
        </w:rPr>
        <w:t>This</w:t>
      </w:r>
      <w:r w:rsidR="00FC1FE6" w:rsidRPr="00FC1FE6">
        <w:rPr>
          <w:rFonts w:ascii="Times New Roman" w:hAnsi="Times New Roman" w:cs="Times New Roman"/>
          <w:sz w:val="24"/>
          <w:szCs w:val="24"/>
        </w:rPr>
        <w:t xml:space="preserve"> study</w:t>
      </w:r>
      <w:r w:rsidR="00FE1C97">
        <w:rPr>
          <w:rFonts w:ascii="Times New Roman" w:hAnsi="Times New Roman" w:cs="Times New Roman"/>
          <w:sz w:val="24"/>
          <w:szCs w:val="24"/>
        </w:rPr>
        <w:t>’s theoretical foundation</w:t>
      </w:r>
      <w:r w:rsidR="00FC1FE6" w:rsidRPr="00FC1FE6">
        <w:rPr>
          <w:rFonts w:ascii="Times New Roman" w:hAnsi="Times New Roman" w:cs="Times New Roman"/>
          <w:sz w:val="24"/>
          <w:szCs w:val="24"/>
        </w:rPr>
        <w:t xml:space="preserve"> is </w:t>
      </w:r>
      <w:r>
        <w:rPr>
          <w:rFonts w:ascii="Times New Roman" w:hAnsi="Times New Roman" w:cs="Times New Roman"/>
          <w:sz w:val="24"/>
          <w:szCs w:val="24"/>
        </w:rPr>
        <w:t>based</w:t>
      </w:r>
      <w:r w:rsidR="00FC1FE6" w:rsidRPr="00FC1FE6">
        <w:rPr>
          <w:rFonts w:ascii="Times New Roman" w:hAnsi="Times New Roman" w:cs="Times New Roman"/>
          <w:sz w:val="24"/>
          <w:szCs w:val="24"/>
        </w:rPr>
        <w:t xml:space="preserve"> </w:t>
      </w:r>
      <w:r w:rsidR="002F70E4">
        <w:rPr>
          <w:rFonts w:ascii="Times New Roman" w:hAnsi="Times New Roman" w:cs="Times New Roman"/>
          <w:sz w:val="24"/>
          <w:szCs w:val="24"/>
        </w:rPr>
        <w:t xml:space="preserve">on </w:t>
      </w:r>
      <w:r w:rsidR="00FC1FE6" w:rsidRPr="00FC1FE6">
        <w:rPr>
          <w:rFonts w:ascii="Times New Roman" w:hAnsi="Times New Roman" w:cs="Times New Roman"/>
          <w:sz w:val="24"/>
          <w:szCs w:val="24"/>
        </w:rPr>
        <w:t>Bandura</w:t>
      </w:r>
      <w:r>
        <w:rPr>
          <w:rFonts w:ascii="Times New Roman" w:hAnsi="Times New Roman" w:cs="Times New Roman"/>
          <w:sz w:val="24"/>
          <w:szCs w:val="24"/>
        </w:rPr>
        <w:t>‘s (199</w:t>
      </w:r>
      <w:r w:rsidR="00FE1C97">
        <w:rPr>
          <w:rFonts w:ascii="Times New Roman" w:hAnsi="Times New Roman" w:cs="Times New Roman"/>
          <w:sz w:val="24"/>
          <w:szCs w:val="24"/>
        </w:rPr>
        <w:t>7) Self-e</w:t>
      </w:r>
      <w:r>
        <w:rPr>
          <w:rFonts w:ascii="Times New Roman" w:hAnsi="Times New Roman" w:cs="Times New Roman"/>
          <w:sz w:val="24"/>
          <w:szCs w:val="24"/>
        </w:rPr>
        <w:t xml:space="preserve">fficacy Theory. </w:t>
      </w:r>
      <w:r w:rsidR="00FE1C97">
        <w:rPr>
          <w:rFonts w:ascii="Times New Roman" w:hAnsi="Times New Roman" w:cs="Times New Roman"/>
          <w:sz w:val="24"/>
          <w:szCs w:val="24"/>
        </w:rPr>
        <w:t xml:space="preserve">Self-efficacy connects to an individual’s belief in their ability to complete a task or action, and influences that individual’s choices and future actions regarding that task. Thus, beliefs of pre-service teachers related to technical competence can be examined through the lens of </w:t>
      </w:r>
      <w:r w:rsidR="00EA14CA">
        <w:rPr>
          <w:rFonts w:ascii="Times New Roman" w:hAnsi="Times New Roman" w:cs="Times New Roman"/>
          <w:sz w:val="24"/>
          <w:szCs w:val="24"/>
        </w:rPr>
        <w:t>self-efficacy. Self-efficacy increases through various types of experiences, including</w:t>
      </w:r>
      <w:r w:rsidR="002F70E4">
        <w:rPr>
          <w:rFonts w:ascii="Times New Roman" w:hAnsi="Times New Roman" w:cs="Times New Roman"/>
          <w:sz w:val="24"/>
          <w:szCs w:val="24"/>
        </w:rPr>
        <w:t xml:space="preserve">, </w:t>
      </w:r>
      <w:r w:rsidR="00EA14CA">
        <w:rPr>
          <w:rFonts w:ascii="Times New Roman" w:hAnsi="Times New Roman" w:cs="Times New Roman"/>
          <w:sz w:val="24"/>
          <w:szCs w:val="24"/>
        </w:rPr>
        <w:t>mastery and vicarious experiences, emotional and physiological arousal, and persuasion (Bandura, 1997).</w:t>
      </w:r>
    </w:p>
    <w:p w:rsidR="006536F3" w:rsidRPr="006536F3" w:rsidRDefault="002F70E4" w:rsidP="005654D2">
      <w:pPr>
        <w:rPr>
          <w:rFonts w:ascii="Times New Roman" w:hAnsi="Times New Roman" w:cs="Times New Roman"/>
          <w:b/>
          <w:sz w:val="24"/>
          <w:szCs w:val="24"/>
        </w:rPr>
      </w:pPr>
      <w:r>
        <w:rPr>
          <w:rFonts w:ascii="Times New Roman" w:hAnsi="Times New Roman" w:cs="Times New Roman"/>
          <w:b/>
          <w:sz w:val="24"/>
          <w:szCs w:val="24"/>
        </w:rPr>
        <w:t>Purpose and Objectives</w:t>
      </w:r>
    </w:p>
    <w:p w:rsidR="00B97BBA" w:rsidRDefault="00B97BBA" w:rsidP="00B61334">
      <w:pPr>
        <w:spacing w:after="0" w:line="240" w:lineRule="auto"/>
        <w:rPr>
          <w:rFonts w:ascii="Times New Roman" w:hAnsi="Times New Roman" w:cs="Times New Roman"/>
          <w:sz w:val="24"/>
          <w:szCs w:val="24"/>
        </w:rPr>
      </w:pPr>
      <w:r>
        <w:rPr>
          <w:rFonts w:ascii="Times New Roman" w:hAnsi="Times New Roman" w:cs="Times New Roman"/>
          <w:sz w:val="24"/>
          <w:szCs w:val="24"/>
        </w:rPr>
        <w:t>The current study sought to determine the perceived level of competence in agricultural mechanics of agricultural education pre-service candidates. The specific objective was to determine the change in self-perceived competence in five instructional areas of agricultural mechanics from the beginning of the course until the end of the course.</w:t>
      </w:r>
    </w:p>
    <w:p w:rsidR="00B61334" w:rsidRPr="00C82C2E" w:rsidRDefault="00B61334" w:rsidP="00B61334">
      <w:pPr>
        <w:spacing w:after="0" w:line="240" w:lineRule="auto"/>
        <w:rPr>
          <w:rFonts w:ascii="Times New Roman" w:hAnsi="Times New Roman" w:cs="Times New Roman"/>
          <w:sz w:val="12"/>
          <w:szCs w:val="12"/>
        </w:rPr>
      </w:pPr>
    </w:p>
    <w:p w:rsidR="002F70E4" w:rsidRPr="00B61334" w:rsidRDefault="002F70E4" w:rsidP="00B61334">
      <w:pPr>
        <w:spacing w:line="240" w:lineRule="auto"/>
        <w:rPr>
          <w:rFonts w:ascii="Times New Roman" w:hAnsi="Times New Roman" w:cs="Times New Roman"/>
          <w:b/>
          <w:sz w:val="24"/>
          <w:szCs w:val="24"/>
        </w:rPr>
      </w:pPr>
      <w:r w:rsidRPr="00B61334">
        <w:rPr>
          <w:rFonts w:ascii="Times New Roman" w:hAnsi="Times New Roman" w:cs="Times New Roman"/>
          <w:b/>
          <w:sz w:val="24"/>
          <w:szCs w:val="24"/>
        </w:rPr>
        <w:t>Methods</w:t>
      </w:r>
    </w:p>
    <w:p w:rsidR="00C82C2E" w:rsidRDefault="009537AB" w:rsidP="00C82C2E">
      <w:pPr>
        <w:spacing w:line="240" w:lineRule="auto"/>
        <w:rPr>
          <w:rFonts w:ascii="Times New Roman" w:hAnsi="Times New Roman" w:cs="Times New Roman"/>
          <w:sz w:val="24"/>
          <w:szCs w:val="24"/>
        </w:rPr>
      </w:pPr>
      <w:r w:rsidRPr="009537AB">
        <w:rPr>
          <w:rFonts w:ascii="Times New Roman" w:hAnsi="Times New Roman" w:cs="Times New Roman"/>
          <w:sz w:val="24"/>
          <w:szCs w:val="24"/>
        </w:rPr>
        <w:t xml:space="preserve">The </w:t>
      </w:r>
      <w:r w:rsidR="00B97BBA">
        <w:rPr>
          <w:rFonts w:ascii="Times New Roman" w:hAnsi="Times New Roman" w:cs="Times New Roman"/>
          <w:sz w:val="24"/>
          <w:szCs w:val="24"/>
        </w:rPr>
        <w:t xml:space="preserve">population used for this study was the </w:t>
      </w:r>
      <w:r w:rsidR="004C7FB2">
        <w:rPr>
          <w:rFonts w:ascii="Times New Roman" w:hAnsi="Times New Roman" w:cs="Times New Roman"/>
          <w:sz w:val="24"/>
          <w:szCs w:val="24"/>
        </w:rPr>
        <w:t>ten</w:t>
      </w:r>
      <w:r w:rsidR="00B97BBA">
        <w:rPr>
          <w:rFonts w:ascii="Times New Roman" w:hAnsi="Times New Roman" w:cs="Times New Roman"/>
          <w:sz w:val="24"/>
          <w:szCs w:val="24"/>
        </w:rPr>
        <w:t xml:space="preserve"> students enrolled in the introductory-level agricultural mechanics course during the </w:t>
      </w:r>
      <w:proofErr w:type="gramStart"/>
      <w:r w:rsidR="00B97BBA">
        <w:rPr>
          <w:rFonts w:ascii="Times New Roman" w:hAnsi="Times New Roman" w:cs="Times New Roman"/>
          <w:sz w:val="24"/>
          <w:szCs w:val="24"/>
        </w:rPr>
        <w:t>Spring</w:t>
      </w:r>
      <w:proofErr w:type="gramEnd"/>
      <w:r w:rsidR="00B97BBA">
        <w:rPr>
          <w:rFonts w:ascii="Times New Roman" w:hAnsi="Times New Roman" w:cs="Times New Roman"/>
          <w:sz w:val="24"/>
          <w:szCs w:val="24"/>
        </w:rPr>
        <w:t xml:space="preserve"> 2015 semester</w:t>
      </w:r>
      <w:r w:rsidR="002F70E4">
        <w:rPr>
          <w:rFonts w:ascii="Times New Roman" w:hAnsi="Times New Roman" w:cs="Times New Roman"/>
          <w:sz w:val="24"/>
          <w:szCs w:val="24"/>
        </w:rPr>
        <w:t xml:space="preserve"> at a [state] university</w:t>
      </w:r>
      <w:r w:rsidR="00B97BBA">
        <w:rPr>
          <w:rFonts w:ascii="Times New Roman" w:hAnsi="Times New Roman" w:cs="Times New Roman"/>
          <w:sz w:val="24"/>
          <w:szCs w:val="24"/>
        </w:rPr>
        <w:t xml:space="preserve">. Following approval from the university Institutional Review Board, students were asked to participate in the study that asked them to complete a 26 item survey on the first day of class and the same </w:t>
      </w:r>
      <w:r w:rsidR="002F70E4">
        <w:rPr>
          <w:rFonts w:ascii="Times New Roman" w:hAnsi="Times New Roman" w:cs="Times New Roman"/>
          <w:sz w:val="24"/>
          <w:szCs w:val="24"/>
        </w:rPr>
        <w:t xml:space="preserve">survey </w:t>
      </w:r>
      <w:r w:rsidR="00B97BBA">
        <w:rPr>
          <w:rFonts w:ascii="Times New Roman" w:hAnsi="Times New Roman" w:cs="Times New Roman"/>
          <w:sz w:val="24"/>
          <w:szCs w:val="24"/>
        </w:rPr>
        <w:t xml:space="preserve">on the last day of class. All </w:t>
      </w:r>
      <w:r w:rsidR="004C7FB2">
        <w:rPr>
          <w:rFonts w:ascii="Times New Roman" w:hAnsi="Times New Roman" w:cs="Times New Roman"/>
          <w:sz w:val="24"/>
          <w:szCs w:val="24"/>
        </w:rPr>
        <w:t>ten</w:t>
      </w:r>
      <w:r w:rsidR="00B97BBA">
        <w:rPr>
          <w:rFonts w:ascii="Times New Roman" w:hAnsi="Times New Roman" w:cs="Times New Roman"/>
          <w:sz w:val="24"/>
          <w:szCs w:val="24"/>
        </w:rPr>
        <w:t xml:space="preserve"> students agreed to participate, and completed both the pre-test and post-test survey</w:t>
      </w:r>
      <w:r w:rsidR="002F70E4">
        <w:rPr>
          <w:rFonts w:ascii="Times New Roman" w:hAnsi="Times New Roman" w:cs="Times New Roman"/>
          <w:sz w:val="24"/>
          <w:szCs w:val="24"/>
        </w:rPr>
        <w:t>s.</w:t>
      </w:r>
      <w:r w:rsidR="005F1603">
        <w:rPr>
          <w:rFonts w:ascii="Times New Roman" w:hAnsi="Times New Roman" w:cs="Times New Roman"/>
          <w:sz w:val="24"/>
          <w:szCs w:val="24"/>
        </w:rPr>
        <w:t xml:space="preserve"> </w:t>
      </w:r>
      <w:r w:rsidR="00C82C2E">
        <w:rPr>
          <w:rFonts w:ascii="Times New Roman" w:hAnsi="Times New Roman" w:cs="Times New Roman"/>
          <w:sz w:val="24"/>
          <w:szCs w:val="24"/>
        </w:rPr>
        <w:t xml:space="preserve">The survey contained </w:t>
      </w:r>
      <w:r w:rsidR="00823FDB">
        <w:rPr>
          <w:rFonts w:ascii="Times New Roman" w:hAnsi="Times New Roman" w:cs="Times New Roman"/>
          <w:sz w:val="24"/>
          <w:szCs w:val="24"/>
        </w:rPr>
        <w:t>five competency</w:t>
      </w:r>
      <w:r w:rsidR="00C82C2E">
        <w:rPr>
          <w:rFonts w:ascii="Times New Roman" w:hAnsi="Times New Roman" w:cs="Times New Roman"/>
          <w:sz w:val="24"/>
          <w:szCs w:val="24"/>
        </w:rPr>
        <w:t xml:space="preserve"> areas based on the units taught during the course. The unit areas were: Small gasoline engines, concrete/masonry, electrical wiring, welding, and land measurement. Unit objectives were utilized as the individual items for </w:t>
      </w:r>
      <w:r w:rsidR="00C82C2E">
        <w:rPr>
          <w:rFonts w:ascii="Times New Roman" w:hAnsi="Times New Roman" w:cs="Times New Roman"/>
          <w:sz w:val="24"/>
          <w:szCs w:val="24"/>
        </w:rPr>
        <w:lastRenderedPageBreak/>
        <w:t xml:space="preserve">the survey, as this allowed for consistent evaluation of the objectives for the course, as well as for future improvement of the course. A 10-point Likert scale, from 1 = Not Competent to 10 = Very Competent, was utilized to collect data. Data were entered into Excel® and means were calculated for each of the five </w:t>
      </w:r>
      <w:r w:rsidR="00823FDB">
        <w:rPr>
          <w:rFonts w:ascii="Times New Roman" w:hAnsi="Times New Roman" w:cs="Times New Roman"/>
          <w:sz w:val="24"/>
          <w:szCs w:val="24"/>
        </w:rPr>
        <w:t>competency areas</w:t>
      </w:r>
      <w:r w:rsidR="00C82C2E">
        <w:rPr>
          <w:rFonts w:ascii="Times New Roman" w:hAnsi="Times New Roman" w:cs="Times New Roman"/>
          <w:sz w:val="24"/>
          <w:szCs w:val="24"/>
        </w:rPr>
        <w:t>.</w:t>
      </w:r>
    </w:p>
    <w:p w:rsidR="006536F3" w:rsidRDefault="006536F3" w:rsidP="00904655">
      <w:pPr>
        <w:rPr>
          <w:rFonts w:ascii="Times New Roman" w:hAnsi="Times New Roman" w:cs="Times New Roman"/>
          <w:b/>
          <w:sz w:val="24"/>
          <w:szCs w:val="24"/>
        </w:rPr>
      </w:pPr>
      <w:r w:rsidRPr="006536F3">
        <w:rPr>
          <w:rFonts w:ascii="Times New Roman" w:hAnsi="Times New Roman" w:cs="Times New Roman"/>
          <w:b/>
          <w:sz w:val="24"/>
          <w:szCs w:val="24"/>
        </w:rPr>
        <w:t>Results/Findings</w:t>
      </w:r>
    </w:p>
    <w:p w:rsidR="007A2D92" w:rsidRPr="00B61334" w:rsidRDefault="007A2D92" w:rsidP="00B61334">
      <w:pPr>
        <w:spacing w:line="240" w:lineRule="auto"/>
        <w:rPr>
          <w:rFonts w:ascii="Times New Roman" w:hAnsi="Times New Roman" w:cs="Times New Roman"/>
          <w:sz w:val="24"/>
          <w:szCs w:val="24"/>
        </w:rPr>
      </w:pPr>
      <w:r w:rsidRPr="00B61334">
        <w:rPr>
          <w:rFonts w:ascii="Times New Roman" w:hAnsi="Times New Roman" w:cs="Times New Roman"/>
          <w:sz w:val="24"/>
          <w:szCs w:val="24"/>
        </w:rPr>
        <w:t>As shown in Table 1</w:t>
      </w:r>
      <w:r>
        <w:rPr>
          <w:rFonts w:ascii="Times New Roman" w:hAnsi="Times New Roman" w:cs="Times New Roman"/>
          <w:sz w:val="24"/>
          <w:szCs w:val="24"/>
        </w:rPr>
        <w:t>, overall competency levels in each of the five competency areas increased from pretest to posttest. The lowest level of competency was in welding (M=3.06), followed by land management (M=3.12)</w:t>
      </w:r>
      <w:r w:rsidR="00484563">
        <w:rPr>
          <w:rFonts w:ascii="Times New Roman" w:hAnsi="Times New Roman" w:cs="Times New Roman"/>
          <w:sz w:val="24"/>
          <w:szCs w:val="24"/>
        </w:rPr>
        <w:t xml:space="preserve">.  For two competencies, small engines and electrical wiring, the means were slightly higher (M=3.87 and M=3.83 respectively). </w:t>
      </w:r>
    </w:p>
    <w:p w:rsidR="00BE27D2" w:rsidRDefault="00BE27D2" w:rsidP="00BE27D2">
      <w:pPr>
        <w:spacing w:line="240" w:lineRule="auto"/>
        <w:ind w:right="-540"/>
        <w:rPr>
          <w:rFonts w:ascii="Times New Roman" w:hAnsi="Times New Roman" w:cs="Times New Roman"/>
          <w:sz w:val="24"/>
          <w:szCs w:val="24"/>
        </w:rPr>
      </w:pPr>
      <w:r>
        <w:rPr>
          <w:rFonts w:ascii="Times New Roman" w:hAnsi="Times New Roman" w:cs="Times New Roman"/>
          <w:sz w:val="24"/>
          <w:szCs w:val="24"/>
        </w:rPr>
        <w:t xml:space="preserve">Table 1: Mean Differences in Competency Levels in an </w:t>
      </w:r>
      <w:r w:rsidR="00484367">
        <w:rPr>
          <w:rFonts w:ascii="Times New Roman" w:hAnsi="Times New Roman" w:cs="Times New Roman"/>
          <w:sz w:val="24"/>
          <w:szCs w:val="24"/>
        </w:rPr>
        <w:t xml:space="preserve"> Agricultural </w:t>
      </w:r>
      <w:r>
        <w:rPr>
          <w:rFonts w:ascii="Times New Roman" w:hAnsi="Times New Roman" w:cs="Times New Roman"/>
          <w:sz w:val="24"/>
          <w:szCs w:val="24"/>
        </w:rPr>
        <w:t>Mechanics Course (N=10)</w:t>
      </w:r>
    </w:p>
    <w:tbl>
      <w:tblPr>
        <w:tblStyle w:val="TableGrid"/>
        <w:tblW w:w="8478" w:type="dxa"/>
        <w:tblLook w:val="04A0" w:firstRow="1" w:lastRow="0" w:firstColumn="1" w:lastColumn="0" w:noHBand="0" w:noVBand="1"/>
      </w:tblPr>
      <w:tblGrid>
        <w:gridCol w:w="2538"/>
        <w:gridCol w:w="1980"/>
        <w:gridCol w:w="1980"/>
        <w:gridCol w:w="1980"/>
      </w:tblGrid>
      <w:tr w:rsidR="00BE27D2" w:rsidRPr="00746EB8" w:rsidTr="00BE27D2">
        <w:tc>
          <w:tcPr>
            <w:tcW w:w="2538" w:type="dxa"/>
          </w:tcPr>
          <w:p w:rsidR="00BE27D2" w:rsidRPr="00746EB8" w:rsidRDefault="00BE27D2" w:rsidP="00830E72">
            <w:pPr>
              <w:rPr>
                <w:rFonts w:ascii="Times New Roman" w:hAnsi="Times New Roman" w:cs="Times New Roman"/>
                <w:sz w:val="24"/>
                <w:szCs w:val="24"/>
              </w:rPr>
            </w:pPr>
            <w:r w:rsidRPr="00746EB8">
              <w:rPr>
                <w:rFonts w:ascii="Times New Roman" w:hAnsi="Times New Roman" w:cs="Times New Roman"/>
                <w:sz w:val="24"/>
                <w:szCs w:val="24"/>
              </w:rPr>
              <w:t>Competency</w:t>
            </w:r>
          </w:p>
        </w:tc>
        <w:tc>
          <w:tcPr>
            <w:tcW w:w="1980" w:type="dxa"/>
          </w:tcPr>
          <w:p w:rsidR="00BE27D2" w:rsidRPr="00746EB8" w:rsidRDefault="00BE27D2" w:rsidP="00830E72">
            <w:pPr>
              <w:rPr>
                <w:rFonts w:ascii="Times New Roman" w:hAnsi="Times New Roman" w:cs="Times New Roman"/>
                <w:sz w:val="24"/>
                <w:szCs w:val="24"/>
              </w:rPr>
            </w:pPr>
            <w:r w:rsidRPr="00746EB8">
              <w:rPr>
                <w:rFonts w:ascii="Times New Roman" w:hAnsi="Times New Roman" w:cs="Times New Roman"/>
                <w:sz w:val="24"/>
                <w:szCs w:val="24"/>
              </w:rPr>
              <w:t>Pre-test Statement Mean</w:t>
            </w:r>
            <w:r>
              <w:rPr>
                <w:rFonts w:ascii="Times New Roman" w:hAnsi="Times New Roman" w:cs="Times New Roman"/>
                <w:sz w:val="24"/>
                <w:szCs w:val="24"/>
              </w:rPr>
              <w:t>*</w:t>
            </w:r>
          </w:p>
        </w:tc>
        <w:tc>
          <w:tcPr>
            <w:tcW w:w="1980" w:type="dxa"/>
          </w:tcPr>
          <w:p w:rsidR="00BE27D2" w:rsidRPr="00746EB8" w:rsidRDefault="00BE27D2" w:rsidP="00830E72">
            <w:pPr>
              <w:rPr>
                <w:rFonts w:ascii="Times New Roman" w:hAnsi="Times New Roman" w:cs="Times New Roman"/>
                <w:sz w:val="24"/>
                <w:szCs w:val="24"/>
              </w:rPr>
            </w:pPr>
            <w:r>
              <w:rPr>
                <w:rFonts w:ascii="Times New Roman" w:hAnsi="Times New Roman" w:cs="Times New Roman"/>
                <w:sz w:val="24"/>
                <w:szCs w:val="24"/>
              </w:rPr>
              <w:t>Post-test Statement Mean*</w:t>
            </w:r>
          </w:p>
        </w:tc>
        <w:tc>
          <w:tcPr>
            <w:tcW w:w="1980" w:type="dxa"/>
          </w:tcPr>
          <w:p w:rsidR="00BE27D2" w:rsidRPr="00746EB8" w:rsidRDefault="00BE27D2" w:rsidP="00830E72">
            <w:pPr>
              <w:rPr>
                <w:rFonts w:ascii="Times New Roman" w:hAnsi="Times New Roman" w:cs="Times New Roman"/>
                <w:sz w:val="24"/>
                <w:szCs w:val="24"/>
              </w:rPr>
            </w:pPr>
            <w:r>
              <w:rPr>
                <w:rFonts w:ascii="Times New Roman" w:hAnsi="Times New Roman" w:cs="Times New Roman"/>
                <w:sz w:val="24"/>
                <w:szCs w:val="24"/>
              </w:rPr>
              <w:t>Statement Mean Difference</w:t>
            </w:r>
          </w:p>
        </w:tc>
      </w:tr>
      <w:tr w:rsidR="00BE27D2" w:rsidRPr="00746EB8" w:rsidTr="00BE27D2">
        <w:tc>
          <w:tcPr>
            <w:tcW w:w="2538" w:type="dxa"/>
          </w:tcPr>
          <w:p w:rsidR="00BE27D2" w:rsidRPr="00746EB8" w:rsidRDefault="00BE27D2" w:rsidP="00BE27D2">
            <w:pPr>
              <w:spacing w:line="360" w:lineRule="auto"/>
              <w:rPr>
                <w:rFonts w:ascii="Times New Roman" w:hAnsi="Times New Roman" w:cs="Times New Roman"/>
                <w:sz w:val="24"/>
                <w:szCs w:val="24"/>
              </w:rPr>
            </w:pPr>
            <w:r>
              <w:rPr>
                <w:rFonts w:ascii="Times New Roman" w:hAnsi="Times New Roman" w:cs="Times New Roman"/>
                <w:sz w:val="24"/>
                <w:szCs w:val="24"/>
              </w:rPr>
              <w:t xml:space="preserve">Small Engines </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3.87</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8.46</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4.59</w:t>
            </w:r>
          </w:p>
        </w:tc>
      </w:tr>
      <w:tr w:rsidR="00BE27D2" w:rsidRPr="00746EB8" w:rsidTr="00BE27D2">
        <w:tc>
          <w:tcPr>
            <w:tcW w:w="2538" w:type="dxa"/>
          </w:tcPr>
          <w:p w:rsidR="00BE27D2" w:rsidRPr="00746EB8" w:rsidRDefault="00BE27D2" w:rsidP="00BE27D2">
            <w:pPr>
              <w:spacing w:line="360" w:lineRule="auto"/>
              <w:rPr>
                <w:rFonts w:ascii="Times New Roman" w:hAnsi="Times New Roman" w:cs="Times New Roman"/>
                <w:sz w:val="24"/>
                <w:szCs w:val="24"/>
              </w:rPr>
            </w:pPr>
            <w:r>
              <w:rPr>
                <w:rFonts w:ascii="Times New Roman" w:hAnsi="Times New Roman" w:cs="Times New Roman"/>
                <w:sz w:val="24"/>
                <w:szCs w:val="24"/>
              </w:rPr>
              <w:t xml:space="preserve">Concrete/Masonry </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3.35</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9.12</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5.77</w:t>
            </w:r>
          </w:p>
        </w:tc>
      </w:tr>
      <w:tr w:rsidR="00BE27D2" w:rsidRPr="00746EB8" w:rsidTr="00BE27D2">
        <w:tc>
          <w:tcPr>
            <w:tcW w:w="2538" w:type="dxa"/>
          </w:tcPr>
          <w:p w:rsidR="00BE27D2" w:rsidRPr="00746EB8" w:rsidRDefault="00BE27D2" w:rsidP="00BE27D2">
            <w:pPr>
              <w:spacing w:line="360" w:lineRule="auto"/>
              <w:rPr>
                <w:rFonts w:ascii="Times New Roman" w:hAnsi="Times New Roman" w:cs="Times New Roman"/>
                <w:sz w:val="24"/>
                <w:szCs w:val="24"/>
              </w:rPr>
            </w:pPr>
            <w:r>
              <w:rPr>
                <w:rFonts w:ascii="Times New Roman" w:hAnsi="Times New Roman" w:cs="Times New Roman"/>
                <w:sz w:val="24"/>
                <w:szCs w:val="24"/>
              </w:rPr>
              <w:t xml:space="preserve">Electrical Wiring </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3.83</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8.06</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4.23</w:t>
            </w:r>
          </w:p>
        </w:tc>
      </w:tr>
      <w:tr w:rsidR="00BE27D2" w:rsidRPr="00746EB8" w:rsidTr="00BE27D2">
        <w:tc>
          <w:tcPr>
            <w:tcW w:w="2538" w:type="dxa"/>
          </w:tcPr>
          <w:p w:rsidR="00BE27D2" w:rsidRPr="00746EB8" w:rsidRDefault="00BE27D2" w:rsidP="00BE27D2">
            <w:pPr>
              <w:spacing w:line="360" w:lineRule="auto"/>
              <w:rPr>
                <w:rFonts w:ascii="Times New Roman" w:hAnsi="Times New Roman" w:cs="Times New Roman"/>
                <w:sz w:val="24"/>
                <w:szCs w:val="24"/>
              </w:rPr>
            </w:pPr>
            <w:r>
              <w:rPr>
                <w:rFonts w:ascii="Times New Roman" w:hAnsi="Times New Roman" w:cs="Times New Roman"/>
                <w:sz w:val="24"/>
                <w:szCs w:val="24"/>
              </w:rPr>
              <w:t xml:space="preserve">Welding </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3.06</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8.44</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5.38</w:t>
            </w:r>
          </w:p>
        </w:tc>
      </w:tr>
      <w:tr w:rsidR="00BE27D2" w:rsidRPr="00746EB8" w:rsidTr="00BE27D2">
        <w:tc>
          <w:tcPr>
            <w:tcW w:w="2538" w:type="dxa"/>
          </w:tcPr>
          <w:p w:rsidR="00BE27D2" w:rsidRPr="00746EB8" w:rsidRDefault="00BE27D2" w:rsidP="00BE27D2">
            <w:pPr>
              <w:spacing w:line="360" w:lineRule="auto"/>
              <w:rPr>
                <w:rFonts w:ascii="Times New Roman" w:hAnsi="Times New Roman" w:cs="Times New Roman"/>
                <w:sz w:val="24"/>
                <w:szCs w:val="24"/>
              </w:rPr>
            </w:pPr>
            <w:r>
              <w:rPr>
                <w:rFonts w:ascii="Times New Roman" w:hAnsi="Times New Roman" w:cs="Times New Roman"/>
                <w:sz w:val="24"/>
                <w:szCs w:val="24"/>
              </w:rPr>
              <w:t xml:space="preserve">Land Management </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3.12</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8.5</w:t>
            </w:r>
          </w:p>
        </w:tc>
        <w:tc>
          <w:tcPr>
            <w:tcW w:w="1980" w:type="dxa"/>
          </w:tcPr>
          <w:p w:rsidR="00BE27D2" w:rsidRPr="00746EB8" w:rsidRDefault="00BE27D2" w:rsidP="00830E72">
            <w:pPr>
              <w:spacing w:line="360" w:lineRule="auto"/>
              <w:jc w:val="center"/>
              <w:rPr>
                <w:rFonts w:ascii="Times New Roman" w:hAnsi="Times New Roman" w:cs="Times New Roman"/>
                <w:sz w:val="24"/>
                <w:szCs w:val="24"/>
              </w:rPr>
            </w:pPr>
            <w:r>
              <w:rPr>
                <w:rFonts w:ascii="Times New Roman" w:hAnsi="Times New Roman" w:cs="Times New Roman"/>
                <w:sz w:val="24"/>
                <w:szCs w:val="24"/>
              </w:rPr>
              <w:t>5.38</w:t>
            </w:r>
          </w:p>
        </w:tc>
      </w:tr>
    </w:tbl>
    <w:p w:rsidR="00BE27D2" w:rsidRDefault="00BE27D2" w:rsidP="00C82C2E">
      <w:pPr>
        <w:spacing w:after="0" w:line="240" w:lineRule="auto"/>
        <w:rPr>
          <w:rFonts w:ascii="Times New Roman" w:hAnsi="Times New Roman" w:cs="Times New Roman"/>
          <w:sz w:val="24"/>
          <w:szCs w:val="24"/>
        </w:rPr>
      </w:pPr>
      <w:r w:rsidRPr="00B61334">
        <w:rPr>
          <w:rFonts w:ascii="Times New Roman" w:hAnsi="Times New Roman" w:cs="Times New Roman"/>
          <w:sz w:val="24"/>
          <w:szCs w:val="24"/>
        </w:rPr>
        <w:t>Mean computed on a scale from 1 (not competent) to 10 (highly competent)</w:t>
      </w:r>
    </w:p>
    <w:p w:rsidR="00C82C2E" w:rsidRPr="00C82C2E" w:rsidRDefault="00C82C2E" w:rsidP="00C82C2E">
      <w:pPr>
        <w:spacing w:after="0" w:line="240" w:lineRule="auto"/>
        <w:rPr>
          <w:rFonts w:ascii="Times New Roman" w:hAnsi="Times New Roman" w:cs="Times New Roman"/>
          <w:b/>
          <w:sz w:val="12"/>
          <w:szCs w:val="12"/>
        </w:rPr>
      </w:pPr>
    </w:p>
    <w:p w:rsidR="00655686" w:rsidRDefault="006536F3" w:rsidP="00B61334">
      <w:pPr>
        <w:spacing w:line="240" w:lineRule="auto"/>
        <w:ind w:right="-360"/>
        <w:rPr>
          <w:rFonts w:ascii="Times New Roman" w:hAnsi="Times New Roman" w:cs="Times New Roman"/>
          <w:b/>
          <w:sz w:val="24"/>
          <w:szCs w:val="24"/>
        </w:rPr>
      </w:pPr>
      <w:r w:rsidRPr="006536F3">
        <w:rPr>
          <w:rFonts w:ascii="Times New Roman" w:hAnsi="Times New Roman" w:cs="Times New Roman"/>
          <w:b/>
          <w:sz w:val="24"/>
          <w:szCs w:val="24"/>
        </w:rPr>
        <w:t>Conclusions/Implications/Recommendations</w:t>
      </w:r>
    </w:p>
    <w:p w:rsidR="000F394E" w:rsidRDefault="0009263A" w:rsidP="00B61334">
      <w:pPr>
        <w:spacing w:line="240" w:lineRule="auto"/>
        <w:ind w:right="-360"/>
        <w:rPr>
          <w:rFonts w:ascii="Times New Roman" w:hAnsi="Times New Roman" w:cs="Times New Roman"/>
          <w:sz w:val="24"/>
          <w:szCs w:val="24"/>
        </w:rPr>
      </w:pPr>
      <w:r>
        <w:rPr>
          <w:rFonts w:ascii="Times New Roman" w:hAnsi="Times New Roman" w:cs="Times New Roman"/>
          <w:sz w:val="24"/>
          <w:szCs w:val="24"/>
        </w:rPr>
        <w:t xml:space="preserve">Overall, students’ </w:t>
      </w:r>
      <w:r w:rsidR="000F394E">
        <w:rPr>
          <w:rFonts w:ascii="Times New Roman" w:hAnsi="Times New Roman" w:cs="Times New Roman"/>
          <w:sz w:val="24"/>
          <w:szCs w:val="24"/>
        </w:rPr>
        <w:t>perceived competence increased in each of the areas between the beginning of the course and the end of the course. The teacher education faculty should consider was to expose students to agricultural mechanics concepts prior to entry into this introductory-level agricultural mechanics course to determine, if the student low perception of competence at the beginning of the course can be “changed” through exposure to agricultural mechanics prior to the course. Additionally, the faculty mem</w:t>
      </w:r>
      <w:bookmarkStart w:id="0" w:name="_GoBack"/>
      <w:bookmarkEnd w:id="0"/>
      <w:r w:rsidR="000F394E">
        <w:rPr>
          <w:rFonts w:ascii="Times New Roman" w:hAnsi="Times New Roman" w:cs="Times New Roman"/>
          <w:sz w:val="24"/>
          <w:szCs w:val="24"/>
        </w:rPr>
        <w:t>bers should focus on some of the lowest growth areas</w:t>
      </w:r>
      <w:r w:rsidR="00B61334">
        <w:rPr>
          <w:rFonts w:ascii="Times New Roman" w:hAnsi="Times New Roman" w:cs="Times New Roman"/>
          <w:sz w:val="24"/>
          <w:szCs w:val="24"/>
        </w:rPr>
        <w:t xml:space="preserve"> (for example, welding and land management)</w:t>
      </w:r>
      <w:r w:rsidR="000F394E">
        <w:rPr>
          <w:rFonts w:ascii="Times New Roman" w:hAnsi="Times New Roman" w:cs="Times New Roman"/>
          <w:sz w:val="24"/>
          <w:szCs w:val="24"/>
        </w:rPr>
        <w:t xml:space="preserve"> in terms of perceived competence in the sub</w:t>
      </w:r>
      <w:r w:rsidR="00D02F2B">
        <w:rPr>
          <w:rFonts w:ascii="Times New Roman" w:hAnsi="Times New Roman" w:cs="Times New Roman"/>
          <w:sz w:val="24"/>
          <w:szCs w:val="24"/>
        </w:rPr>
        <w:t xml:space="preserve">sequent course to help further develop </w:t>
      </w:r>
      <w:r w:rsidR="000F394E">
        <w:rPr>
          <w:rFonts w:ascii="Times New Roman" w:hAnsi="Times New Roman" w:cs="Times New Roman"/>
          <w:sz w:val="24"/>
          <w:szCs w:val="24"/>
        </w:rPr>
        <w:t>the competence of students prior to their student teaching experience. The instructor of the course should also be aware of the changes in perceived competence in each topic area, and reflect upon how that unit was taught, and make changes to increase the technical competence of students in upcoming semesters.</w:t>
      </w:r>
      <w:r w:rsidR="00B61334">
        <w:rPr>
          <w:rFonts w:ascii="Times New Roman" w:hAnsi="Times New Roman" w:cs="Times New Roman"/>
          <w:sz w:val="24"/>
          <w:szCs w:val="24"/>
        </w:rPr>
        <w:t xml:space="preserve"> A mid-semester assessment of the competencies may provide valuable cues on improving instruction, technical content, and feedback.</w:t>
      </w:r>
    </w:p>
    <w:p w:rsidR="00746EB8" w:rsidRDefault="006758E2" w:rsidP="00C82C2E">
      <w:pPr>
        <w:spacing w:line="240" w:lineRule="auto"/>
        <w:ind w:right="-450"/>
        <w:rPr>
          <w:rFonts w:ascii="Times New Roman" w:hAnsi="Times New Roman" w:cs="Times New Roman"/>
          <w:sz w:val="24"/>
          <w:szCs w:val="24"/>
        </w:rPr>
      </w:pPr>
      <w:r>
        <w:rPr>
          <w:rFonts w:ascii="Times New Roman" w:hAnsi="Times New Roman" w:cs="Times New Roman"/>
          <w:sz w:val="24"/>
          <w:szCs w:val="24"/>
        </w:rPr>
        <w:t>Individual perceived competence levels varied within topic areas. Individualized student work should be considered for each student based on their perceived level of competence. This recommendation could be implemented into future semesters of this course, or students could be asked to complete a survey following each unit, and then the final unit of the class could be an individualized unit, developed by the instructor and student, which would help the student focus on their specific need. This would not only teach the student more technical content in an area of perceived low competence, it would also allow the student the opportunity to reflect on their abilities, and then make a plan for improvement.</w:t>
      </w:r>
    </w:p>
    <w:p w:rsidR="00655686" w:rsidRPr="00655686" w:rsidRDefault="00655686" w:rsidP="00904655">
      <w:pPr>
        <w:rPr>
          <w:rFonts w:ascii="Times New Roman" w:hAnsi="Times New Roman" w:cs="Times New Roman"/>
          <w:b/>
          <w:sz w:val="24"/>
          <w:szCs w:val="24"/>
        </w:rPr>
      </w:pPr>
      <w:r w:rsidRPr="00655686">
        <w:rPr>
          <w:rFonts w:ascii="Times New Roman" w:hAnsi="Times New Roman" w:cs="Times New Roman"/>
          <w:b/>
          <w:sz w:val="24"/>
          <w:szCs w:val="24"/>
        </w:rPr>
        <w:lastRenderedPageBreak/>
        <w:t>References</w:t>
      </w:r>
    </w:p>
    <w:p w:rsidR="00960908" w:rsidRDefault="00960908" w:rsidP="00960908">
      <w:pPr>
        <w:ind w:left="720" w:hanging="720"/>
        <w:rPr>
          <w:rFonts w:ascii="Times New Roman" w:hAnsi="Times New Roman" w:cs="Times New Roman"/>
          <w:sz w:val="24"/>
          <w:szCs w:val="24"/>
        </w:rPr>
      </w:pPr>
      <w:r w:rsidRPr="00960908">
        <w:rPr>
          <w:rFonts w:ascii="Times New Roman" w:hAnsi="Times New Roman" w:cs="Times New Roman"/>
          <w:sz w:val="24"/>
          <w:szCs w:val="24"/>
        </w:rPr>
        <w:t xml:space="preserve">Bandura, A. (1997). </w:t>
      </w:r>
      <w:r w:rsidRPr="00960908">
        <w:rPr>
          <w:rFonts w:ascii="Times New Roman" w:hAnsi="Times New Roman" w:cs="Times New Roman"/>
          <w:i/>
          <w:sz w:val="24"/>
          <w:szCs w:val="24"/>
        </w:rPr>
        <w:t>Self-efficacy: The exercise of control</w:t>
      </w:r>
      <w:r w:rsidRPr="00960908">
        <w:rPr>
          <w:rFonts w:ascii="Times New Roman" w:hAnsi="Times New Roman" w:cs="Times New Roman"/>
          <w:sz w:val="24"/>
          <w:szCs w:val="24"/>
        </w:rPr>
        <w:t>. New York: Freeman.</w:t>
      </w:r>
      <w:r w:rsidRPr="00655686">
        <w:rPr>
          <w:rFonts w:ascii="Times New Roman" w:hAnsi="Times New Roman" w:cs="Times New Roman"/>
          <w:sz w:val="24"/>
          <w:szCs w:val="24"/>
        </w:rPr>
        <w:t xml:space="preserve"> </w:t>
      </w:r>
    </w:p>
    <w:p w:rsidR="00960908" w:rsidRDefault="00960908" w:rsidP="00655686">
      <w:pPr>
        <w:ind w:left="720" w:hanging="720"/>
        <w:rPr>
          <w:rFonts w:ascii="Times New Roman" w:hAnsi="Times New Roman" w:cs="Times New Roman"/>
          <w:sz w:val="24"/>
          <w:szCs w:val="24"/>
        </w:rPr>
      </w:pPr>
      <w:proofErr w:type="gramStart"/>
      <w:r>
        <w:rPr>
          <w:rFonts w:ascii="Times New Roman" w:hAnsi="Times New Roman" w:cs="Times New Roman"/>
          <w:sz w:val="24"/>
          <w:szCs w:val="24"/>
        </w:rPr>
        <w:t>Blackburn,</w:t>
      </w:r>
      <w:r w:rsidR="00DF5FF1">
        <w:rPr>
          <w:rFonts w:ascii="Times New Roman" w:hAnsi="Times New Roman" w:cs="Times New Roman"/>
          <w:sz w:val="24"/>
          <w:szCs w:val="24"/>
        </w:rPr>
        <w:t xml:space="preserve"> J. J.,</w:t>
      </w:r>
      <w:r>
        <w:rPr>
          <w:rFonts w:ascii="Times New Roman" w:hAnsi="Times New Roman" w:cs="Times New Roman"/>
          <w:sz w:val="24"/>
          <w:szCs w:val="24"/>
        </w:rPr>
        <w:t xml:space="preserve"> Robinson,</w:t>
      </w:r>
      <w:r w:rsidR="00DF5FF1">
        <w:rPr>
          <w:rFonts w:ascii="Times New Roman" w:hAnsi="Times New Roman" w:cs="Times New Roman"/>
          <w:sz w:val="24"/>
          <w:szCs w:val="24"/>
        </w:rPr>
        <w:t xml:space="preserve"> J. S., and Field, H. (</w:t>
      </w:r>
      <w:r>
        <w:rPr>
          <w:rFonts w:ascii="Times New Roman" w:hAnsi="Times New Roman" w:cs="Times New Roman"/>
          <w:sz w:val="24"/>
          <w:szCs w:val="24"/>
        </w:rPr>
        <w:t>2015</w:t>
      </w:r>
      <w:r w:rsidR="00DF5FF1">
        <w:rPr>
          <w:rFonts w:ascii="Times New Roman" w:hAnsi="Times New Roman" w:cs="Times New Roman"/>
          <w:sz w:val="24"/>
          <w:szCs w:val="24"/>
        </w:rPr>
        <w:t>).</w:t>
      </w:r>
      <w:proofErr w:type="gramEnd"/>
      <w:r w:rsidR="00DF5FF1">
        <w:rPr>
          <w:rFonts w:ascii="Times New Roman" w:hAnsi="Times New Roman" w:cs="Times New Roman"/>
          <w:sz w:val="24"/>
          <w:szCs w:val="24"/>
        </w:rPr>
        <w:t xml:space="preserve"> </w:t>
      </w:r>
      <w:proofErr w:type="gramStart"/>
      <w:r w:rsidR="00DF5FF1">
        <w:rPr>
          <w:rFonts w:ascii="Times New Roman" w:hAnsi="Times New Roman" w:cs="Times New Roman"/>
          <w:sz w:val="24"/>
          <w:szCs w:val="24"/>
        </w:rPr>
        <w:t>Preservice agriculture teachers’ perceived level of readiness in an</w:t>
      </w:r>
      <w:r w:rsidR="008707BF">
        <w:rPr>
          <w:rFonts w:ascii="Times New Roman" w:hAnsi="Times New Roman" w:cs="Times New Roman"/>
          <w:sz w:val="24"/>
          <w:szCs w:val="24"/>
        </w:rPr>
        <w:t xml:space="preserve"> agricultural mechanics course.</w:t>
      </w:r>
      <w:proofErr w:type="gramEnd"/>
      <w:r w:rsidR="008707BF">
        <w:rPr>
          <w:rFonts w:ascii="Times New Roman" w:hAnsi="Times New Roman" w:cs="Times New Roman"/>
          <w:sz w:val="24"/>
          <w:szCs w:val="24"/>
        </w:rPr>
        <w:t xml:space="preserve"> </w:t>
      </w:r>
      <w:r w:rsidR="008707BF">
        <w:rPr>
          <w:rFonts w:ascii="Times New Roman" w:hAnsi="Times New Roman" w:cs="Times New Roman"/>
          <w:i/>
          <w:sz w:val="24"/>
          <w:szCs w:val="24"/>
        </w:rPr>
        <w:t>Journal of Agricultural Education, 56</w:t>
      </w:r>
      <w:r w:rsidR="008707BF">
        <w:rPr>
          <w:rFonts w:ascii="Times New Roman" w:hAnsi="Times New Roman" w:cs="Times New Roman"/>
          <w:sz w:val="24"/>
          <w:szCs w:val="24"/>
        </w:rPr>
        <w:t xml:space="preserve"> (1), 172 – 187. </w:t>
      </w:r>
      <w:proofErr w:type="spellStart"/>
      <w:proofErr w:type="gramStart"/>
      <w:r w:rsidR="008707BF">
        <w:rPr>
          <w:rFonts w:ascii="Times New Roman" w:hAnsi="Times New Roman" w:cs="Times New Roman"/>
          <w:sz w:val="24"/>
          <w:szCs w:val="24"/>
        </w:rPr>
        <w:t>doi</w:t>
      </w:r>
      <w:proofErr w:type="spellEnd"/>
      <w:proofErr w:type="gramEnd"/>
      <w:r w:rsidR="008707BF">
        <w:rPr>
          <w:rFonts w:ascii="Times New Roman" w:hAnsi="Times New Roman" w:cs="Times New Roman"/>
          <w:sz w:val="24"/>
          <w:szCs w:val="24"/>
        </w:rPr>
        <w:t>: 10.5032/jae.2015.01172</w:t>
      </w:r>
    </w:p>
    <w:p w:rsidR="00960908" w:rsidRDefault="008707BF" w:rsidP="00655686">
      <w:pPr>
        <w:ind w:left="720" w:hanging="720"/>
        <w:rPr>
          <w:rFonts w:ascii="Times New Roman" w:hAnsi="Times New Roman" w:cs="Times New Roman"/>
          <w:sz w:val="24"/>
          <w:szCs w:val="24"/>
        </w:rPr>
      </w:pPr>
      <w:proofErr w:type="gramStart"/>
      <w:r>
        <w:rPr>
          <w:rFonts w:ascii="Times New Roman" w:hAnsi="Times New Roman" w:cs="Times New Roman"/>
          <w:sz w:val="24"/>
          <w:szCs w:val="24"/>
        </w:rPr>
        <w:t>Byrd, A. P., Anderson, R. G., Paulsen, T. H., and Shultz, M. J. (2015).</w:t>
      </w:r>
      <w:proofErr w:type="gramEnd"/>
      <w:r w:rsidR="00960908">
        <w:rPr>
          <w:rFonts w:ascii="Times New Roman" w:hAnsi="Times New Roman" w:cs="Times New Roman"/>
          <w:sz w:val="24"/>
          <w:szCs w:val="24"/>
        </w:rPr>
        <w:t xml:space="preserve"> </w:t>
      </w:r>
      <w:r>
        <w:rPr>
          <w:rFonts w:ascii="Times New Roman" w:hAnsi="Times New Roman" w:cs="Times New Roman"/>
          <w:sz w:val="24"/>
          <w:szCs w:val="24"/>
        </w:rPr>
        <w:t xml:space="preserve">Does the number of post-secondary agricultural mechanics courses completed affect teacher </w:t>
      </w:r>
      <w:proofErr w:type="gramStart"/>
      <w:r>
        <w:rPr>
          <w:rFonts w:ascii="Times New Roman" w:hAnsi="Times New Roman" w:cs="Times New Roman"/>
          <w:sz w:val="24"/>
          <w:szCs w:val="24"/>
        </w:rPr>
        <w:t>competence.</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Agricultural Education, 56</w:t>
      </w:r>
      <w:r>
        <w:rPr>
          <w:rFonts w:ascii="Times New Roman" w:hAnsi="Times New Roman" w:cs="Times New Roman"/>
          <w:sz w:val="24"/>
          <w:szCs w:val="24"/>
        </w:rPr>
        <w:t xml:space="preserve"> (1), 20 – 31.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10.5032/jae.2015.01020</w:t>
      </w:r>
    </w:p>
    <w:p w:rsidR="0009263A" w:rsidRDefault="0009263A" w:rsidP="0009263A">
      <w:pPr>
        <w:spacing w:before="100" w:beforeAutospacing="1" w:after="100" w:afterAutospacing="1" w:line="240" w:lineRule="auto"/>
        <w:rPr>
          <w:rStyle w:val="A9"/>
          <w:rFonts w:ascii="Times New Roman" w:hAnsi="Times New Roman" w:cs="Times New Roman"/>
          <w:sz w:val="24"/>
          <w:szCs w:val="24"/>
        </w:rPr>
      </w:pPr>
      <w:proofErr w:type="gramStart"/>
      <w:r w:rsidRPr="00462F5C">
        <w:rPr>
          <w:rStyle w:val="A9"/>
          <w:rFonts w:ascii="Times New Roman" w:hAnsi="Times New Roman" w:cs="Times New Roman"/>
          <w:sz w:val="24"/>
          <w:szCs w:val="24"/>
        </w:rPr>
        <w:t>Doerfert, D. L. (Ed.) (2011).</w:t>
      </w:r>
      <w:proofErr w:type="gramEnd"/>
      <w:r w:rsidRPr="00462F5C">
        <w:rPr>
          <w:rStyle w:val="A9"/>
          <w:rFonts w:ascii="Times New Roman" w:hAnsi="Times New Roman" w:cs="Times New Roman"/>
          <w:sz w:val="24"/>
          <w:szCs w:val="24"/>
        </w:rPr>
        <w:t xml:space="preserve"> </w:t>
      </w:r>
      <w:r w:rsidRPr="00462F5C">
        <w:rPr>
          <w:rStyle w:val="A9"/>
          <w:rFonts w:ascii="Times New Roman" w:hAnsi="Times New Roman" w:cs="Times New Roman"/>
          <w:i/>
          <w:iCs/>
          <w:sz w:val="24"/>
          <w:szCs w:val="24"/>
        </w:rPr>
        <w:t xml:space="preserve">National research agenda: American Association for Agricultural </w:t>
      </w:r>
      <w:r>
        <w:rPr>
          <w:rStyle w:val="A9"/>
          <w:rFonts w:ascii="Times New Roman" w:hAnsi="Times New Roman" w:cs="Times New Roman"/>
          <w:i/>
          <w:iCs/>
          <w:sz w:val="24"/>
          <w:szCs w:val="24"/>
        </w:rPr>
        <w:tab/>
      </w:r>
      <w:r w:rsidRPr="00462F5C">
        <w:rPr>
          <w:rStyle w:val="A9"/>
          <w:rFonts w:ascii="Times New Roman" w:hAnsi="Times New Roman" w:cs="Times New Roman"/>
          <w:i/>
          <w:iCs/>
          <w:sz w:val="24"/>
          <w:szCs w:val="24"/>
        </w:rPr>
        <w:t>Education’s research priority areas for 2011-2015</w:t>
      </w:r>
      <w:r w:rsidRPr="00462F5C">
        <w:rPr>
          <w:rStyle w:val="A9"/>
          <w:rFonts w:ascii="Times New Roman" w:hAnsi="Times New Roman" w:cs="Times New Roman"/>
          <w:sz w:val="24"/>
          <w:szCs w:val="24"/>
        </w:rPr>
        <w:t>. Lubbock, TX: Texas Tech</w:t>
      </w:r>
      <w:r>
        <w:rPr>
          <w:rStyle w:val="A9"/>
          <w:rFonts w:ascii="Times New Roman" w:hAnsi="Times New Roman" w:cs="Times New Roman"/>
          <w:sz w:val="24"/>
          <w:szCs w:val="24"/>
        </w:rPr>
        <w:tab/>
      </w:r>
      <w:r>
        <w:rPr>
          <w:rStyle w:val="A9"/>
          <w:rFonts w:ascii="Times New Roman" w:hAnsi="Times New Roman" w:cs="Times New Roman"/>
          <w:sz w:val="24"/>
          <w:szCs w:val="24"/>
        </w:rPr>
        <w:tab/>
      </w:r>
      <w:r>
        <w:rPr>
          <w:rStyle w:val="A9"/>
          <w:rFonts w:ascii="Times New Roman" w:hAnsi="Times New Roman" w:cs="Times New Roman"/>
          <w:sz w:val="24"/>
          <w:szCs w:val="24"/>
        </w:rPr>
        <w:tab/>
      </w:r>
      <w:r w:rsidRPr="00462F5C">
        <w:rPr>
          <w:rStyle w:val="A9"/>
          <w:rFonts w:ascii="Times New Roman" w:hAnsi="Times New Roman" w:cs="Times New Roman"/>
          <w:sz w:val="24"/>
          <w:szCs w:val="24"/>
        </w:rPr>
        <w:t>University, Department of Agricultural Education and Communications.</w:t>
      </w:r>
    </w:p>
    <w:p w:rsidR="00960908" w:rsidRPr="00DF5FF1" w:rsidRDefault="00960908" w:rsidP="00655686">
      <w:pPr>
        <w:ind w:left="720" w:hanging="720"/>
        <w:rPr>
          <w:rFonts w:ascii="Times New Roman" w:hAnsi="Times New Roman" w:cs="Times New Roman"/>
          <w:sz w:val="24"/>
          <w:szCs w:val="24"/>
        </w:rPr>
      </w:pPr>
      <w:proofErr w:type="gramStart"/>
      <w:r>
        <w:rPr>
          <w:rFonts w:ascii="Times New Roman" w:hAnsi="Times New Roman" w:cs="Times New Roman"/>
          <w:sz w:val="24"/>
          <w:szCs w:val="24"/>
        </w:rPr>
        <w:t>Saucier</w:t>
      </w:r>
      <w:r w:rsidR="00DF5FF1">
        <w:rPr>
          <w:rFonts w:ascii="Times New Roman" w:hAnsi="Times New Roman" w:cs="Times New Roman"/>
          <w:sz w:val="24"/>
          <w:szCs w:val="24"/>
        </w:rPr>
        <w:t xml:space="preserve">, P. R. and </w:t>
      </w:r>
      <w:proofErr w:type="spellStart"/>
      <w:r w:rsidR="00DF5FF1">
        <w:rPr>
          <w:rFonts w:ascii="Times New Roman" w:hAnsi="Times New Roman" w:cs="Times New Roman"/>
          <w:sz w:val="24"/>
          <w:szCs w:val="24"/>
        </w:rPr>
        <w:t>McKim</w:t>
      </w:r>
      <w:proofErr w:type="spellEnd"/>
      <w:r w:rsidR="00DF5FF1">
        <w:rPr>
          <w:rFonts w:ascii="Times New Roman" w:hAnsi="Times New Roman" w:cs="Times New Roman"/>
          <w:sz w:val="24"/>
          <w:szCs w:val="24"/>
        </w:rPr>
        <w:t>, B. R. (2011).</w:t>
      </w:r>
      <w:proofErr w:type="gramEnd"/>
      <w:r w:rsidR="00DF5FF1">
        <w:rPr>
          <w:rFonts w:ascii="Times New Roman" w:hAnsi="Times New Roman" w:cs="Times New Roman"/>
          <w:sz w:val="24"/>
          <w:szCs w:val="24"/>
        </w:rPr>
        <w:t xml:space="preserve"> </w:t>
      </w:r>
      <w:proofErr w:type="gramStart"/>
      <w:r w:rsidR="00DF5FF1" w:rsidRPr="00DF5FF1">
        <w:rPr>
          <w:rFonts w:ascii="Times New Roman" w:hAnsi="Times New Roman" w:cs="Times New Roman"/>
          <w:sz w:val="24"/>
          <w:szCs w:val="24"/>
        </w:rPr>
        <w:t>Assessing the learning needs of student teachers in Texas regarding management of the agricultural mechanics laboratory: Implications for the professional development of early career teachers in agricultural education.</w:t>
      </w:r>
      <w:proofErr w:type="gramEnd"/>
      <w:r w:rsidR="00DF5FF1">
        <w:rPr>
          <w:rFonts w:ascii="Times New Roman" w:hAnsi="Times New Roman" w:cs="Times New Roman"/>
          <w:sz w:val="24"/>
          <w:szCs w:val="24"/>
        </w:rPr>
        <w:t xml:space="preserve"> </w:t>
      </w:r>
      <w:r w:rsidR="00DF5FF1">
        <w:rPr>
          <w:rFonts w:ascii="Times New Roman" w:hAnsi="Times New Roman" w:cs="Times New Roman"/>
          <w:i/>
          <w:sz w:val="24"/>
          <w:szCs w:val="24"/>
        </w:rPr>
        <w:t>Journal of Agricultural Education, 52</w:t>
      </w:r>
      <w:r w:rsidR="00DF5FF1">
        <w:rPr>
          <w:rFonts w:ascii="Times New Roman" w:hAnsi="Times New Roman" w:cs="Times New Roman"/>
          <w:sz w:val="24"/>
          <w:szCs w:val="24"/>
        </w:rPr>
        <w:t xml:space="preserve"> (4), 24 – 43. </w:t>
      </w:r>
      <w:proofErr w:type="spellStart"/>
      <w:proofErr w:type="gramStart"/>
      <w:r w:rsidR="00DF5FF1">
        <w:rPr>
          <w:rFonts w:ascii="Times New Roman" w:hAnsi="Times New Roman" w:cs="Times New Roman"/>
          <w:sz w:val="24"/>
          <w:szCs w:val="24"/>
        </w:rPr>
        <w:t>doi</w:t>
      </w:r>
      <w:proofErr w:type="spellEnd"/>
      <w:proofErr w:type="gramEnd"/>
      <w:r w:rsidR="00DF5FF1">
        <w:rPr>
          <w:rFonts w:ascii="Times New Roman" w:hAnsi="Times New Roman" w:cs="Times New Roman"/>
          <w:sz w:val="24"/>
          <w:szCs w:val="24"/>
        </w:rPr>
        <w:t>: 10.5032/jae.2011.04024</w:t>
      </w:r>
    </w:p>
    <w:p w:rsidR="00960908" w:rsidRDefault="00960908" w:rsidP="00655686">
      <w:pPr>
        <w:ind w:left="720" w:hanging="720"/>
        <w:rPr>
          <w:rFonts w:ascii="Times New Roman" w:hAnsi="Times New Roman" w:cs="Times New Roman"/>
          <w:sz w:val="24"/>
          <w:szCs w:val="24"/>
        </w:rPr>
      </w:pPr>
      <w:proofErr w:type="gramStart"/>
      <w:r>
        <w:rPr>
          <w:rFonts w:ascii="Times New Roman" w:hAnsi="Times New Roman" w:cs="Times New Roman"/>
          <w:sz w:val="24"/>
          <w:szCs w:val="24"/>
        </w:rPr>
        <w:t>Shultz</w:t>
      </w:r>
      <w:r w:rsidR="00DF5FF1">
        <w:rPr>
          <w:rFonts w:ascii="Times New Roman" w:hAnsi="Times New Roman" w:cs="Times New Roman"/>
          <w:sz w:val="24"/>
          <w:szCs w:val="24"/>
        </w:rPr>
        <w:t>, M. J.</w:t>
      </w:r>
      <w:r>
        <w:rPr>
          <w:rFonts w:ascii="Times New Roman" w:hAnsi="Times New Roman" w:cs="Times New Roman"/>
          <w:sz w:val="24"/>
          <w:szCs w:val="24"/>
        </w:rPr>
        <w:t>,</w:t>
      </w:r>
      <w:r w:rsidR="00DF5FF1">
        <w:rPr>
          <w:rFonts w:ascii="Times New Roman" w:hAnsi="Times New Roman" w:cs="Times New Roman"/>
          <w:sz w:val="24"/>
          <w:szCs w:val="24"/>
        </w:rPr>
        <w:t xml:space="preserve"> Anderson, R. G., Shultz, A. M., and Paulsen, T. H. (2014).</w:t>
      </w:r>
      <w:proofErr w:type="gramEnd"/>
      <w:r w:rsidR="00DF5FF1">
        <w:rPr>
          <w:rFonts w:ascii="Times New Roman" w:hAnsi="Times New Roman" w:cs="Times New Roman"/>
          <w:sz w:val="24"/>
          <w:szCs w:val="24"/>
        </w:rPr>
        <w:t xml:space="preserve"> </w:t>
      </w:r>
      <w:proofErr w:type="gramStart"/>
      <w:r w:rsidR="00DF5FF1">
        <w:rPr>
          <w:rFonts w:ascii="Times New Roman" w:hAnsi="Times New Roman" w:cs="Times New Roman"/>
          <w:sz w:val="24"/>
          <w:szCs w:val="24"/>
        </w:rPr>
        <w:t>Importance and capability of teaching agricultural mechanics as perceived by secondary agricultural educators.</w:t>
      </w:r>
      <w:proofErr w:type="gramEnd"/>
      <w:r w:rsidR="00DF5FF1">
        <w:rPr>
          <w:rFonts w:ascii="Times New Roman" w:hAnsi="Times New Roman" w:cs="Times New Roman"/>
          <w:sz w:val="24"/>
          <w:szCs w:val="24"/>
        </w:rPr>
        <w:t xml:space="preserve"> </w:t>
      </w:r>
      <w:r>
        <w:rPr>
          <w:rFonts w:ascii="Times New Roman" w:hAnsi="Times New Roman" w:cs="Times New Roman"/>
          <w:sz w:val="24"/>
          <w:szCs w:val="24"/>
        </w:rPr>
        <w:t xml:space="preserve"> </w:t>
      </w:r>
      <w:r w:rsidR="00DF5FF1">
        <w:rPr>
          <w:rFonts w:ascii="Times New Roman" w:hAnsi="Times New Roman" w:cs="Times New Roman"/>
          <w:i/>
          <w:sz w:val="24"/>
          <w:szCs w:val="24"/>
        </w:rPr>
        <w:t>Journal of Agricultural Education, 55</w:t>
      </w:r>
      <w:r w:rsidR="00DF5FF1">
        <w:rPr>
          <w:rFonts w:ascii="Times New Roman" w:hAnsi="Times New Roman" w:cs="Times New Roman"/>
          <w:sz w:val="24"/>
          <w:szCs w:val="24"/>
        </w:rPr>
        <w:t xml:space="preserve"> (2), 48 – 65. </w:t>
      </w:r>
      <w:proofErr w:type="spellStart"/>
      <w:proofErr w:type="gramStart"/>
      <w:r w:rsidR="00DF5FF1">
        <w:rPr>
          <w:rFonts w:ascii="Times New Roman" w:hAnsi="Times New Roman" w:cs="Times New Roman"/>
          <w:sz w:val="24"/>
          <w:szCs w:val="24"/>
        </w:rPr>
        <w:t>doi</w:t>
      </w:r>
      <w:proofErr w:type="spellEnd"/>
      <w:proofErr w:type="gramEnd"/>
      <w:r w:rsidR="00DF5FF1">
        <w:rPr>
          <w:rFonts w:ascii="Times New Roman" w:hAnsi="Times New Roman" w:cs="Times New Roman"/>
          <w:sz w:val="24"/>
          <w:szCs w:val="24"/>
        </w:rPr>
        <w:t>: 10.5032/jae.2014.02048</w:t>
      </w:r>
    </w:p>
    <w:p w:rsidR="00DF5FF1" w:rsidRDefault="00DF5FF1" w:rsidP="00DF5FF1">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State Department of Education.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(2015). Certification Staffing Policy Guidelines.</w:t>
      </w:r>
      <w:proofErr w:type="gramEnd"/>
      <w:r>
        <w:rPr>
          <w:rFonts w:ascii="Times New Roman" w:hAnsi="Times New Roman" w:cs="Times New Roman"/>
          <w:sz w:val="24"/>
          <w:szCs w:val="24"/>
        </w:rPr>
        <w:t xml:space="preserve"> Retrieved from</w:t>
      </w:r>
    </w:p>
    <w:p w:rsidR="00DF5FF1" w:rsidRDefault="00DF5FF1" w:rsidP="00B61334">
      <w:pPr>
        <w:ind w:left="720"/>
        <w:rPr>
          <w:rFonts w:ascii="Times New Roman" w:hAnsi="Times New Roman" w:cs="Times New Roman"/>
          <w:sz w:val="24"/>
          <w:szCs w:val="24"/>
        </w:rPr>
      </w:pPr>
      <w:r>
        <w:rPr>
          <w:rFonts w:ascii="Times New Roman" w:hAnsi="Times New Roman" w:cs="Times New Roman"/>
          <w:sz w:val="24"/>
          <w:szCs w:val="24"/>
        </w:rPr>
        <w:t>http://www.education.xx</w:t>
      </w:r>
      <w:r w:rsidRPr="0001413E">
        <w:rPr>
          <w:rFonts w:ascii="Times New Roman" w:hAnsi="Times New Roman" w:cs="Times New Roman"/>
          <w:sz w:val="24"/>
          <w:szCs w:val="24"/>
        </w:rPr>
        <w:t>.gov/TeachersAdministrators/Certifications/Certification%20Staffind%20Policies%20CSPGs/CSPG%2030.pdf</w:t>
      </w:r>
    </w:p>
    <w:p w:rsidR="008707BF" w:rsidRPr="00DF5FF1" w:rsidRDefault="008707BF" w:rsidP="008707BF">
      <w:pPr>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Stripling, C. T., </w:t>
      </w:r>
      <w:r w:rsidR="00960908">
        <w:rPr>
          <w:rFonts w:ascii="Times New Roman" w:hAnsi="Times New Roman" w:cs="Times New Roman"/>
          <w:sz w:val="24"/>
          <w:szCs w:val="24"/>
        </w:rPr>
        <w:t>Thoron,</w:t>
      </w:r>
      <w:r>
        <w:rPr>
          <w:rFonts w:ascii="Times New Roman" w:hAnsi="Times New Roman" w:cs="Times New Roman"/>
          <w:sz w:val="24"/>
          <w:szCs w:val="24"/>
        </w:rPr>
        <w:t xml:space="preserve"> A. C., and </w:t>
      </w:r>
      <w:proofErr w:type="spellStart"/>
      <w:r>
        <w:rPr>
          <w:rFonts w:ascii="Times New Roman" w:hAnsi="Times New Roman" w:cs="Times New Roman"/>
          <w:sz w:val="24"/>
          <w:szCs w:val="24"/>
        </w:rPr>
        <w:t>Estepp</w:t>
      </w:r>
      <w:proofErr w:type="spellEnd"/>
      <w:r>
        <w:rPr>
          <w:rFonts w:ascii="Times New Roman" w:hAnsi="Times New Roman" w:cs="Times New Roman"/>
          <w:sz w:val="24"/>
          <w:szCs w:val="24"/>
        </w:rPr>
        <w:t>, C. M. (2014).</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Learning activities utilized and readiness for the student teaching internship.</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Agricultural Education, 55</w:t>
      </w:r>
      <w:r>
        <w:rPr>
          <w:rFonts w:ascii="Times New Roman" w:hAnsi="Times New Roman" w:cs="Times New Roman"/>
          <w:sz w:val="24"/>
          <w:szCs w:val="24"/>
        </w:rPr>
        <w:t xml:space="preserve"> (4), 148 – 161.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10.5032/jae.2014.04148</w:t>
      </w:r>
    </w:p>
    <w:p w:rsidR="00655686" w:rsidRPr="00FC1FE6" w:rsidRDefault="00655686" w:rsidP="00960908">
      <w:pPr>
        <w:rPr>
          <w:rFonts w:ascii="Times New Roman" w:hAnsi="Times New Roman" w:cs="Times New Roman"/>
          <w:sz w:val="24"/>
          <w:szCs w:val="24"/>
        </w:rPr>
      </w:pPr>
    </w:p>
    <w:sectPr w:rsidR="00655686" w:rsidRPr="00FC1F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fornian FB">
    <w:altName w:val="Californian FB"/>
    <w:panose1 w:val="0207040306080B0302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BE2"/>
    <w:rsid w:val="0001413E"/>
    <w:rsid w:val="00067616"/>
    <w:rsid w:val="0009263A"/>
    <w:rsid w:val="000B14D8"/>
    <w:rsid w:val="000F394E"/>
    <w:rsid w:val="00112900"/>
    <w:rsid w:val="001343E5"/>
    <w:rsid w:val="001431B2"/>
    <w:rsid w:val="00187D28"/>
    <w:rsid w:val="001C10A4"/>
    <w:rsid w:val="00205FF9"/>
    <w:rsid w:val="002B4C10"/>
    <w:rsid w:val="002F70E4"/>
    <w:rsid w:val="0035703D"/>
    <w:rsid w:val="00436A88"/>
    <w:rsid w:val="00484367"/>
    <w:rsid w:val="00484563"/>
    <w:rsid w:val="00484978"/>
    <w:rsid w:val="004C7FB2"/>
    <w:rsid w:val="005654D2"/>
    <w:rsid w:val="00590280"/>
    <w:rsid w:val="005E3A0D"/>
    <w:rsid w:val="005F1603"/>
    <w:rsid w:val="0061457A"/>
    <w:rsid w:val="00623E85"/>
    <w:rsid w:val="00624610"/>
    <w:rsid w:val="006536F3"/>
    <w:rsid w:val="00655686"/>
    <w:rsid w:val="006674AA"/>
    <w:rsid w:val="006758E2"/>
    <w:rsid w:val="006A6C17"/>
    <w:rsid w:val="006E31A6"/>
    <w:rsid w:val="00746EB8"/>
    <w:rsid w:val="00761D19"/>
    <w:rsid w:val="00777BC4"/>
    <w:rsid w:val="007A2D92"/>
    <w:rsid w:val="007A56AE"/>
    <w:rsid w:val="00803E3C"/>
    <w:rsid w:val="00823FDB"/>
    <w:rsid w:val="008707BF"/>
    <w:rsid w:val="008943C7"/>
    <w:rsid w:val="00904655"/>
    <w:rsid w:val="009046E9"/>
    <w:rsid w:val="009117D3"/>
    <w:rsid w:val="009537AB"/>
    <w:rsid w:val="00960908"/>
    <w:rsid w:val="00986DAA"/>
    <w:rsid w:val="009D7F45"/>
    <w:rsid w:val="00A059F3"/>
    <w:rsid w:val="00A20BE2"/>
    <w:rsid w:val="00A569E7"/>
    <w:rsid w:val="00A87E77"/>
    <w:rsid w:val="00AF5F0E"/>
    <w:rsid w:val="00B2094B"/>
    <w:rsid w:val="00B61334"/>
    <w:rsid w:val="00B97BBA"/>
    <w:rsid w:val="00B97DF5"/>
    <w:rsid w:val="00BA69D9"/>
    <w:rsid w:val="00BE27D2"/>
    <w:rsid w:val="00C53EDD"/>
    <w:rsid w:val="00C82C2E"/>
    <w:rsid w:val="00CA72E2"/>
    <w:rsid w:val="00D02F2B"/>
    <w:rsid w:val="00D06ED0"/>
    <w:rsid w:val="00D103D3"/>
    <w:rsid w:val="00D11CEB"/>
    <w:rsid w:val="00D64EF5"/>
    <w:rsid w:val="00DF5FF1"/>
    <w:rsid w:val="00E80923"/>
    <w:rsid w:val="00EA14CA"/>
    <w:rsid w:val="00EC49D5"/>
    <w:rsid w:val="00F47202"/>
    <w:rsid w:val="00FC1FE6"/>
    <w:rsid w:val="00FE1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31A6"/>
    <w:rPr>
      <w:color w:val="0000FF" w:themeColor="hyperlink"/>
      <w:u w:val="single"/>
    </w:rPr>
  </w:style>
  <w:style w:type="paragraph" w:customStyle="1" w:styleId="Default">
    <w:name w:val="Default"/>
    <w:rsid w:val="00D06ED0"/>
    <w:pPr>
      <w:autoSpaceDE w:val="0"/>
      <w:autoSpaceDN w:val="0"/>
      <w:adjustRightInd w:val="0"/>
      <w:spacing w:after="0" w:line="240" w:lineRule="auto"/>
    </w:pPr>
    <w:rPr>
      <w:rFonts w:ascii="Californian FB" w:hAnsi="Californian FB" w:cs="Californian FB"/>
      <w:color w:val="000000"/>
      <w:sz w:val="24"/>
      <w:szCs w:val="24"/>
    </w:rPr>
  </w:style>
  <w:style w:type="character" w:customStyle="1" w:styleId="A5">
    <w:name w:val="A5"/>
    <w:uiPriority w:val="99"/>
    <w:rsid w:val="00D06ED0"/>
    <w:rPr>
      <w:rFonts w:cs="Californian FB"/>
      <w:i/>
      <w:iCs/>
      <w:color w:val="000000"/>
    </w:rPr>
  </w:style>
  <w:style w:type="table" w:styleId="TableGrid">
    <w:name w:val="Table Grid"/>
    <w:basedOn w:val="TableNormal"/>
    <w:uiPriority w:val="59"/>
    <w:rsid w:val="00667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70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0E4"/>
    <w:rPr>
      <w:rFonts w:ascii="Tahoma" w:hAnsi="Tahoma" w:cs="Tahoma"/>
      <w:sz w:val="16"/>
      <w:szCs w:val="16"/>
    </w:rPr>
  </w:style>
  <w:style w:type="character" w:customStyle="1" w:styleId="A9">
    <w:name w:val="A9"/>
    <w:uiPriority w:val="99"/>
    <w:rsid w:val="0009263A"/>
    <w:rPr>
      <w:rFonts w:cs="Californian FB"/>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31A6"/>
    <w:rPr>
      <w:color w:val="0000FF" w:themeColor="hyperlink"/>
      <w:u w:val="single"/>
    </w:rPr>
  </w:style>
  <w:style w:type="paragraph" w:customStyle="1" w:styleId="Default">
    <w:name w:val="Default"/>
    <w:rsid w:val="00D06ED0"/>
    <w:pPr>
      <w:autoSpaceDE w:val="0"/>
      <w:autoSpaceDN w:val="0"/>
      <w:adjustRightInd w:val="0"/>
      <w:spacing w:after="0" w:line="240" w:lineRule="auto"/>
    </w:pPr>
    <w:rPr>
      <w:rFonts w:ascii="Californian FB" w:hAnsi="Californian FB" w:cs="Californian FB"/>
      <w:color w:val="000000"/>
      <w:sz w:val="24"/>
      <w:szCs w:val="24"/>
    </w:rPr>
  </w:style>
  <w:style w:type="character" w:customStyle="1" w:styleId="A5">
    <w:name w:val="A5"/>
    <w:uiPriority w:val="99"/>
    <w:rsid w:val="00D06ED0"/>
    <w:rPr>
      <w:rFonts w:cs="Californian FB"/>
      <w:i/>
      <w:iCs/>
      <w:color w:val="000000"/>
    </w:rPr>
  </w:style>
  <w:style w:type="table" w:styleId="TableGrid">
    <w:name w:val="Table Grid"/>
    <w:basedOn w:val="TableNormal"/>
    <w:uiPriority w:val="59"/>
    <w:rsid w:val="00667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70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0E4"/>
    <w:rPr>
      <w:rFonts w:ascii="Tahoma" w:hAnsi="Tahoma" w:cs="Tahoma"/>
      <w:sz w:val="16"/>
      <w:szCs w:val="16"/>
    </w:rPr>
  </w:style>
  <w:style w:type="character" w:customStyle="1" w:styleId="A9">
    <w:name w:val="A9"/>
    <w:uiPriority w:val="99"/>
    <w:rsid w:val="0009263A"/>
    <w:rPr>
      <w:rFonts w:cs="Californian FB"/>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696708">
      <w:bodyDiv w:val="1"/>
      <w:marLeft w:val="0"/>
      <w:marRight w:val="0"/>
      <w:marTop w:val="0"/>
      <w:marBottom w:val="0"/>
      <w:divBdr>
        <w:top w:val="none" w:sz="0" w:space="0" w:color="auto"/>
        <w:left w:val="none" w:sz="0" w:space="0" w:color="auto"/>
        <w:bottom w:val="none" w:sz="0" w:space="0" w:color="auto"/>
        <w:right w:val="none" w:sz="0" w:space="0" w:color="auto"/>
      </w:divBdr>
    </w:div>
    <w:div w:id="1729064525">
      <w:bodyDiv w:val="1"/>
      <w:marLeft w:val="0"/>
      <w:marRight w:val="0"/>
      <w:marTop w:val="0"/>
      <w:marBottom w:val="0"/>
      <w:divBdr>
        <w:top w:val="none" w:sz="0" w:space="0" w:color="auto"/>
        <w:left w:val="none" w:sz="0" w:space="0" w:color="auto"/>
        <w:bottom w:val="none" w:sz="0" w:space="0" w:color="auto"/>
        <w:right w:val="none" w:sz="0" w:space="0" w:color="auto"/>
      </w:divBdr>
    </w:div>
    <w:div w:id="1731803814">
      <w:bodyDiv w:val="1"/>
      <w:marLeft w:val="0"/>
      <w:marRight w:val="0"/>
      <w:marTop w:val="0"/>
      <w:marBottom w:val="0"/>
      <w:divBdr>
        <w:top w:val="none" w:sz="0" w:space="0" w:color="auto"/>
        <w:left w:val="none" w:sz="0" w:space="0" w:color="auto"/>
        <w:bottom w:val="none" w:sz="0" w:space="0" w:color="auto"/>
        <w:right w:val="none" w:sz="0" w:space="0" w:color="auto"/>
      </w:divBdr>
    </w:div>
    <w:div w:id="1770462141">
      <w:bodyDiv w:val="1"/>
      <w:marLeft w:val="0"/>
      <w:marRight w:val="0"/>
      <w:marTop w:val="0"/>
      <w:marBottom w:val="0"/>
      <w:divBdr>
        <w:top w:val="none" w:sz="0" w:space="0" w:color="auto"/>
        <w:left w:val="none" w:sz="0" w:space="0" w:color="auto"/>
        <w:bottom w:val="none" w:sz="0" w:space="0" w:color="auto"/>
        <w:right w:val="none" w:sz="0" w:space="0" w:color="auto"/>
      </w:divBdr>
    </w:div>
    <w:div w:id="1973972949">
      <w:bodyDiv w:val="1"/>
      <w:marLeft w:val="0"/>
      <w:marRight w:val="0"/>
      <w:marTop w:val="0"/>
      <w:marBottom w:val="0"/>
      <w:divBdr>
        <w:top w:val="none" w:sz="0" w:space="0" w:color="auto"/>
        <w:left w:val="none" w:sz="0" w:space="0" w:color="auto"/>
        <w:bottom w:val="none" w:sz="0" w:space="0" w:color="auto"/>
        <w:right w:val="none" w:sz="0" w:space="0" w:color="auto"/>
      </w:divBdr>
    </w:div>
    <w:div w:id="208352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la5199@psu.edu" TargetMode="External"/><Relationship Id="rId3" Type="http://schemas.microsoft.com/office/2007/relationships/stylesWithEffects" Target="stylesWithEffects.xml"/><Relationship Id="rId7" Type="http://schemas.openxmlformats.org/officeDocument/2006/relationships/hyperlink" Target="mailto:brr100@psu.ed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jce122@psu.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92216-E631-40DE-9F96-6EFD64169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1306</Words>
  <Characters>7449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Lea Sankey</dc:creator>
  <cp:lastModifiedBy>JOHN EWING</cp:lastModifiedBy>
  <cp:revision>2</cp:revision>
  <cp:lastPrinted>2015-07-27T12:20:00Z</cp:lastPrinted>
  <dcterms:created xsi:type="dcterms:W3CDTF">2015-09-22T13:39:00Z</dcterms:created>
  <dcterms:modified xsi:type="dcterms:W3CDTF">2015-09-22T13:39:00Z</dcterms:modified>
</cp:coreProperties>
</file>