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1C94" w:rsidRDefault="00E21C94" w:rsidP="00E21C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100" w:lineRule="atLeast"/>
        <w:jc w:val="center"/>
        <w:rPr>
          <w:b/>
        </w:rPr>
      </w:pPr>
      <w:r>
        <w:rPr>
          <w:b/>
        </w:rPr>
        <w:t xml:space="preserve">A Picture’s Worth a Thousand Words: Using Images to Stimulate Non-linguistic Reflection in College Agriculture Courses </w:t>
      </w:r>
    </w:p>
    <w:p w:rsidR="00E21C94" w:rsidRDefault="00E21C94" w:rsidP="00E21C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100" w:lineRule="atLeast"/>
        <w:jc w:val="center"/>
        <w:rPr>
          <w:b/>
        </w:rPr>
      </w:pPr>
    </w:p>
    <w:p w:rsidR="00E21C94" w:rsidRPr="00EF7FA8" w:rsidRDefault="00E21C94" w:rsidP="00E21C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100" w:lineRule="atLeast"/>
        <w:jc w:val="center"/>
      </w:pPr>
      <w:r w:rsidRPr="00EF7FA8">
        <w:t>Carley Calico</w:t>
      </w:r>
    </w:p>
    <w:p w:rsidR="00E21C94" w:rsidRPr="00EF7FA8" w:rsidRDefault="00E21C94" w:rsidP="00E21C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100" w:lineRule="atLeast"/>
        <w:jc w:val="center"/>
      </w:pPr>
      <w:r w:rsidRPr="00EF7FA8">
        <w:t>Graduate Assistant</w:t>
      </w:r>
    </w:p>
    <w:p w:rsidR="00E21C94" w:rsidRDefault="00E21C94" w:rsidP="00E21C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center"/>
      </w:pPr>
      <w:r>
        <w:t>Mississippi State University / School of Human Sciences</w:t>
      </w:r>
    </w:p>
    <w:p w:rsidR="00E21C94" w:rsidRDefault="00E21C94" w:rsidP="00E21C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center"/>
      </w:pPr>
      <w:r w:rsidRPr="003312FE">
        <w:t>120 Lloyd-Ric</w:t>
      </w:r>
      <w:r>
        <w:t>ks-Watson Building</w:t>
      </w:r>
      <w:r>
        <w:br/>
        <w:t>255 Tracy Drive</w:t>
      </w:r>
      <w:r w:rsidRPr="003312FE">
        <w:br/>
        <w:t>Mississippi State University, MS 39762</w:t>
      </w:r>
    </w:p>
    <w:p w:rsidR="00E21C94" w:rsidRDefault="00E21C94" w:rsidP="00E21C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center"/>
      </w:pPr>
      <w:r>
        <w:t>(662) 325-5851</w:t>
      </w:r>
    </w:p>
    <w:p w:rsidR="00E21C94" w:rsidRDefault="00E21C94" w:rsidP="00E21C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center"/>
      </w:pPr>
      <w:r w:rsidRPr="00DE5546">
        <w:t>cpc215@msstate.edu</w:t>
      </w:r>
    </w:p>
    <w:p w:rsidR="00E21C94" w:rsidRDefault="00E21C94" w:rsidP="00E21C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center"/>
      </w:pPr>
    </w:p>
    <w:p w:rsidR="00E21C94" w:rsidRDefault="00E21C94" w:rsidP="00E21C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center"/>
      </w:pPr>
      <w:r>
        <w:t>Catherine W. Shoulders</w:t>
      </w:r>
    </w:p>
    <w:p w:rsidR="00E21C94" w:rsidRDefault="00E21C94" w:rsidP="00E21C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center"/>
      </w:pPr>
      <w:r>
        <w:t>Assistant Professor</w:t>
      </w:r>
    </w:p>
    <w:p w:rsidR="00E21C94" w:rsidRDefault="00E21C94" w:rsidP="00E21C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center"/>
      </w:pPr>
      <w:r>
        <w:t>University of Arkansas</w:t>
      </w:r>
    </w:p>
    <w:p w:rsidR="00E21C94" w:rsidRDefault="00E21C94" w:rsidP="00E21C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center"/>
      </w:pPr>
      <w:r>
        <w:t>Department of Agricultural Education, Communications and Technology</w:t>
      </w:r>
    </w:p>
    <w:p w:rsidR="00E21C94" w:rsidRDefault="00E21C94" w:rsidP="00E21C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center"/>
      </w:pPr>
      <w:r>
        <w:t>205 Agriculture Building</w:t>
      </w:r>
    </w:p>
    <w:p w:rsidR="00E21C94" w:rsidRDefault="00E21C94" w:rsidP="00E21C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center"/>
      </w:pPr>
      <w:r>
        <w:t>Fayetteville, AR 72701</w:t>
      </w:r>
    </w:p>
    <w:p w:rsidR="00E21C94" w:rsidRDefault="00E21C94" w:rsidP="00E21C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center"/>
      </w:pPr>
      <w:r>
        <w:t>(479) 575-3799</w:t>
      </w:r>
    </w:p>
    <w:p w:rsidR="00E21C94" w:rsidRDefault="00E21C94" w:rsidP="00E21C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center"/>
      </w:pPr>
      <w:r>
        <w:t>cshoulde@uark.edu</w:t>
      </w:r>
    </w:p>
    <w:p w:rsidR="00E21C94" w:rsidRDefault="00E21C94" w:rsidP="00E21C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center"/>
      </w:pPr>
    </w:p>
    <w:p w:rsidR="00E21C94" w:rsidRPr="00A133AC" w:rsidRDefault="00E21C94" w:rsidP="00E21C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center"/>
      </w:pPr>
    </w:p>
    <w:p w:rsidR="00E21C94" w:rsidRDefault="00E21C94" w:rsidP="00E21C94">
      <w:pPr>
        <w:rPr>
          <w:b/>
        </w:rPr>
      </w:pPr>
      <w:r>
        <w:rPr>
          <w:b/>
        </w:rPr>
        <w:br w:type="page"/>
      </w:r>
    </w:p>
    <w:p w:rsidR="00E21C94" w:rsidRDefault="00E21C94" w:rsidP="00E21C94">
      <w:pPr>
        <w:jc w:val="center"/>
        <w:rPr>
          <w:b/>
        </w:rPr>
      </w:pPr>
      <w:r w:rsidRPr="00860FA4">
        <w:rPr>
          <w:b/>
        </w:rPr>
        <w:lastRenderedPageBreak/>
        <w:t>Introduction / Need for the Innovation or Idea</w:t>
      </w:r>
    </w:p>
    <w:p w:rsidR="00E21C94" w:rsidRDefault="00E21C94" w:rsidP="00E21C94">
      <w:r>
        <w:t>Researchers have long regarded reflection as a crucial part of the learning process (</w:t>
      </w:r>
      <w:proofErr w:type="spellStart"/>
      <w:r>
        <w:t>Boud</w:t>
      </w:r>
      <w:proofErr w:type="spellEnd"/>
      <w:r>
        <w:t>, Keogh, &amp; Walker, 2013); however, the mode of reflection can vary. While some students may prefer written reflections, others may prefer verbally reflecting in a classroom setting (</w:t>
      </w:r>
      <w:proofErr w:type="spellStart"/>
      <w:r>
        <w:t>Lamm</w:t>
      </w:r>
      <w:proofErr w:type="spellEnd"/>
      <w:r>
        <w:t>, et al., 2011). Additionally, “one form of reflective practice may not fit the needs of all students” (</w:t>
      </w:r>
      <w:proofErr w:type="spellStart"/>
      <w:r>
        <w:t>Lamm</w:t>
      </w:r>
      <w:proofErr w:type="spellEnd"/>
      <w:r>
        <w:t xml:space="preserve">, et al., 2011, p. 132). According to </w:t>
      </w:r>
      <w:proofErr w:type="spellStart"/>
      <w:r>
        <w:t>Lamm</w:t>
      </w:r>
      <w:proofErr w:type="spellEnd"/>
      <w:r>
        <w:t xml:space="preserve"> et al. (2011), it is most important that students are provided with reflection opportunities that </w:t>
      </w:r>
      <w:r w:rsidRPr="00610091">
        <w:rPr>
          <w:rFonts w:eastAsia="Times New Roman"/>
        </w:rPr>
        <w:t xml:space="preserve">“accommodate a </w:t>
      </w:r>
      <w:r w:rsidRPr="000D020B">
        <w:rPr>
          <w:rFonts w:eastAsia="Times New Roman"/>
        </w:rPr>
        <w:t>variety of learning styles</w:t>
      </w:r>
      <w:r w:rsidRPr="00610091">
        <w:rPr>
          <w:rFonts w:eastAsia="Times New Roman"/>
        </w:rPr>
        <w:t>”</w:t>
      </w:r>
      <w:r>
        <w:rPr>
          <w:rFonts w:eastAsia="Times New Roman"/>
        </w:rPr>
        <w:t xml:space="preserve"> (132). </w:t>
      </w:r>
    </w:p>
    <w:p w:rsidR="00E21C94" w:rsidRDefault="00E21C94" w:rsidP="00E21C94"/>
    <w:p w:rsidR="00E21C94" w:rsidRDefault="00E21C94" w:rsidP="00E21C94">
      <w:pPr>
        <w:autoSpaceDE w:val="0"/>
        <w:autoSpaceDN w:val="0"/>
        <w:adjustRightInd w:val="0"/>
        <w:ind w:right="720"/>
        <w:rPr>
          <w:lang w:eastAsia="ja-JP"/>
        </w:rPr>
      </w:pPr>
      <w:r>
        <w:t>Reflection through nonlinguistic representations (NR), which require students to process information by constructing images and then explaining those images to others, allows students to explore their perceptions and understanding about a concept without reliance on language (Marzano, 2010). While NR “may come in many forms” (Marzano, 2010, p. 84), students who reflect through NR generate greater brain activity, as they store knowledge both linguistically and visually (</w:t>
      </w:r>
      <w:proofErr w:type="spellStart"/>
      <w:r>
        <w:t>Bamalli</w:t>
      </w:r>
      <w:proofErr w:type="spellEnd"/>
      <w:r>
        <w:t>, 2014). The positive impacts of NR on K-12 students’ learning have been well documented (</w:t>
      </w:r>
      <w:proofErr w:type="spellStart"/>
      <w:r>
        <w:t>Haystead</w:t>
      </w:r>
      <w:proofErr w:type="spellEnd"/>
      <w:r>
        <w:t xml:space="preserve"> &amp; Marzano, 2009), suggesting students of higher education may benefit from reflection using NR as well. We incorporated assignments requiring NR in a face-to-face undergraduate professional presentation course and an online graduate level research methods course to better understand how students in higher education settings carry out nonlinguistic reflection.    </w:t>
      </w:r>
    </w:p>
    <w:p w:rsidR="00E21C94" w:rsidRPr="000D020B" w:rsidRDefault="00E21C94" w:rsidP="00E21C94">
      <w:r>
        <w:rPr>
          <w:lang w:eastAsia="ja-JP"/>
        </w:rPr>
        <w:t xml:space="preserve"> </w:t>
      </w:r>
    </w:p>
    <w:p w:rsidR="00E21C94" w:rsidRDefault="00E21C94" w:rsidP="00E21C94">
      <w:pPr>
        <w:jc w:val="center"/>
        <w:rPr>
          <w:b/>
        </w:rPr>
      </w:pPr>
      <w:r w:rsidRPr="00860FA4">
        <w:rPr>
          <w:b/>
        </w:rPr>
        <w:t>How it Works / Methodology / Steps</w:t>
      </w:r>
    </w:p>
    <w:p w:rsidR="00E21C94" w:rsidRDefault="00E21C94" w:rsidP="00E21C94">
      <w:r>
        <w:t xml:space="preserve">Students in [University’s] undergraduate-level professional presentation course were asked to complete weekly visual reflection assignments during the fall of 2015. Students were first asked to answer a series of questions provoking them to think critically and connect the classroom content to their everyday life and future goals. Students were then asked to search for an image that represented how they interpreted the subject of each reflection assignment. In addition to providing an image with the reflection, the students were asked to provide an explanation as to why they selected the image they did. Students were assessed on their understanding of the depth and breadth of subject matter, how well the image conveyed the subject, and creativity. </w:t>
      </w:r>
    </w:p>
    <w:p w:rsidR="00E21C94" w:rsidRDefault="00E21C94" w:rsidP="00E21C94">
      <w:pPr>
        <w:rPr>
          <w:b/>
        </w:rPr>
      </w:pPr>
    </w:p>
    <w:p w:rsidR="00E21C94" w:rsidRDefault="00E21C94" w:rsidP="00E21C94">
      <w:r>
        <w:t xml:space="preserve">Also during the Fall 2015 semester, students in [University’s] graduate-level, online research methods course were asked to complete weekly visual reflection assignments consisting of an image that portrayed how they felt about the week’s content, modules, and readings, and a brief explanation detailing how the image displayed their feelings. </w:t>
      </w:r>
    </w:p>
    <w:p w:rsidR="00E21C94" w:rsidRPr="0082052F" w:rsidRDefault="00E21C94" w:rsidP="00E21C94"/>
    <w:p w:rsidR="00E21C94" w:rsidRPr="00684334" w:rsidRDefault="00E21C94" w:rsidP="00E21C94">
      <w:r>
        <w:t xml:space="preserve">The instructors in both courses compiled students’ images and used them to facilitate weekly class discussions. During these discussions, students were prompted to verbally explain their viewpoints on the particular subject and to discuss their fellow classmates’ interpretations. Instructors utilized this discussion as an opportunity to build rapport among students, informally assess students’ understanding of concepts, and address misconceptions as needed. </w:t>
      </w:r>
    </w:p>
    <w:p w:rsidR="00E21C94" w:rsidRDefault="00E21C94" w:rsidP="00E21C94">
      <w:pPr>
        <w:rPr>
          <w:b/>
        </w:rPr>
      </w:pPr>
    </w:p>
    <w:p w:rsidR="00E21C94" w:rsidRDefault="00E21C94" w:rsidP="00E21C94">
      <w:pPr>
        <w:jc w:val="center"/>
        <w:rPr>
          <w:b/>
        </w:rPr>
      </w:pPr>
      <w:r>
        <w:rPr>
          <w:b/>
        </w:rPr>
        <w:t>Results to Date / Implications</w:t>
      </w:r>
    </w:p>
    <w:p w:rsidR="00E21C94" w:rsidRPr="00E21C94" w:rsidRDefault="00E21C94" w:rsidP="00E21C94">
      <w:r>
        <w:t>Within both courses, the visual reflection assignments encouraged students to think critically about the relationships between the content and their own lives. Students in both courses utilized</w:t>
      </w:r>
    </w:p>
    <w:p w:rsidR="00E21C94" w:rsidRPr="00E21C94" w:rsidRDefault="00E21C94" w:rsidP="00E21C94">
      <w:pPr>
        <w:rPr>
          <w:b/>
        </w:rPr>
      </w:pPr>
      <w:proofErr w:type="gramStart"/>
      <w:r>
        <w:t>the</w:t>
      </w:r>
      <w:proofErr w:type="gramEnd"/>
      <w:r>
        <w:t xml:space="preserve"> assignment to display their feelings regarding the requirements of the course and their interpretations of the content (Figure 1). </w:t>
      </w:r>
    </w:p>
    <w:p w:rsidR="00E21C94" w:rsidRDefault="00E21C94" w:rsidP="00E21C94">
      <w:r>
        <w:rPr>
          <w:noProof/>
        </w:rPr>
        <w:lastRenderedPageBreak/>
        <w:drawing>
          <wp:inline distT="0" distB="0" distL="0" distR="0" wp14:anchorId="0C2F3E56" wp14:editId="0B772111">
            <wp:extent cx="5943600" cy="150177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1501775"/>
                    </a:xfrm>
                    <a:prstGeom prst="rect">
                      <a:avLst/>
                    </a:prstGeom>
                  </pic:spPr>
                </pic:pic>
              </a:graphicData>
            </a:graphic>
          </wp:inline>
        </w:drawing>
      </w:r>
      <w:r>
        <w:rPr>
          <w:noProof/>
        </w:rPr>
        <w:t xml:space="preserve"> </w:t>
      </w:r>
    </w:p>
    <w:p w:rsidR="00E21C94" w:rsidRPr="00327A2A" w:rsidRDefault="00E21C94" w:rsidP="00E21C94">
      <w:r w:rsidRPr="00835CE2">
        <w:rPr>
          <w:noProof/>
        </w:rPr>
        <w:t xml:space="preserve"> </w:t>
      </w:r>
    </w:p>
    <w:p w:rsidR="00E21C94" w:rsidRPr="00DE5546" w:rsidRDefault="00E21C94" w:rsidP="00E21C94">
      <w:r>
        <w:rPr>
          <w:i/>
        </w:rPr>
        <w:t xml:space="preserve">Figure 1. </w:t>
      </w:r>
      <w:r>
        <w:t>Students’ nonlinguistic representations of emotions and understanding of content.</w:t>
      </w:r>
    </w:p>
    <w:p w:rsidR="00E21C94" w:rsidRDefault="00E21C94" w:rsidP="00E21C94">
      <w:pPr>
        <w:rPr>
          <w:b/>
        </w:rPr>
      </w:pPr>
    </w:p>
    <w:p w:rsidR="00E21C94" w:rsidRDefault="00E21C94" w:rsidP="00E21C94">
      <w:r>
        <w:t>Students’ explanations of feelings-based images enabled them to clearly define and manage their emotions regarding the course and allowed instructors to provide individualized student support throughout the duration of the course. For example, the graduate student providing the emotional representation in Figure 1 stated, “</w:t>
      </w:r>
      <w:r w:rsidRPr="007B2ED2">
        <w:t>The cave diver</w:t>
      </w:r>
      <w:r>
        <w:t>…</w:t>
      </w:r>
      <w:r w:rsidRPr="007B2ED2">
        <w:t>is how I feel currently, because at the beginning of the dive you could still see</w:t>
      </w:r>
      <w:r>
        <w:t xml:space="preserve"> </w:t>
      </w:r>
      <w:r w:rsidRPr="007B2ED2">
        <w:t>light into the cave (class), but now that I’m in I feel that I’m going in circles</w:t>
      </w:r>
      <w:r>
        <w:t xml:space="preserve"> </w:t>
      </w:r>
      <w:r w:rsidRPr="007B2ED2">
        <w:t xml:space="preserve">especially with </w:t>
      </w:r>
      <w:r>
        <w:t>[the assignment]</w:t>
      </w:r>
      <w:r>
        <w:rPr>
          <w:rStyle w:val="f42"/>
        </w:rPr>
        <w:t xml:space="preserve">”. Students’ explanations of content-based images allowed them to analyze the content in relation to other objects and concepts in life and allowed instructors </w:t>
      </w:r>
      <w:bookmarkStart w:id="0" w:name="_GoBack"/>
      <w:bookmarkEnd w:id="0"/>
      <w:proofErr w:type="gramStart"/>
      <w:r>
        <w:rPr>
          <w:rStyle w:val="f42"/>
        </w:rPr>
        <w:t>to</w:t>
      </w:r>
      <w:proofErr w:type="gramEnd"/>
      <w:r>
        <w:rPr>
          <w:rStyle w:val="f42"/>
        </w:rPr>
        <w:t xml:space="preserve"> regularly, yet informally, assess students’ understanding. For example, the undergraduate student providing the content-based representation in Figure 1 “</w:t>
      </w:r>
      <w:r>
        <w:rPr>
          <w:rStyle w:val="ftr"/>
        </w:rPr>
        <w:t>cho</w:t>
      </w:r>
      <w:r w:rsidRPr="00A31F4C">
        <w:rPr>
          <w:rStyle w:val="ftr"/>
        </w:rPr>
        <w:t>se Windex</w:t>
      </w:r>
      <w:r>
        <w:rPr>
          <w:rStyle w:val="ftr"/>
        </w:rPr>
        <w:t>…</w:t>
      </w:r>
      <w:r w:rsidRPr="00A31F4C">
        <w:rPr>
          <w:rStyle w:val="ftr"/>
        </w:rPr>
        <w:t xml:space="preserve"> because it cleans windows. When</w:t>
      </w:r>
      <w:r w:rsidRPr="00A31F4C">
        <w:t xml:space="preserve"> </w:t>
      </w:r>
      <w:r w:rsidRPr="00A31F4C">
        <w:rPr>
          <w:rStyle w:val="ftr"/>
        </w:rPr>
        <w:t>Windex cleans windows it provides clarity. When a presenter gives a presentation it should</w:t>
      </w:r>
      <w:r w:rsidRPr="00A31F4C">
        <w:t xml:space="preserve"> </w:t>
      </w:r>
      <w:r w:rsidRPr="00A31F4C">
        <w:rPr>
          <w:rStyle w:val="ftr"/>
        </w:rPr>
        <w:t>provide clarity on the subject like Windex does to windows</w:t>
      </w:r>
      <w:r>
        <w:rPr>
          <w:rStyle w:val="ftr"/>
        </w:rPr>
        <w:t>”.</w:t>
      </w:r>
    </w:p>
    <w:p w:rsidR="00E21C94" w:rsidRDefault="00E21C94" w:rsidP="00E21C94">
      <w:pPr>
        <w:rPr>
          <w:b/>
        </w:rPr>
      </w:pPr>
    </w:p>
    <w:p w:rsidR="00E21C94" w:rsidRDefault="00E21C94" w:rsidP="00E21C94">
      <w:pPr>
        <w:jc w:val="center"/>
        <w:rPr>
          <w:b/>
        </w:rPr>
      </w:pPr>
      <w:r w:rsidRPr="00860FA4">
        <w:rPr>
          <w:b/>
        </w:rPr>
        <w:t>Future Plans / Advice to Others</w:t>
      </w:r>
    </w:p>
    <w:p w:rsidR="00E21C94" w:rsidRPr="00CB4EA0" w:rsidRDefault="00E21C94" w:rsidP="00E21C94">
      <w:r>
        <w:t xml:space="preserve">This assignment will continue to be used in both classes in future semesters, as we observed positive impacts on students’ understanding of the course material and management of emotions related to the course. Additionally, our ability to monitor and respond to students’ needs for individualized support over time enhanced student-instructor relationships in both courses, but was especially impactful in the online course, where student-instructor interaction is otherwise limited. We did, however, observe differences in students’ expectations regarding the assignment; undergraduate students were initially overwhelmed with the frequency of the reflections. We advise instructors to regularly encourage undergraduate students to think creatively and critically analyze concepts covered each week. Graduate students viewed the assignment as a less intimidating piece of their weekly modules, and welcomed the assignments almost as a respite each week. We recommend graduate-level instructors engage in supportive dialogue during discussions and individual contacts in order to maintain the ease with which graduate students openly share their nonverbal representations and accompanying thoughts. </w:t>
      </w:r>
    </w:p>
    <w:p w:rsidR="00E21C94" w:rsidRPr="00A1216A" w:rsidRDefault="00E21C94" w:rsidP="00E21C94">
      <w:pPr>
        <w:rPr>
          <w:b/>
          <w:sz w:val="16"/>
        </w:rPr>
      </w:pPr>
    </w:p>
    <w:p w:rsidR="00E21C94" w:rsidRDefault="00E21C94" w:rsidP="00E21C94">
      <w:pPr>
        <w:jc w:val="center"/>
        <w:rPr>
          <w:b/>
        </w:rPr>
      </w:pPr>
      <w:r w:rsidRPr="00860FA4">
        <w:rPr>
          <w:b/>
        </w:rPr>
        <w:t>Costs / Resources Needed</w:t>
      </w:r>
    </w:p>
    <w:p w:rsidR="00E21C94" w:rsidRDefault="00E21C94" w:rsidP="00E21C94">
      <w:pPr>
        <w:rPr>
          <w:b/>
        </w:rPr>
      </w:pPr>
      <w:r>
        <w:t xml:space="preserve">All resources required to implement nonlinguistic reflection, including electronic assignment platforms and internet access, are commonly available within institutions of higher education. While no direct monetary costs were incurred with this innovation, instructors should consider the opportunity cost when introducing a new assignment. Students must invest time to think critically and creatively when selecting and explaining images. In addition, the instructor must devote a portion of his or her class time to reflective discussion. However, the benefits this innovation brought to our courses suggest its implementation is worth the necessary time. </w:t>
      </w:r>
    </w:p>
    <w:p w:rsidR="00E21C94" w:rsidRPr="001469D0" w:rsidRDefault="00E21C94" w:rsidP="00E21C94">
      <w:pPr>
        <w:jc w:val="center"/>
      </w:pPr>
      <w:r w:rsidRPr="00860FA4">
        <w:rPr>
          <w:b/>
        </w:rPr>
        <w:lastRenderedPageBreak/>
        <w:t>References</w:t>
      </w:r>
    </w:p>
    <w:p w:rsidR="00E21C94" w:rsidRPr="00860FA4" w:rsidRDefault="00E21C94" w:rsidP="00E21C94">
      <w:pPr>
        <w:jc w:val="center"/>
        <w:rPr>
          <w:b/>
        </w:rPr>
      </w:pPr>
    </w:p>
    <w:p w:rsidR="00E21C94" w:rsidRDefault="00E21C94" w:rsidP="00E21C94">
      <w:pPr>
        <w:ind w:left="720" w:hanging="720"/>
      </w:pPr>
      <w:proofErr w:type="spellStart"/>
      <w:r>
        <w:t>Bamalli</w:t>
      </w:r>
      <w:proofErr w:type="spellEnd"/>
      <w:r>
        <w:t xml:space="preserve">, H. S. (2014). Competencies and Strategies for the Teaching of 21st Century Learners in Vocational Home Economics Education. </w:t>
      </w:r>
      <w:r>
        <w:rPr>
          <w:i/>
          <w:iCs/>
        </w:rPr>
        <w:t>International Letters of Social and Humanistic Sciences</w:t>
      </w:r>
      <w:r>
        <w:t>, (08), 50-55.</w:t>
      </w:r>
    </w:p>
    <w:p w:rsidR="00E21C94" w:rsidRDefault="00E21C94" w:rsidP="00E21C94">
      <w:pPr>
        <w:ind w:left="720" w:hanging="720"/>
      </w:pPr>
    </w:p>
    <w:p w:rsidR="00E21C94" w:rsidRDefault="00E21C94" w:rsidP="00E21C94">
      <w:pPr>
        <w:ind w:left="720" w:hanging="720"/>
      </w:pPr>
      <w:proofErr w:type="spellStart"/>
      <w:r>
        <w:t>Boud</w:t>
      </w:r>
      <w:proofErr w:type="spellEnd"/>
      <w:r>
        <w:t xml:space="preserve">, D., Keogh, R., &amp; Walker, D. (2013). Promoting reflection in learning </w:t>
      </w:r>
      <w:proofErr w:type="gramStart"/>
      <w:r>
        <w:t>A</w:t>
      </w:r>
      <w:proofErr w:type="gramEnd"/>
      <w:r>
        <w:t xml:space="preserve"> </w:t>
      </w:r>
      <w:proofErr w:type="spellStart"/>
      <w:r>
        <w:t>modeli</w:t>
      </w:r>
      <w:proofErr w:type="spellEnd"/>
      <w:r>
        <w:t xml:space="preserve">. </w:t>
      </w:r>
      <w:r>
        <w:rPr>
          <w:i/>
          <w:iCs/>
        </w:rPr>
        <w:t>Boundaries of adult learning</w:t>
      </w:r>
      <w:r>
        <w:t xml:space="preserve">, </w:t>
      </w:r>
      <w:r>
        <w:rPr>
          <w:i/>
          <w:iCs/>
        </w:rPr>
        <w:t>1</w:t>
      </w:r>
      <w:r>
        <w:t>, 32.</w:t>
      </w:r>
    </w:p>
    <w:p w:rsidR="00E21C94" w:rsidRDefault="00E21C94" w:rsidP="00E21C94">
      <w:pPr>
        <w:ind w:left="720" w:hanging="720"/>
      </w:pPr>
    </w:p>
    <w:p w:rsidR="00E21C94" w:rsidRDefault="00E21C94" w:rsidP="00E21C94">
      <w:pPr>
        <w:ind w:left="720" w:hanging="720"/>
      </w:pPr>
      <w:r>
        <w:t xml:space="preserve">Grossman, R. (2009). Structures for facilitating student reflection. </w:t>
      </w:r>
      <w:r>
        <w:rPr>
          <w:i/>
          <w:iCs/>
        </w:rPr>
        <w:t>College Teaching</w:t>
      </w:r>
      <w:r>
        <w:t xml:space="preserve">, </w:t>
      </w:r>
      <w:r>
        <w:rPr>
          <w:i/>
          <w:iCs/>
        </w:rPr>
        <w:t>57</w:t>
      </w:r>
      <w:r>
        <w:t>(1), 15-22.</w:t>
      </w:r>
    </w:p>
    <w:p w:rsidR="00E21C94" w:rsidRDefault="00E21C94" w:rsidP="00E21C94"/>
    <w:p w:rsidR="00E21C94" w:rsidRDefault="00E21C94" w:rsidP="00E21C94">
      <w:pPr>
        <w:ind w:left="720" w:hanging="720"/>
      </w:pPr>
      <w:proofErr w:type="spellStart"/>
      <w:r>
        <w:t>Lamm</w:t>
      </w:r>
      <w:proofErr w:type="spellEnd"/>
      <w:r>
        <w:t xml:space="preserve">, A. J., Cannon, K. J., Roberts, T. G., </w:t>
      </w:r>
      <w:proofErr w:type="spellStart"/>
      <w:r>
        <w:t>Irani</w:t>
      </w:r>
      <w:proofErr w:type="spellEnd"/>
      <w:r>
        <w:t xml:space="preserve">, T. A., Snyder, L. J. U., </w:t>
      </w:r>
      <w:proofErr w:type="spellStart"/>
      <w:r>
        <w:t>Brendemuhl</w:t>
      </w:r>
      <w:proofErr w:type="spellEnd"/>
      <w:r>
        <w:t xml:space="preserve">, J., &amp; Rodriguez, M. T. (2011). An Exploration of Reflection: Expression of Learning Style in an International Experiential Learning Context. </w:t>
      </w:r>
      <w:r>
        <w:rPr>
          <w:i/>
          <w:iCs/>
        </w:rPr>
        <w:t>Journal of Agricultural Education</w:t>
      </w:r>
      <w:r>
        <w:t xml:space="preserve">, </w:t>
      </w:r>
      <w:r>
        <w:rPr>
          <w:i/>
          <w:iCs/>
        </w:rPr>
        <w:t>52</w:t>
      </w:r>
      <w:r>
        <w:t xml:space="preserve">(3), 122-135. </w:t>
      </w:r>
      <w:proofErr w:type="spellStart"/>
      <w:proofErr w:type="gramStart"/>
      <w:r>
        <w:t>doi</w:t>
      </w:r>
      <w:proofErr w:type="spellEnd"/>
      <w:proofErr w:type="gramEnd"/>
      <w:r>
        <w:t>: 10.5032/jae.2011.03122</w:t>
      </w:r>
    </w:p>
    <w:p w:rsidR="00E21C94" w:rsidRDefault="00E21C94" w:rsidP="00E21C94">
      <w:pPr>
        <w:ind w:left="720" w:hanging="720"/>
      </w:pPr>
    </w:p>
    <w:p w:rsidR="00E21C94" w:rsidRDefault="00E21C94" w:rsidP="00E21C94">
      <w:pPr>
        <w:ind w:left="720" w:hanging="720"/>
      </w:pPr>
      <w:r>
        <w:t xml:space="preserve">Marzano, R. J. (2010). Representing knowledge </w:t>
      </w:r>
      <w:proofErr w:type="spellStart"/>
      <w:r>
        <w:t>nonlinguistically</w:t>
      </w:r>
      <w:proofErr w:type="spellEnd"/>
      <w:r>
        <w:t xml:space="preserve">. </w:t>
      </w:r>
      <w:r>
        <w:rPr>
          <w:i/>
        </w:rPr>
        <w:t>Educational Leadership, 67</w:t>
      </w:r>
      <w:r>
        <w:t xml:space="preserve">(8), 84-86. </w:t>
      </w:r>
    </w:p>
    <w:p w:rsidR="00E21C94" w:rsidRPr="00860FA4" w:rsidRDefault="00E21C94" w:rsidP="00E21C94">
      <w:pPr>
        <w:ind w:left="720" w:hanging="720"/>
      </w:pPr>
      <w:r>
        <w:rPr>
          <w:i/>
        </w:rPr>
        <w:t xml:space="preserve"> </w:t>
      </w:r>
    </w:p>
    <w:p w:rsidR="00F900E0" w:rsidRDefault="00F900E0"/>
    <w:sectPr w:rsidR="00F900E0" w:rsidSect="00192FD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7ED2" w:rsidRDefault="00C27ED2">
      <w:r>
        <w:separator/>
      </w:r>
    </w:p>
  </w:endnote>
  <w:endnote w:type="continuationSeparator" w:id="0">
    <w:p w:rsidR="00C27ED2" w:rsidRDefault="00C27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7ED2" w:rsidRDefault="00C27ED2">
      <w:r>
        <w:separator/>
      </w:r>
    </w:p>
  </w:footnote>
  <w:footnote w:type="continuationSeparator" w:id="0">
    <w:p w:rsidR="00C27ED2" w:rsidRDefault="00C27E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5546" w:rsidRPr="00A1216A" w:rsidRDefault="00E21C94" w:rsidP="00334AFA">
    <w:pPr>
      <w:pStyle w:val="Header"/>
      <w:jc w:val="right"/>
      <w:rPr>
        <w:b/>
      </w:rPr>
    </w:pPr>
    <w:r w:rsidRPr="00A1216A">
      <w:rPr>
        <w:b/>
      </w:rPr>
      <w:t>Innovative Poster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C94"/>
    <w:rsid w:val="001D093C"/>
    <w:rsid w:val="00B30BDF"/>
    <w:rsid w:val="00C27ED2"/>
    <w:rsid w:val="00C414F5"/>
    <w:rsid w:val="00E21C94"/>
    <w:rsid w:val="00EF2318"/>
    <w:rsid w:val="00F90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2B75B3-7D82-4167-BE04-0EC4B9654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1C94"/>
    <w:pPr>
      <w:spacing w:after="0" w:line="240" w:lineRule="auto"/>
    </w:pPr>
    <w:rPr>
      <w:rFonts w:ascii="Times New Roman" w:eastAsiaTheme="minorEastAsia"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1C94"/>
    <w:pPr>
      <w:tabs>
        <w:tab w:val="center" w:pos="4680"/>
        <w:tab w:val="right" w:pos="9360"/>
      </w:tabs>
    </w:pPr>
  </w:style>
  <w:style w:type="character" w:customStyle="1" w:styleId="HeaderChar">
    <w:name w:val="Header Char"/>
    <w:basedOn w:val="DefaultParagraphFont"/>
    <w:link w:val="Header"/>
    <w:uiPriority w:val="99"/>
    <w:rsid w:val="00E21C94"/>
    <w:rPr>
      <w:rFonts w:ascii="Times New Roman" w:eastAsiaTheme="minorEastAsia" w:hAnsi="Times New Roman" w:cs="Times New Roman"/>
      <w:sz w:val="24"/>
      <w:szCs w:val="24"/>
    </w:rPr>
  </w:style>
  <w:style w:type="character" w:customStyle="1" w:styleId="f42">
    <w:name w:val="f42"/>
    <w:basedOn w:val="DefaultParagraphFont"/>
    <w:rsid w:val="00E21C94"/>
  </w:style>
  <w:style w:type="character" w:customStyle="1" w:styleId="ftr">
    <w:name w:val="ftr"/>
    <w:basedOn w:val="DefaultParagraphFont"/>
    <w:rsid w:val="00E21C94"/>
  </w:style>
  <w:style w:type="character" w:styleId="CommentReference">
    <w:name w:val="annotation reference"/>
    <w:basedOn w:val="DefaultParagraphFont"/>
    <w:uiPriority w:val="99"/>
    <w:semiHidden/>
    <w:unhideWhenUsed/>
    <w:rsid w:val="00E21C94"/>
    <w:rPr>
      <w:sz w:val="16"/>
      <w:szCs w:val="16"/>
    </w:rPr>
  </w:style>
  <w:style w:type="paragraph" w:styleId="CommentText">
    <w:name w:val="annotation text"/>
    <w:basedOn w:val="Normal"/>
    <w:link w:val="CommentTextChar"/>
    <w:uiPriority w:val="99"/>
    <w:semiHidden/>
    <w:unhideWhenUsed/>
    <w:rsid w:val="00E21C94"/>
    <w:rPr>
      <w:sz w:val="20"/>
      <w:szCs w:val="20"/>
    </w:rPr>
  </w:style>
  <w:style w:type="character" w:customStyle="1" w:styleId="CommentTextChar">
    <w:name w:val="Comment Text Char"/>
    <w:basedOn w:val="DefaultParagraphFont"/>
    <w:link w:val="CommentText"/>
    <w:uiPriority w:val="99"/>
    <w:semiHidden/>
    <w:rsid w:val="00E21C94"/>
    <w:rPr>
      <w:rFonts w:ascii="Times New Roman" w:eastAsiaTheme="minorEastAsia"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21C94"/>
    <w:rPr>
      <w:b/>
      <w:bCs/>
    </w:rPr>
  </w:style>
  <w:style w:type="character" w:customStyle="1" w:styleId="CommentSubjectChar">
    <w:name w:val="Comment Subject Char"/>
    <w:basedOn w:val="CommentTextChar"/>
    <w:link w:val="CommentSubject"/>
    <w:uiPriority w:val="99"/>
    <w:semiHidden/>
    <w:rsid w:val="00E21C94"/>
    <w:rPr>
      <w:rFonts w:ascii="Times New Roman" w:eastAsiaTheme="minorEastAsia" w:hAnsi="Times New Roman" w:cs="Times New Roman"/>
      <w:b/>
      <w:bCs/>
      <w:sz w:val="20"/>
      <w:szCs w:val="20"/>
    </w:rPr>
  </w:style>
  <w:style w:type="paragraph" w:styleId="BalloonText">
    <w:name w:val="Balloon Text"/>
    <w:basedOn w:val="Normal"/>
    <w:link w:val="BalloonTextChar"/>
    <w:uiPriority w:val="99"/>
    <w:semiHidden/>
    <w:unhideWhenUsed/>
    <w:rsid w:val="00E21C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1C94"/>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1195</Words>
  <Characters>6817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Shoulders</dc:creator>
  <cp:keywords/>
  <dc:description/>
  <cp:lastModifiedBy>Windows User</cp:lastModifiedBy>
  <cp:revision>2</cp:revision>
  <dcterms:created xsi:type="dcterms:W3CDTF">2016-01-06T16:02:00Z</dcterms:created>
  <dcterms:modified xsi:type="dcterms:W3CDTF">2016-01-06T16:02:00Z</dcterms:modified>
</cp:coreProperties>
</file>