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C4D4C" w14:textId="77777777" w:rsidR="00005659" w:rsidRPr="00853B8B" w:rsidRDefault="00005659" w:rsidP="00853B8B">
      <w:pPr>
        <w:pStyle w:val="BodyText"/>
        <w:jc w:val="center"/>
        <w:rPr>
          <w:b/>
          <w:shd w:val="clear" w:color="auto" w:fill="FFFFFF"/>
        </w:rPr>
      </w:pPr>
      <w:r w:rsidRPr="00853B8B">
        <w:rPr>
          <w:b/>
          <w:shd w:val="clear" w:color="auto" w:fill="FFFFFF"/>
        </w:rPr>
        <w:t>Using Weeklong Educational Excursions to Promote International Experiences</w:t>
      </w:r>
    </w:p>
    <w:p w14:paraId="56EE38B2" w14:textId="77777777" w:rsidR="00005659" w:rsidRDefault="00005659" w:rsidP="00853B8B">
      <w:pPr>
        <w:pStyle w:val="BodyText"/>
        <w:jc w:val="center"/>
        <w:rPr>
          <w:shd w:val="clear" w:color="auto" w:fill="FFFFFF"/>
        </w:rPr>
      </w:pPr>
    </w:p>
    <w:p w14:paraId="0C01E793" w14:textId="77777777" w:rsidR="007A6D26" w:rsidRDefault="007A6D26" w:rsidP="00853B8B">
      <w:pPr>
        <w:pStyle w:val="BodyText"/>
        <w:jc w:val="center"/>
        <w:rPr>
          <w:shd w:val="clear" w:color="auto" w:fill="FFFFFF"/>
        </w:rPr>
      </w:pPr>
    </w:p>
    <w:p w14:paraId="401D9CE3" w14:textId="77777777" w:rsidR="007A6D26" w:rsidRDefault="007A6D26" w:rsidP="00853B8B">
      <w:pPr>
        <w:pStyle w:val="BodyText"/>
        <w:jc w:val="center"/>
        <w:rPr>
          <w:shd w:val="clear" w:color="auto" w:fill="FFFFFF"/>
        </w:rPr>
      </w:pPr>
    </w:p>
    <w:p w14:paraId="4B1889EE" w14:textId="77777777" w:rsidR="00005659" w:rsidRDefault="00853B8B" w:rsidP="00853B8B">
      <w:pPr>
        <w:pStyle w:val="BodyText"/>
        <w:jc w:val="center"/>
        <w:rPr>
          <w:shd w:val="clear" w:color="auto" w:fill="FFFFFF"/>
        </w:rPr>
      </w:pPr>
      <w:proofErr w:type="spellStart"/>
      <w:r>
        <w:rPr>
          <w:shd w:val="clear" w:color="auto" w:fill="FFFFFF"/>
        </w:rPr>
        <w:t>Madelyne</w:t>
      </w:r>
      <w:proofErr w:type="spellEnd"/>
      <w:r>
        <w:rPr>
          <w:shd w:val="clear" w:color="auto" w:fill="FFFFFF"/>
        </w:rPr>
        <w:t xml:space="preserve"> Easley</w:t>
      </w:r>
    </w:p>
    <w:p w14:paraId="077044A8" w14:textId="77777777" w:rsidR="00853B8B" w:rsidRPr="00853B8B" w:rsidRDefault="00853B8B" w:rsidP="00853B8B">
      <w:pPr>
        <w:pStyle w:val="BodyText"/>
        <w:jc w:val="center"/>
        <w:rPr>
          <w:shd w:val="clear" w:color="auto" w:fill="FFFFFF"/>
        </w:rPr>
      </w:pPr>
      <w:r>
        <w:rPr>
          <w:shd w:val="clear" w:color="auto" w:fill="FFFFFF"/>
        </w:rPr>
        <w:t>Louisiana State University</w:t>
      </w:r>
    </w:p>
    <w:p w14:paraId="7906A8A9" w14:textId="77777777" w:rsidR="00853B8B" w:rsidRDefault="00005659" w:rsidP="00853B8B">
      <w:pPr>
        <w:pStyle w:val="BodyText"/>
        <w:jc w:val="center"/>
        <w:rPr>
          <w:shd w:val="clear" w:color="auto" w:fill="FFFFFF"/>
        </w:rPr>
      </w:pPr>
      <w:r w:rsidRPr="00853B8B">
        <w:rPr>
          <w:shd w:val="clear" w:color="auto" w:fill="FFFFFF"/>
        </w:rPr>
        <w:t>218 Knapp Hall</w:t>
      </w:r>
      <w:r w:rsidR="00853B8B">
        <w:rPr>
          <w:shd w:val="clear" w:color="auto" w:fill="FFFFFF"/>
        </w:rPr>
        <w:t xml:space="preserve">, </w:t>
      </w:r>
      <w:r w:rsidR="00853B8B" w:rsidRPr="00853B8B">
        <w:rPr>
          <w:shd w:val="clear" w:color="auto" w:fill="FFFFFF"/>
        </w:rPr>
        <w:t>Baton Rouge, LA 70803</w:t>
      </w:r>
    </w:p>
    <w:p w14:paraId="0F814E1D" w14:textId="77777777" w:rsidR="00853B8B" w:rsidRDefault="00853B8B" w:rsidP="00853B8B">
      <w:pPr>
        <w:pStyle w:val="BodyText"/>
        <w:jc w:val="center"/>
        <w:rPr>
          <w:shd w:val="clear" w:color="auto" w:fill="FFFFFF"/>
        </w:rPr>
      </w:pPr>
      <w:r>
        <w:rPr>
          <w:shd w:val="clear" w:color="auto" w:fill="FFFFFF"/>
        </w:rPr>
        <w:t>Phone: 225.578.8221</w:t>
      </w:r>
    </w:p>
    <w:p w14:paraId="6E9E659B" w14:textId="77777777" w:rsidR="00853B8B" w:rsidRPr="00853B8B" w:rsidRDefault="007A6D26" w:rsidP="00853B8B">
      <w:pPr>
        <w:pStyle w:val="BodyText"/>
        <w:jc w:val="center"/>
        <w:rPr>
          <w:shd w:val="clear" w:color="auto" w:fill="FFFFFF"/>
        </w:rPr>
      </w:pPr>
      <w:r>
        <w:rPr>
          <w:shd w:val="clear" w:color="auto" w:fill="FFFFFF"/>
        </w:rPr>
        <w:t>m</w:t>
      </w:r>
      <w:r w:rsidR="00853B8B">
        <w:rPr>
          <w:shd w:val="clear" w:color="auto" w:fill="FFFFFF"/>
        </w:rPr>
        <w:t>easley6@lsu.edu</w:t>
      </w:r>
    </w:p>
    <w:p w14:paraId="4DACD88E" w14:textId="77777777" w:rsidR="00853B8B" w:rsidRDefault="00853B8B" w:rsidP="00853B8B">
      <w:pPr>
        <w:pStyle w:val="BodyText"/>
        <w:jc w:val="center"/>
        <w:rPr>
          <w:b/>
          <w:shd w:val="clear" w:color="auto" w:fill="FFFFFF"/>
        </w:rPr>
      </w:pPr>
    </w:p>
    <w:p w14:paraId="7AFC9321" w14:textId="77777777" w:rsidR="007A6D26" w:rsidRDefault="007A6D26" w:rsidP="00853B8B">
      <w:pPr>
        <w:pStyle w:val="BodyText"/>
        <w:jc w:val="center"/>
        <w:rPr>
          <w:b/>
          <w:shd w:val="clear" w:color="auto" w:fill="FFFFFF"/>
        </w:rPr>
      </w:pPr>
    </w:p>
    <w:p w14:paraId="46A54722" w14:textId="77777777" w:rsidR="007A6D26" w:rsidRDefault="007A6D26" w:rsidP="00853B8B">
      <w:pPr>
        <w:pStyle w:val="BodyText"/>
        <w:jc w:val="center"/>
        <w:rPr>
          <w:b/>
          <w:shd w:val="clear" w:color="auto" w:fill="FFFFFF"/>
        </w:rPr>
      </w:pPr>
    </w:p>
    <w:p w14:paraId="4DA6BDCA"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Shelli E. Danjean</w:t>
      </w:r>
    </w:p>
    <w:p w14:paraId="10CBD171"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Louisiana State University</w:t>
      </w:r>
    </w:p>
    <w:p w14:paraId="762E9478"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268 E Knapp Hall, Baton Rouge, LA 70803</w:t>
      </w:r>
    </w:p>
    <w:p w14:paraId="7402B72D"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Phone: 225.578.5850</w:t>
      </w:r>
    </w:p>
    <w:p w14:paraId="273A35A8" w14:textId="77777777" w:rsidR="00853B8B" w:rsidRDefault="00853B8B" w:rsidP="00853B8B">
      <w:pPr>
        <w:pStyle w:val="BodyText"/>
        <w:jc w:val="center"/>
        <w:rPr>
          <w:rFonts w:ascii="TimesNewRomanPSMT" w:hAnsi="TimesNewRomanPSMT" w:cs="TimesNewRomanPSMT"/>
        </w:rPr>
      </w:pPr>
      <w:r w:rsidRPr="00853B8B">
        <w:rPr>
          <w:rFonts w:ascii="TimesNewRomanPSMT" w:hAnsi="TimesNewRomanPSMT" w:cs="TimesNewRomanPSMT"/>
        </w:rPr>
        <w:t>sdanje1@lsu.edu</w:t>
      </w:r>
    </w:p>
    <w:p w14:paraId="7F292EB1" w14:textId="77777777" w:rsidR="00853B8B" w:rsidRDefault="00853B8B" w:rsidP="00853B8B">
      <w:pPr>
        <w:pStyle w:val="BodyText"/>
        <w:jc w:val="center"/>
        <w:rPr>
          <w:rFonts w:ascii="TimesNewRomanPSMT" w:hAnsi="TimesNewRomanPSMT" w:cs="TimesNewRomanPSMT"/>
        </w:rPr>
      </w:pPr>
    </w:p>
    <w:p w14:paraId="69F13323" w14:textId="77777777" w:rsidR="007A6D26" w:rsidRDefault="007A6D26" w:rsidP="00853B8B">
      <w:pPr>
        <w:pStyle w:val="BodyText"/>
        <w:jc w:val="center"/>
        <w:rPr>
          <w:rFonts w:ascii="TimesNewRomanPSMT" w:hAnsi="TimesNewRomanPSMT" w:cs="TimesNewRomanPSMT"/>
        </w:rPr>
      </w:pPr>
    </w:p>
    <w:p w14:paraId="6543A2D9" w14:textId="77777777" w:rsidR="007A6D26" w:rsidRDefault="007A6D26" w:rsidP="00853B8B">
      <w:pPr>
        <w:pStyle w:val="BodyText"/>
        <w:jc w:val="center"/>
        <w:rPr>
          <w:rFonts w:ascii="TimesNewRomanPSMT" w:hAnsi="TimesNewRomanPSMT" w:cs="TimesNewRomanPSMT"/>
        </w:rPr>
      </w:pPr>
    </w:p>
    <w:p w14:paraId="6ECB5691"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J.C. Bunch</w:t>
      </w:r>
    </w:p>
    <w:p w14:paraId="09C4DC8F"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Louisiana State University</w:t>
      </w:r>
    </w:p>
    <w:p w14:paraId="604E125E"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223 Knapp Hall, Baton Rouge, LA 70803</w:t>
      </w:r>
    </w:p>
    <w:p w14:paraId="2E2397BC" w14:textId="77777777" w:rsidR="00853B8B" w:rsidRDefault="00853B8B" w:rsidP="00853B8B">
      <w:pPr>
        <w:pStyle w:val="BodyText"/>
        <w:jc w:val="center"/>
        <w:rPr>
          <w:rFonts w:ascii="TimesNewRomanPSMT" w:hAnsi="TimesNewRomanPSMT" w:cs="TimesNewRomanPSMT"/>
        </w:rPr>
      </w:pPr>
      <w:r>
        <w:rPr>
          <w:rFonts w:ascii="TimesNewRomanPSMT" w:hAnsi="TimesNewRomanPSMT" w:cs="TimesNewRomanPSMT"/>
        </w:rPr>
        <w:t>Phone: 225.578.2108</w:t>
      </w:r>
    </w:p>
    <w:p w14:paraId="2680DD3E" w14:textId="77777777" w:rsidR="00853B8B" w:rsidRDefault="00853B8B" w:rsidP="00853B8B">
      <w:pPr>
        <w:pStyle w:val="BodyText"/>
        <w:jc w:val="center"/>
        <w:rPr>
          <w:rFonts w:ascii="TimesNewRomanPSMT" w:hAnsi="TimesNewRomanPSMT" w:cs="TimesNewRomanPSMT"/>
        </w:rPr>
      </w:pPr>
      <w:r w:rsidRPr="00853B8B">
        <w:rPr>
          <w:rFonts w:ascii="TimesNewRomanPSMT" w:hAnsi="TimesNewRomanPSMT" w:cs="TimesNewRomanPSMT"/>
        </w:rPr>
        <w:t>jcbunch@lsu.edu</w:t>
      </w:r>
    </w:p>
    <w:p w14:paraId="38B4541D" w14:textId="77777777" w:rsidR="00853B8B" w:rsidRDefault="00853B8B" w:rsidP="00853B8B">
      <w:pPr>
        <w:pStyle w:val="BodyText"/>
        <w:jc w:val="center"/>
        <w:rPr>
          <w:rFonts w:ascii="TimesNewRomanPSMT" w:hAnsi="TimesNewRomanPSMT" w:cs="TimesNewRomanPSMT"/>
        </w:rPr>
      </w:pPr>
    </w:p>
    <w:p w14:paraId="790BA609" w14:textId="77777777" w:rsidR="007A6D26" w:rsidRDefault="007A6D26" w:rsidP="00853B8B">
      <w:pPr>
        <w:pStyle w:val="BodyText"/>
        <w:jc w:val="center"/>
        <w:rPr>
          <w:rFonts w:ascii="TimesNewRomanPSMT" w:hAnsi="TimesNewRomanPSMT" w:cs="TimesNewRomanPSMT"/>
        </w:rPr>
      </w:pPr>
    </w:p>
    <w:p w14:paraId="4EEDAEBD" w14:textId="77777777" w:rsidR="007A6D26" w:rsidRDefault="007A6D26" w:rsidP="00853B8B">
      <w:pPr>
        <w:pStyle w:val="BodyText"/>
        <w:jc w:val="center"/>
        <w:rPr>
          <w:rFonts w:ascii="TimesNewRomanPSMT" w:hAnsi="TimesNewRomanPSMT" w:cs="TimesNewRomanPSMT"/>
        </w:rPr>
      </w:pPr>
    </w:p>
    <w:p w14:paraId="0F557216" w14:textId="77777777" w:rsidR="00853B8B" w:rsidRDefault="00EB56E9" w:rsidP="00853B8B">
      <w:pPr>
        <w:pStyle w:val="BodyText"/>
        <w:jc w:val="center"/>
        <w:rPr>
          <w:rFonts w:ascii="TimesNewRomanPSMT" w:hAnsi="TimesNewRomanPSMT" w:cs="TimesNewRomanPSMT"/>
        </w:rPr>
      </w:pPr>
      <w:r>
        <w:rPr>
          <w:rFonts w:ascii="TimesNewRomanPSMT" w:hAnsi="TimesNewRomanPSMT" w:cs="TimesNewRomanPSMT"/>
        </w:rPr>
        <w:t xml:space="preserve">J. </w:t>
      </w:r>
      <w:r w:rsidR="00853B8B">
        <w:rPr>
          <w:rFonts w:ascii="TimesNewRomanPSMT" w:hAnsi="TimesNewRomanPSMT" w:cs="TimesNewRomanPSMT"/>
        </w:rPr>
        <w:t>Joey</w:t>
      </w:r>
      <w:r w:rsidR="007A6D26">
        <w:rPr>
          <w:rFonts w:ascii="TimesNewRomanPSMT" w:hAnsi="TimesNewRomanPSMT" w:cs="TimesNewRomanPSMT"/>
        </w:rPr>
        <w:t xml:space="preserve"> Blackburn</w:t>
      </w:r>
    </w:p>
    <w:p w14:paraId="5C067F45" w14:textId="77777777" w:rsidR="007A6D26" w:rsidRDefault="007A6D26" w:rsidP="00853B8B">
      <w:pPr>
        <w:pStyle w:val="BodyText"/>
        <w:jc w:val="center"/>
        <w:rPr>
          <w:rFonts w:ascii="TimesNewRomanPSMT" w:hAnsi="TimesNewRomanPSMT" w:cs="TimesNewRomanPSMT"/>
        </w:rPr>
      </w:pPr>
      <w:r>
        <w:rPr>
          <w:rFonts w:ascii="TimesNewRomanPSMT" w:hAnsi="TimesNewRomanPSMT" w:cs="TimesNewRomanPSMT"/>
        </w:rPr>
        <w:t>225 Knapp Hall, Baton Rouge, LA 70803</w:t>
      </w:r>
    </w:p>
    <w:p w14:paraId="004D6CA3" w14:textId="77777777" w:rsidR="007A6D26" w:rsidRDefault="007A6D26" w:rsidP="00853B8B">
      <w:pPr>
        <w:pStyle w:val="BodyText"/>
        <w:jc w:val="center"/>
        <w:rPr>
          <w:rFonts w:ascii="TimesNewRomanPSMT" w:hAnsi="TimesNewRomanPSMT" w:cs="TimesNewRomanPSMT"/>
        </w:rPr>
      </w:pPr>
      <w:r>
        <w:rPr>
          <w:rFonts w:ascii="TimesNewRomanPSMT" w:hAnsi="TimesNewRomanPSMT" w:cs="TimesNewRomanPSMT"/>
        </w:rPr>
        <w:t>Phone: 225.578.7892</w:t>
      </w:r>
    </w:p>
    <w:p w14:paraId="354D5247" w14:textId="77777777" w:rsidR="007A6D26" w:rsidRDefault="007A6D26" w:rsidP="00853B8B">
      <w:pPr>
        <w:pStyle w:val="BodyText"/>
        <w:jc w:val="center"/>
        <w:rPr>
          <w:rFonts w:ascii="TimesNewRomanPSMT" w:hAnsi="TimesNewRomanPSMT" w:cs="TimesNewRomanPSMT"/>
        </w:rPr>
      </w:pPr>
      <w:r w:rsidRPr="007A6D26">
        <w:rPr>
          <w:rFonts w:ascii="TimesNewRomanPSMT" w:hAnsi="TimesNewRomanPSMT" w:cs="TimesNewRomanPSMT"/>
        </w:rPr>
        <w:t>jjblackburn@lsu.edu</w:t>
      </w:r>
    </w:p>
    <w:p w14:paraId="725A35F3" w14:textId="77777777" w:rsidR="007A6D26" w:rsidRDefault="007A6D26" w:rsidP="00853B8B">
      <w:pPr>
        <w:pStyle w:val="BodyText"/>
        <w:jc w:val="center"/>
        <w:rPr>
          <w:rFonts w:ascii="TimesNewRomanPSMT" w:hAnsi="TimesNewRomanPSMT" w:cs="TimesNewRomanPSMT"/>
        </w:rPr>
      </w:pPr>
    </w:p>
    <w:p w14:paraId="09D4906F" w14:textId="77777777" w:rsidR="00853B8B" w:rsidRPr="00005659" w:rsidRDefault="00853B8B" w:rsidP="00005659">
      <w:pPr>
        <w:pStyle w:val="Heading1"/>
        <w:spacing w:before="56"/>
        <w:ind w:left="0"/>
        <w:jc w:val="center"/>
        <w:rPr>
          <w:rFonts w:cs="Times New Roman"/>
          <w:b w:val="0"/>
          <w:color w:val="212121"/>
          <w:shd w:val="clear" w:color="auto" w:fill="FFFFFF"/>
        </w:rPr>
      </w:pPr>
    </w:p>
    <w:p w14:paraId="3AB5AE31" w14:textId="77777777" w:rsidR="007A6D26" w:rsidRDefault="007A6D26" w:rsidP="00005659">
      <w:pPr>
        <w:pStyle w:val="Heading1"/>
        <w:spacing w:before="56"/>
        <w:ind w:left="0"/>
        <w:rPr>
          <w:rFonts w:ascii="Calibri" w:hAnsi="Calibri"/>
          <w:color w:val="212121"/>
          <w:sz w:val="22"/>
          <w:szCs w:val="22"/>
          <w:shd w:val="clear" w:color="auto" w:fill="FFFFFF"/>
        </w:rPr>
      </w:pPr>
    </w:p>
    <w:p w14:paraId="66E86CA8" w14:textId="77777777" w:rsidR="007A6D26" w:rsidRDefault="007A6D26" w:rsidP="00005659">
      <w:pPr>
        <w:pStyle w:val="Heading1"/>
        <w:spacing w:before="56"/>
        <w:ind w:left="0"/>
      </w:pPr>
    </w:p>
    <w:p w14:paraId="7D9D6795" w14:textId="77777777" w:rsidR="007A6D26" w:rsidRDefault="007A6D26" w:rsidP="00005659">
      <w:pPr>
        <w:pStyle w:val="Heading1"/>
        <w:spacing w:before="56"/>
        <w:ind w:left="0"/>
      </w:pPr>
    </w:p>
    <w:p w14:paraId="1A9BB751" w14:textId="77777777" w:rsidR="007A6D26" w:rsidRDefault="007A6D26" w:rsidP="00005659">
      <w:pPr>
        <w:pStyle w:val="Heading1"/>
        <w:spacing w:before="56"/>
        <w:ind w:left="0"/>
      </w:pPr>
    </w:p>
    <w:p w14:paraId="62D45F63" w14:textId="77777777" w:rsidR="007A6D26" w:rsidRDefault="007A6D26" w:rsidP="00005659">
      <w:pPr>
        <w:pStyle w:val="Heading1"/>
        <w:spacing w:before="56"/>
        <w:ind w:left="0"/>
      </w:pPr>
    </w:p>
    <w:p w14:paraId="085C4551" w14:textId="77777777" w:rsidR="007A6D26" w:rsidRDefault="007A6D26" w:rsidP="00005659">
      <w:pPr>
        <w:pStyle w:val="Heading1"/>
        <w:spacing w:before="56"/>
        <w:ind w:left="0"/>
      </w:pPr>
    </w:p>
    <w:p w14:paraId="56DBDA90" w14:textId="77777777" w:rsidR="007A6D26" w:rsidRDefault="007A6D26" w:rsidP="00005659">
      <w:pPr>
        <w:pStyle w:val="Heading1"/>
        <w:spacing w:before="56"/>
        <w:ind w:left="0"/>
      </w:pPr>
    </w:p>
    <w:p w14:paraId="4B5CB19C" w14:textId="77777777" w:rsidR="007A6D26" w:rsidRDefault="007A6D26" w:rsidP="00005659">
      <w:pPr>
        <w:pStyle w:val="Heading1"/>
        <w:spacing w:before="56"/>
        <w:ind w:left="0"/>
      </w:pPr>
    </w:p>
    <w:p w14:paraId="3E168BB5" w14:textId="77777777" w:rsidR="007A6D26" w:rsidRDefault="007A6D26" w:rsidP="00005659">
      <w:pPr>
        <w:pStyle w:val="Heading1"/>
        <w:spacing w:before="56"/>
        <w:ind w:left="0"/>
      </w:pPr>
    </w:p>
    <w:p w14:paraId="01FA7706" w14:textId="77777777" w:rsidR="007A6D26" w:rsidRDefault="007A6D26" w:rsidP="00005659">
      <w:pPr>
        <w:pStyle w:val="Heading1"/>
        <w:spacing w:before="56"/>
        <w:ind w:left="0"/>
      </w:pPr>
    </w:p>
    <w:p w14:paraId="00B4D39C" w14:textId="77777777" w:rsidR="007A6D26" w:rsidRDefault="007A6D26" w:rsidP="00005659">
      <w:pPr>
        <w:pStyle w:val="Heading1"/>
        <w:spacing w:before="56"/>
        <w:ind w:left="0"/>
      </w:pPr>
    </w:p>
    <w:p w14:paraId="3426C484" w14:textId="77777777" w:rsidR="007A6D26" w:rsidRDefault="007A6D26" w:rsidP="00005659">
      <w:pPr>
        <w:pStyle w:val="Heading1"/>
        <w:spacing w:before="56"/>
        <w:ind w:left="0"/>
      </w:pPr>
    </w:p>
    <w:p w14:paraId="4E4DD94F" w14:textId="77777777" w:rsidR="007A6D26" w:rsidRDefault="007A6D26" w:rsidP="00005659">
      <w:pPr>
        <w:pStyle w:val="Heading1"/>
        <w:spacing w:before="56"/>
        <w:ind w:left="0"/>
      </w:pPr>
    </w:p>
    <w:p w14:paraId="1B967ED6" w14:textId="77777777" w:rsidR="007A6D26" w:rsidRDefault="007A6D26" w:rsidP="00005659">
      <w:pPr>
        <w:pStyle w:val="Heading1"/>
        <w:spacing w:before="56"/>
        <w:ind w:left="0"/>
      </w:pPr>
    </w:p>
    <w:p w14:paraId="778C8C57" w14:textId="77777777" w:rsidR="007A6D26" w:rsidRDefault="007A6D26" w:rsidP="00005659">
      <w:pPr>
        <w:pStyle w:val="Heading1"/>
        <w:spacing w:before="56"/>
        <w:ind w:left="0"/>
      </w:pPr>
    </w:p>
    <w:p w14:paraId="65F0D313" w14:textId="77777777" w:rsidR="007A6D26" w:rsidRDefault="007A6D26" w:rsidP="00005659">
      <w:pPr>
        <w:pStyle w:val="Heading1"/>
        <w:spacing w:before="56"/>
        <w:ind w:left="0"/>
      </w:pPr>
    </w:p>
    <w:p w14:paraId="62DE6847" w14:textId="77777777" w:rsidR="003F6650" w:rsidRPr="00005659" w:rsidRDefault="00212F44" w:rsidP="00EB56E9">
      <w:pPr>
        <w:pStyle w:val="Heading1"/>
        <w:spacing w:before="56"/>
        <w:ind w:left="0"/>
        <w:jc w:val="right"/>
        <w:rPr>
          <w:b w:val="0"/>
          <w:bCs w:val="0"/>
        </w:rPr>
      </w:pPr>
      <w:r>
        <w:lastRenderedPageBreak/>
        <w:t>Innovative Idea</w:t>
      </w:r>
    </w:p>
    <w:p w14:paraId="0953469C" w14:textId="77777777" w:rsidR="003F6650" w:rsidRDefault="00212F44" w:rsidP="001E2260">
      <w:pPr>
        <w:spacing w:before="170" w:line="550" w:lineRule="atLeast"/>
        <w:ind w:left="4027" w:right="654" w:hanging="3307"/>
        <w:rPr>
          <w:rFonts w:ascii="Times New Roman" w:eastAsia="Times New Roman" w:hAnsi="Times New Roman" w:cs="Times New Roman"/>
          <w:sz w:val="24"/>
          <w:szCs w:val="24"/>
        </w:rPr>
      </w:pPr>
      <w:r>
        <w:rPr>
          <w:rFonts w:ascii="Times New Roman"/>
          <w:b/>
          <w:sz w:val="24"/>
        </w:rPr>
        <w:t>Using Weeklong Educational Excursions to Promote International Experiences Introduction</w:t>
      </w:r>
    </w:p>
    <w:p w14:paraId="5AC887D7" w14:textId="77777777" w:rsidR="003F6650" w:rsidRDefault="00212F44" w:rsidP="001E2260">
      <w:pPr>
        <w:pStyle w:val="BodyText"/>
        <w:ind w:left="0" w:right="288"/>
      </w:pPr>
      <w:r>
        <w:t xml:space="preserve">Throughout the literature, researchers have agreed that internationalization </w:t>
      </w:r>
      <w:r w:rsidR="00510372">
        <w:t xml:space="preserve">is a priority among </w:t>
      </w:r>
      <w:r>
        <w:t xml:space="preserve">universities (Briers, Shinn, &amp; Nguyen, 2010; Childress, 2009; Norris &amp; Gillespie, 2010; </w:t>
      </w:r>
      <w:proofErr w:type="spellStart"/>
      <w:r>
        <w:t>Wingenbach</w:t>
      </w:r>
      <w:proofErr w:type="spellEnd"/>
      <w:r>
        <w:t>, Boyd, &amp; Linder, 2003). To reach the goal of doubling the amount of U.S students participating in an international experience (IE) by the end of the decade, a 14.5% increase is needed each year (IIE, 2014). International experiences (IEs) among students in agriculturally related majors increased 12.7% from the prior year, just short of the yearly goal (IIE, 2014).</w:t>
      </w:r>
    </w:p>
    <w:p w14:paraId="5A1033A6" w14:textId="77777777" w:rsidR="003F6650" w:rsidRDefault="00212F44" w:rsidP="001E2260">
      <w:pPr>
        <w:pStyle w:val="BodyText"/>
        <w:ind w:left="0" w:right="768"/>
      </w:pPr>
      <w:r>
        <w:t xml:space="preserve">While students have reported personal interest in participating in IE (Danjean, Bunch, &amp; Blackburn, 2015; Briers et al., 2010; Bunch, </w:t>
      </w:r>
      <w:proofErr w:type="spellStart"/>
      <w:r>
        <w:t>Lamm</w:t>
      </w:r>
      <w:proofErr w:type="spellEnd"/>
      <w:r>
        <w:t>, Israel, &amp; Edwards, 2014), a variety of factors can influence whether or not students actually participate.</w:t>
      </w:r>
    </w:p>
    <w:p w14:paraId="3A9A3A67" w14:textId="77777777" w:rsidR="003F6650" w:rsidRDefault="003F6650" w:rsidP="001E2260">
      <w:pPr>
        <w:rPr>
          <w:rFonts w:ascii="Times New Roman" w:eastAsia="Times New Roman" w:hAnsi="Times New Roman" w:cs="Times New Roman"/>
          <w:sz w:val="24"/>
          <w:szCs w:val="24"/>
        </w:rPr>
      </w:pPr>
    </w:p>
    <w:p w14:paraId="49BF45C1" w14:textId="77777777" w:rsidR="003F6650" w:rsidRDefault="00212F44" w:rsidP="001E2260">
      <w:pPr>
        <w:pStyle w:val="BodyText"/>
        <w:ind w:left="0" w:right="134"/>
      </w:pPr>
      <w:proofErr w:type="spellStart"/>
      <w:r>
        <w:t>Spiering</w:t>
      </w:r>
      <w:proofErr w:type="spellEnd"/>
      <w:r>
        <w:t xml:space="preserve"> and Erikson (2006) found that students who chose not to take advantage of IE opportunities were deterred by the complexity of the IE process and presence of too many barriers, as well as by the inability to try out the experience during a shorter period of time. Of the barriers reported in the literature, time and financial cost have been reported most frequently (Briers et al., 2010; Danjean et al., 2015; Ludwig, 2007). As per </w:t>
      </w:r>
      <w:proofErr w:type="spellStart"/>
      <w:r>
        <w:t>Ajzen’s</w:t>
      </w:r>
      <w:proofErr w:type="spellEnd"/>
      <w:r>
        <w:t xml:space="preserve"> (1991) Theory of Planned Behavior, students’ perceptions of barriers can negatively affect the likelihood they will participate in an IE. However, students may still choose to participate if they perceive motivating factors to outweigh potential barriers (</w:t>
      </w:r>
      <w:proofErr w:type="spellStart"/>
      <w:r>
        <w:t>Ajzen</w:t>
      </w:r>
      <w:proofErr w:type="spellEnd"/>
      <w:r>
        <w:t>, 1991). In prior studies, students were motivated to participate if they perceived the IE as important and worth pursuing (Briers et al., 2010; Bunch et al., 2014; Danjean et al., 2015). Other motivating factors reported in the literature include career relevance of IE subjects and activities, gaining life experience, opportunities to experience another culture, peer in</w:t>
      </w:r>
      <w:r w:rsidR="00510372">
        <w:t>fluence, and strengthening a</w:t>
      </w:r>
      <w:r>
        <w:t xml:space="preserve"> resume (Briers et al., 2010; Danjean et al., 2015; </w:t>
      </w:r>
      <w:proofErr w:type="spellStart"/>
      <w:r>
        <w:t>Zhai</w:t>
      </w:r>
      <w:proofErr w:type="spellEnd"/>
      <w:r>
        <w:t xml:space="preserve"> &amp; </w:t>
      </w:r>
      <w:proofErr w:type="spellStart"/>
      <w:r>
        <w:t>Scheer</w:t>
      </w:r>
      <w:proofErr w:type="spellEnd"/>
      <w:r>
        <w:t>, 2002).</w:t>
      </w:r>
    </w:p>
    <w:p w14:paraId="49E3C9C4" w14:textId="77777777" w:rsidR="003F6650" w:rsidRDefault="003F6650">
      <w:pPr>
        <w:rPr>
          <w:rFonts w:ascii="Times New Roman" w:eastAsia="Times New Roman" w:hAnsi="Times New Roman" w:cs="Times New Roman"/>
          <w:sz w:val="24"/>
          <w:szCs w:val="24"/>
        </w:rPr>
      </w:pPr>
    </w:p>
    <w:p w14:paraId="42C03713" w14:textId="77777777" w:rsidR="003F6650" w:rsidRDefault="00212F44" w:rsidP="001E2260">
      <w:pPr>
        <w:pStyle w:val="Heading1"/>
        <w:ind w:left="3600" w:right="4092"/>
        <w:jc w:val="center"/>
        <w:rPr>
          <w:b w:val="0"/>
          <w:bCs w:val="0"/>
        </w:rPr>
      </w:pPr>
      <w:r>
        <w:t>How it works</w:t>
      </w:r>
    </w:p>
    <w:p w14:paraId="630DA9B2" w14:textId="77777777" w:rsidR="003F6650" w:rsidRDefault="00212F44" w:rsidP="001E2260">
      <w:pPr>
        <w:pStyle w:val="BodyText"/>
        <w:ind w:left="0" w:right="142"/>
      </w:pPr>
      <w:r>
        <w:t>Undergra</w:t>
      </w:r>
      <w:r w:rsidR="00510372">
        <w:t xml:space="preserve">duate and graduate students at Louisiana State </w:t>
      </w:r>
      <w:r>
        <w:t>University were given the opportunity to participate in a weeklong</w:t>
      </w:r>
      <w:r w:rsidR="00510372">
        <w:t>,</w:t>
      </w:r>
      <w:r>
        <w:t xml:space="preserve"> international education excursion to Nicaragua during the spring break holiday. As part of the program, students participated in all day excursions to a coffee plantation, tobacco plantation, and rice farm. During these excursions the students met and spoke with business owners and managers to learn about the agricultural production process and practices at each site. Intermixed with the agricultural excursions were </w:t>
      </w:r>
      <w:r w:rsidR="00510372">
        <w:t>cultural experience activities</w:t>
      </w:r>
      <w:r w:rsidR="00BC4A45">
        <w:t>, which included</w:t>
      </w:r>
      <w:r w:rsidR="00510372">
        <w:t xml:space="preserve"> </w:t>
      </w:r>
      <w:r w:rsidR="00BC4A45">
        <w:t xml:space="preserve">a </w:t>
      </w:r>
      <w:r>
        <w:t>lunch hosted by a Nicaraguan family, a zip-lining excursion through the rainforest canopy, a tour of Granada’s historical structures, a boat tour of lake Nicaragua, and a trip to the Messiah Volcano. The third component of the trip was centered on service learning.</w:t>
      </w:r>
    </w:p>
    <w:p w14:paraId="1E33EAAE" w14:textId="77777777" w:rsidR="003F6650" w:rsidRDefault="00212F44" w:rsidP="001E2260">
      <w:pPr>
        <w:pStyle w:val="BodyText"/>
        <w:ind w:left="0" w:right="243"/>
      </w:pPr>
      <w:r>
        <w:t>The students participated in a scavenger hunt at the local market, during which they had to communicate and bargain with local vendors to purchase the food items on their list. The students then packaged and distributed food bags to families in a low-income neighborhood. The second half of the service learning day included a visit to a local elementary school. The students aided the elementary students with their homework and played games with them at recess. Students’ perceptions of the international agricultural education experience in Nicaragua were examined using pre and post trip meetings, field notes taken by the researcher, and journal entries and photographs submitted by the students.</w:t>
      </w:r>
    </w:p>
    <w:p w14:paraId="48BEE6F5" w14:textId="77777777" w:rsidR="003F6650" w:rsidRDefault="003F6650">
      <w:pPr>
        <w:sectPr w:rsidR="003F6650" w:rsidSect="00EA1F6D">
          <w:footerReference w:type="even" r:id="rId7"/>
          <w:footerReference w:type="default" r:id="rId8"/>
          <w:type w:val="continuous"/>
          <w:pgSz w:w="12240" w:h="15840"/>
          <w:pgMar w:top="660" w:right="1320" w:bottom="280" w:left="1340" w:header="720" w:footer="720" w:gutter="0"/>
          <w:pgNumType w:start="1"/>
          <w:cols w:space="720"/>
          <w:titlePg/>
        </w:sectPr>
      </w:pPr>
    </w:p>
    <w:p w14:paraId="5EAF255C" w14:textId="77777777" w:rsidR="003F6650" w:rsidRDefault="003F6650">
      <w:pPr>
        <w:spacing w:before="6"/>
        <w:rPr>
          <w:rFonts w:ascii="Times New Roman" w:eastAsia="Times New Roman" w:hAnsi="Times New Roman" w:cs="Times New Roman"/>
          <w:sz w:val="12"/>
          <w:szCs w:val="12"/>
        </w:rPr>
      </w:pPr>
    </w:p>
    <w:p w14:paraId="00392AE5" w14:textId="77777777" w:rsidR="003F6650" w:rsidRDefault="00212F44" w:rsidP="001E2260">
      <w:pPr>
        <w:pStyle w:val="Heading1"/>
        <w:spacing w:before="69"/>
        <w:ind w:left="3600" w:right="3986"/>
        <w:jc w:val="center"/>
        <w:rPr>
          <w:b w:val="0"/>
          <w:bCs w:val="0"/>
        </w:rPr>
      </w:pPr>
      <w:r>
        <w:t>Results to Date</w:t>
      </w:r>
    </w:p>
    <w:p w14:paraId="2C2F38F5" w14:textId="77777777" w:rsidR="003F6650" w:rsidRDefault="00212F44" w:rsidP="001E2260">
      <w:pPr>
        <w:pStyle w:val="BodyText"/>
        <w:ind w:left="0" w:right="96"/>
      </w:pPr>
      <w:r>
        <w:t>To date, four undergraduate students and three graduate students participated in the one-week international agricultural education experience in Nicaragua. The students’ reactions regarding their experience in Nicaragua were positive, and all students identified several benefits gained from their experience. In addition to “having a good time,” one student stated, “you can also develop your future by meeting all these different farmers…we have lifelong relationships with them now, so when we become teachers we will be able to connect back with those people.” Another student noted their change of perspective during their experience in Nicaragua and stated, “I feel like you come back with your eyes a little bit more open…I had the feeling a couple of times [there are] little things that we take for granted every</w:t>
      </w:r>
      <w:r w:rsidR="00BC4A45">
        <w:t xml:space="preserve"> </w:t>
      </w:r>
      <w:r>
        <w:t>day.” Regarding the barriers they had to overcome, one student acknowledged that financial cost was initially perceived a</w:t>
      </w:r>
      <w:r w:rsidR="00BC4A45">
        <w:t>s the major barrier, but stated</w:t>
      </w:r>
      <w:r>
        <w:t xml:space="preserve"> “the money we paid was chump change for the experience that we got.” Another student added “the value of the experience is truly priceless when you think about it…as far as time goes, it</w:t>
      </w:r>
      <w:r w:rsidR="00BC4A45">
        <w:t>’</w:t>
      </w:r>
      <w:r>
        <w:t>s worth every bit of the time we spent there.” The students also reported that efforts made by faculty to make them feel more comfortable going abroad helped them overcome fears that may have otherwise prevented them from participating in this experience and potential future international experiences. Of the students who participated in the international agricultural education excursion in Nicaragua, two later participated in a longer international experience in Slovakia.</w:t>
      </w:r>
    </w:p>
    <w:p w14:paraId="2AA8D776" w14:textId="77777777" w:rsidR="003F6650" w:rsidRDefault="003F6650" w:rsidP="001E2260">
      <w:pPr>
        <w:rPr>
          <w:rFonts w:ascii="Times New Roman" w:eastAsia="Times New Roman" w:hAnsi="Times New Roman" w:cs="Times New Roman"/>
          <w:sz w:val="24"/>
          <w:szCs w:val="24"/>
        </w:rPr>
      </w:pPr>
    </w:p>
    <w:p w14:paraId="2A5EA488" w14:textId="77777777" w:rsidR="003F6650" w:rsidRDefault="00212F44" w:rsidP="001E2260">
      <w:pPr>
        <w:pStyle w:val="Heading1"/>
        <w:ind w:left="3600" w:right="3986"/>
        <w:jc w:val="center"/>
        <w:rPr>
          <w:b w:val="0"/>
          <w:bCs w:val="0"/>
        </w:rPr>
      </w:pPr>
      <w:r>
        <w:t>Cost</w:t>
      </w:r>
    </w:p>
    <w:p w14:paraId="0BDAC702" w14:textId="77777777" w:rsidR="003F6650" w:rsidRDefault="00212F44" w:rsidP="001E2260">
      <w:pPr>
        <w:pStyle w:val="BodyText"/>
        <w:ind w:left="0" w:right="163"/>
      </w:pPr>
      <w:r>
        <w:t xml:space="preserve">The cost associated with the one-week Nicaragua educational excursion is the current cost of the program fee, tuition/fees, and airfare. At this time, the program fee is $2,200, which includes all excursions, hotel rooms, meals, and all ground transportation. The current cost of tuition at </w:t>
      </w:r>
      <w:r w:rsidR="00BC4A45">
        <w:t>Louisiana State</w:t>
      </w:r>
      <w:r>
        <w:t xml:space="preserve"> University is $252.20 per credit hour for undergraduate students and $305.60 per credit hour for graduate students. Each student earns one credit hour for completing the program successfully. It should be noted that undergraduate students who meet the requirements for the state funded tuition program will have their tuition waived. The airfare cost ranges between</w:t>
      </w:r>
      <w:r w:rsidR="00BC4A45">
        <w:t xml:space="preserve"> </w:t>
      </w:r>
      <w:r>
        <w:t>$400.00 and $600.00 per each ticket. As a result, the total cost of this one-week Nicaragua educational excursion ranges between $2,600.00 - $3,052.20 for undergraduate students, and</w:t>
      </w:r>
      <w:r w:rsidR="00BC4A45">
        <w:t xml:space="preserve"> </w:t>
      </w:r>
      <w:r>
        <w:t>$2,905.60 - $3,105.60 for graduate students, respectively.</w:t>
      </w:r>
    </w:p>
    <w:p w14:paraId="631143C8" w14:textId="77777777" w:rsidR="003F6650" w:rsidRDefault="003F6650" w:rsidP="001E2260">
      <w:pPr>
        <w:rPr>
          <w:rFonts w:ascii="Times New Roman" w:eastAsia="Times New Roman" w:hAnsi="Times New Roman" w:cs="Times New Roman"/>
          <w:sz w:val="24"/>
          <w:szCs w:val="24"/>
        </w:rPr>
      </w:pPr>
    </w:p>
    <w:p w14:paraId="2862485E" w14:textId="77777777" w:rsidR="003F6650" w:rsidRDefault="00212F44" w:rsidP="001E2260">
      <w:pPr>
        <w:pStyle w:val="Heading1"/>
        <w:ind w:left="3600" w:right="3986"/>
        <w:jc w:val="center"/>
        <w:rPr>
          <w:b w:val="0"/>
          <w:bCs w:val="0"/>
        </w:rPr>
      </w:pPr>
      <w:r>
        <w:t>Future Plans</w:t>
      </w:r>
    </w:p>
    <w:p w14:paraId="5D7F0986" w14:textId="77777777" w:rsidR="003F6650" w:rsidRDefault="00BC4A45" w:rsidP="001E2260">
      <w:pPr>
        <w:pStyle w:val="BodyText"/>
        <w:ind w:left="0" w:right="362"/>
      </w:pPr>
      <w:r>
        <w:t>AGED faculty at Louisiana State University plan</w:t>
      </w:r>
      <w:r w:rsidR="00212F44">
        <w:t xml:space="preserve"> to contin</w:t>
      </w:r>
      <w:r>
        <w:t>ue offering</w:t>
      </w:r>
      <w:r w:rsidR="00212F44">
        <w:t xml:space="preserve"> the Nicaragua educational excursion. Each year, the itinerary will alternate site visits to include all types of Nicaraguan agriculture to represent all stude</w:t>
      </w:r>
      <w:r>
        <w:t>nts’ majors. As such, future in-</w:t>
      </w:r>
      <w:r w:rsidR="00212F44">
        <w:t>country excursions will include visiting a Spanish horse breeding ranch, cattle ranch, livestock harvest facilities, and a bana</w:t>
      </w:r>
      <w:r>
        <w:t>na plantation. The faculty plan</w:t>
      </w:r>
      <w:r w:rsidR="00212F44">
        <w:t xml:space="preserve"> to continue to include cultural activities and a community service component in the program. At the conclusion of each excursion, the AGED faculty pla</w:t>
      </w:r>
      <w:r>
        <w:t>n</w:t>
      </w:r>
      <w:r w:rsidR="00212F44">
        <w:t xml:space="preserve"> to analyze the student pre and post trip focus group interviews, student journals, and student photographs to assist in determining how the students’ perceptions of participation in study abroad programs has changed as a result of this one-week educational excursion to Nicaragua. Finally, it is anticipated that AGED faculty will examine other variables included in students’ decisions to study abroad to better understand this phenomenon.</w:t>
      </w:r>
    </w:p>
    <w:p w14:paraId="6D9D4F8A" w14:textId="77777777" w:rsidR="003F6650" w:rsidRDefault="003F6650">
      <w:pPr>
        <w:sectPr w:rsidR="003F6650" w:rsidSect="00EA1F6D">
          <w:footerReference w:type="default" r:id="rId9"/>
          <w:pgSz w:w="12240" w:h="15840"/>
          <w:pgMar w:top="1500" w:right="1340" w:bottom="940" w:left="1340" w:header="0" w:footer="750" w:gutter="0"/>
          <w:cols w:space="720"/>
        </w:sectPr>
      </w:pPr>
    </w:p>
    <w:p w14:paraId="4701569F" w14:textId="77777777" w:rsidR="003F6650" w:rsidRDefault="003F6650">
      <w:pPr>
        <w:spacing w:before="6"/>
        <w:rPr>
          <w:rFonts w:ascii="Times New Roman" w:eastAsia="Times New Roman" w:hAnsi="Times New Roman" w:cs="Times New Roman"/>
          <w:sz w:val="12"/>
          <w:szCs w:val="12"/>
        </w:rPr>
      </w:pPr>
    </w:p>
    <w:p w14:paraId="1964E469" w14:textId="77777777" w:rsidR="003F6650" w:rsidRDefault="00212F44" w:rsidP="001E2260">
      <w:pPr>
        <w:pStyle w:val="Heading1"/>
        <w:spacing w:before="69"/>
        <w:ind w:left="3600" w:right="4180"/>
        <w:jc w:val="center"/>
        <w:rPr>
          <w:b w:val="0"/>
          <w:bCs w:val="0"/>
        </w:rPr>
      </w:pPr>
      <w:bookmarkStart w:id="0" w:name="_GoBack"/>
      <w:bookmarkEnd w:id="0"/>
      <w:r>
        <w:t>References</w:t>
      </w:r>
    </w:p>
    <w:p w14:paraId="4E9B5108" w14:textId="77777777" w:rsidR="003F6650" w:rsidRDefault="00212F44" w:rsidP="001E2260">
      <w:pPr>
        <w:ind w:left="720" w:right="115"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Ajzen</w:t>
      </w:r>
      <w:proofErr w:type="spellEnd"/>
      <w:r>
        <w:rPr>
          <w:rFonts w:ascii="Times New Roman" w:eastAsia="Times New Roman" w:hAnsi="Times New Roman" w:cs="Times New Roman"/>
          <w:sz w:val="24"/>
          <w:szCs w:val="24"/>
        </w:rPr>
        <w:t xml:space="preserve">, I. (1991). The theory of planned behavior. </w:t>
      </w:r>
      <w:r>
        <w:rPr>
          <w:rFonts w:ascii="Times New Roman" w:eastAsia="Times New Roman" w:hAnsi="Times New Roman" w:cs="Times New Roman"/>
          <w:i/>
          <w:sz w:val="24"/>
          <w:szCs w:val="24"/>
        </w:rPr>
        <w:t>Organizational Behavior and Human Decision Processes, 50</w:t>
      </w:r>
      <w:r>
        <w:rPr>
          <w:rFonts w:ascii="Times New Roman" w:eastAsia="Times New Roman" w:hAnsi="Times New Roman" w:cs="Times New Roman"/>
          <w:sz w:val="24"/>
          <w:szCs w:val="24"/>
        </w:rPr>
        <w:t xml:space="preserve">(2), 179–211.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10.1016/0749-5978(91)90020-T</w:t>
      </w:r>
    </w:p>
    <w:p w14:paraId="37808549" w14:textId="77777777" w:rsidR="003F6650" w:rsidRDefault="003F6650">
      <w:pPr>
        <w:rPr>
          <w:rFonts w:ascii="Times New Roman" w:eastAsia="Times New Roman" w:hAnsi="Times New Roman" w:cs="Times New Roman"/>
          <w:sz w:val="24"/>
          <w:szCs w:val="24"/>
        </w:rPr>
      </w:pPr>
    </w:p>
    <w:p w14:paraId="58861224" w14:textId="77777777" w:rsidR="003F6650" w:rsidRDefault="00212F44" w:rsidP="001E2260">
      <w:pPr>
        <w:pStyle w:val="BodyText"/>
        <w:ind w:left="720" w:right="367" w:hanging="720"/>
      </w:pPr>
      <w:r>
        <w:t xml:space="preserve">Bunch, J. C., </w:t>
      </w:r>
      <w:proofErr w:type="spellStart"/>
      <w:r>
        <w:t>Lamm</w:t>
      </w:r>
      <w:proofErr w:type="spellEnd"/>
      <w:r>
        <w:t xml:space="preserve">, A. J., Israel, G. D., and Edwards, C. M. (2013). Assessing the motivators and barriers influencing undergraduate student choices to participate in international experiences. </w:t>
      </w:r>
      <w:r>
        <w:rPr>
          <w:rFonts w:cs="Times New Roman"/>
          <w:i/>
        </w:rPr>
        <w:t>Journal of Agricultural Education, 54</w:t>
      </w:r>
      <w:r>
        <w:t xml:space="preserve">(2), 217–231. </w:t>
      </w:r>
      <w:proofErr w:type="spellStart"/>
      <w:r>
        <w:t>doi</w:t>
      </w:r>
      <w:proofErr w:type="spellEnd"/>
      <w:r>
        <w:t>: 10.5032/jae.2013.02217</w:t>
      </w:r>
    </w:p>
    <w:p w14:paraId="2A72DA01" w14:textId="77777777" w:rsidR="003F6650" w:rsidRDefault="003F6650" w:rsidP="001E2260">
      <w:pPr>
        <w:rPr>
          <w:rFonts w:ascii="Times New Roman" w:eastAsia="Times New Roman" w:hAnsi="Times New Roman" w:cs="Times New Roman"/>
          <w:sz w:val="24"/>
          <w:szCs w:val="24"/>
        </w:rPr>
      </w:pPr>
    </w:p>
    <w:p w14:paraId="1322138F" w14:textId="77777777" w:rsidR="003F6650" w:rsidRDefault="00212F44" w:rsidP="001E2260">
      <w:pPr>
        <w:ind w:left="720" w:right="355"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Briers, G. E., Shinn, G. C., Nguyen, A. N. (2010). Through students’ eyes: Perceptions and aspirations of college of agriculture and life science students regarding international education experiences. </w:t>
      </w:r>
      <w:r>
        <w:rPr>
          <w:rFonts w:ascii="Times New Roman" w:eastAsia="Times New Roman" w:hAnsi="Times New Roman" w:cs="Times New Roman"/>
          <w:i/>
          <w:sz w:val="24"/>
          <w:szCs w:val="24"/>
        </w:rPr>
        <w:t>Journal of International Agricultural and Extension Education, 17</w:t>
      </w:r>
      <w:r>
        <w:rPr>
          <w:rFonts w:ascii="Times New Roman" w:eastAsia="Times New Roman" w:hAnsi="Times New Roman" w:cs="Times New Roman"/>
          <w:sz w:val="24"/>
          <w:szCs w:val="24"/>
        </w:rPr>
        <w:t xml:space="preserve">(2), 5–20. </w:t>
      </w:r>
      <w:proofErr w:type="spellStart"/>
      <w:proofErr w:type="gramStart"/>
      <w:r>
        <w:rPr>
          <w:rFonts w:ascii="Times New Roman" w:eastAsia="Times New Roman" w:hAnsi="Times New Roman" w:cs="Times New Roman"/>
          <w:sz w:val="24"/>
          <w:szCs w:val="24"/>
        </w:rPr>
        <w:t>doi</w:t>
      </w:r>
      <w:proofErr w:type="spellEnd"/>
      <w:proofErr w:type="gramEnd"/>
      <w:r>
        <w:rPr>
          <w:rFonts w:ascii="Times New Roman" w:eastAsia="Times New Roman" w:hAnsi="Times New Roman" w:cs="Times New Roman"/>
          <w:sz w:val="24"/>
          <w:szCs w:val="24"/>
        </w:rPr>
        <w:t>: 10.5191.jiaee.2010.17201</w:t>
      </w:r>
    </w:p>
    <w:p w14:paraId="1D551B76" w14:textId="77777777" w:rsidR="003F6650" w:rsidRDefault="003F6650" w:rsidP="001E2260">
      <w:pPr>
        <w:rPr>
          <w:rFonts w:ascii="Times New Roman" w:eastAsia="Times New Roman" w:hAnsi="Times New Roman" w:cs="Times New Roman"/>
          <w:sz w:val="24"/>
          <w:szCs w:val="24"/>
        </w:rPr>
      </w:pPr>
    </w:p>
    <w:p w14:paraId="650B2E6B" w14:textId="77777777" w:rsidR="003F6650" w:rsidRDefault="00212F44" w:rsidP="001E2260">
      <w:pPr>
        <w:ind w:left="720" w:right="381"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Childress, L. K. (2009). Internationalization plans for higher education institutions. </w:t>
      </w:r>
      <w:r>
        <w:rPr>
          <w:rFonts w:ascii="Times New Roman" w:eastAsia="Times New Roman" w:hAnsi="Times New Roman" w:cs="Times New Roman"/>
          <w:i/>
          <w:sz w:val="24"/>
          <w:szCs w:val="24"/>
        </w:rPr>
        <w:t>Journal of Studies in International Education, 13</w:t>
      </w:r>
      <w:r>
        <w:rPr>
          <w:rFonts w:ascii="Times New Roman" w:eastAsia="Times New Roman" w:hAnsi="Times New Roman" w:cs="Times New Roman"/>
          <w:sz w:val="24"/>
          <w:szCs w:val="24"/>
        </w:rPr>
        <w:t xml:space="preserve">(3), 289–309.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10.1177/1028315308329804</w:t>
      </w:r>
    </w:p>
    <w:p w14:paraId="7900B3AE" w14:textId="77777777" w:rsidR="003F6650" w:rsidRDefault="003F6650" w:rsidP="001E2260">
      <w:pPr>
        <w:rPr>
          <w:rFonts w:ascii="Times New Roman" w:eastAsia="Times New Roman" w:hAnsi="Times New Roman" w:cs="Times New Roman"/>
          <w:sz w:val="24"/>
          <w:szCs w:val="24"/>
        </w:rPr>
      </w:pPr>
    </w:p>
    <w:p w14:paraId="2AFA213C" w14:textId="77777777" w:rsidR="003F6650" w:rsidRDefault="00212F44" w:rsidP="001E2260">
      <w:pPr>
        <w:pStyle w:val="BodyText"/>
        <w:ind w:left="720" w:right="109" w:hanging="720"/>
      </w:pPr>
      <w:r>
        <w:t xml:space="preserve">Danjean, S. E., Bunch, J. C., Blackburn, J. (2015). Examining the motivators and barriers influencing the decisions of Louisiana State University college of agriculture freshmen to participate in an international experience. </w:t>
      </w:r>
      <w:r>
        <w:rPr>
          <w:rFonts w:cs="Times New Roman"/>
          <w:i/>
        </w:rPr>
        <w:t>Journal of International Agricultural and Extension Education, 22</w:t>
      </w:r>
      <w:r>
        <w:t xml:space="preserve">(1), 49–62. </w:t>
      </w:r>
      <w:proofErr w:type="spellStart"/>
      <w:r>
        <w:t>doi</w:t>
      </w:r>
      <w:proofErr w:type="spellEnd"/>
      <w:r>
        <w:t>: 10.5191/jiaee.2015.22104</w:t>
      </w:r>
    </w:p>
    <w:p w14:paraId="58D9BA8F" w14:textId="77777777" w:rsidR="003F6650" w:rsidRDefault="003F6650" w:rsidP="001E2260">
      <w:pPr>
        <w:rPr>
          <w:rFonts w:ascii="Times New Roman" w:eastAsia="Times New Roman" w:hAnsi="Times New Roman" w:cs="Times New Roman"/>
          <w:sz w:val="24"/>
          <w:szCs w:val="24"/>
        </w:rPr>
      </w:pPr>
    </w:p>
    <w:p w14:paraId="33D6EFE5" w14:textId="77777777" w:rsidR="003F6650" w:rsidRDefault="00212F44" w:rsidP="001E2260">
      <w:pPr>
        <w:pStyle w:val="BodyText"/>
        <w:ind w:left="720" w:right="1886" w:hanging="720"/>
      </w:pPr>
      <w:r>
        <w:t xml:space="preserve">Institute of International </w:t>
      </w:r>
      <w:proofErr w:type="gramStart"/>
      <w:r>
        <w:t>Education</w:t>
      </w:r>
      <w:r w:rsidR="00EB56E9">
        <w:t xml:space="preserve"> .</w:t>
      </w:r>
      <w:proofErr w:type="gramEnd"/>
      <w:r>
        <w:t xml:space="preserve"> (2014). </w:t>
      </w:r>
      <w:r>
        <w:rPr>
          <w:i/>
        </w:rPr>
        <w:t>Open doors report</w:t>
      </w:r>
      <w:r>
        <w:t xml:space="preserve">. Retrieved from </w:t>
      </w:r>
      <w:hyperlink r:id="rId10">
        <w:r>
          <w:t>http://www.iie.org/Research-and-Publications/Open-Doors/Data</w:t>
        </w:r>
      </w:hyperlink>
    </w:p>
    <w:p w14:paraId="57BDE5E7" w14:textId="77777777" w:rsidR="003F6650" w:rsidRDefault="003F6650" w:rsidP="001E2260">
      <w:pPr>
        <w:spacing w:before="11"/>
        <w:rPr>
          <w:rFonts w:ascii="Times New Roman" w:eastAsia="Times New Roman" w:hAnsi="Times New Roman" w:cs="Times New Roman"/>
          <w:sz w:val="20"/>
          <w:szCs w:val="20"/>
        </w:rPr>
      </w:pPr>
    </w:p>
    <w:p w14:paraId="2B29B439" w14:textId="77777777" w:rsidR="003F6650" w:rsidRDefault="00212F44" w:rsidP="001E2260">
      <w:pPr>
        <w:ind w:left="720" w:right="115"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Ludwig, B. G. (2007). Today is yesterday’s future: Globalizing in the 21</w:t>
      </w:r>
      <w:proofErr w:type="spellStart"/>
      <w:r>
        <w:rPr>
          <w:rFonts w:ascii="Times New Roman" w:eastAsia="Times New Roman" w:hAnsi="Times New Roman" w:cs="Times New Roman"/>
          <w:position w:val="11"/>
          <w:sz w:val="16"/>
          <w:szCs w:val="16"/>
        </w:rPr>
        <w:t>st</w:t>
      </w:r>
      <w:proofErr w:type="spellEnd"/>
      <w:r>
        <w:rPr>
          <w:rFonts w:ascii="Times New Roman" w:eastAsia="Times New Roman" w:hAnsi="Times New Roman" w:cs="Times New Roman"/>
          <w:position w:val="11"/>
          <w:sz w:val="16"/>
          <w:szCs w:val="16"/>
        </w:rPr>
        <w:t xml:space="preserve"> </w:t>
      </w:r>
      <w:r>
        <w:rPr>
          <w:rFonts w:ascii="Times New Roman" w:eastAsia="Times New Roman" w:hAnsi="Times New Roman" w:cs="Times New Roman"/>
          <w:sz w:val="24"/>
          <w:szCs w:val="24"/>
        </w:rPr>
        <w:t xml:space="preserve">century. </w:t>
      </w:r>
      <w:r>
        <w:rPr>
          <w:rFonts w:ascii="Times New Roman" w:eastAsia="Times New Roman" w:hAnsi="Times New Roman" w:cs="Times New Roman"/>
          <w:i/>
          <w:sz w:val="24"/>
          <w:szCs w:val="24"/>
        </w:rPr>
        <w:t>Journal of International Agricultural and Extension Education, 14</w:t>
      </w:r>
      <w:r>
        <w:rPr>
          <w:rFonts w:ascii="Times New Roman" w:eastAsia="Times New Roman" w:hAnsi="Times New Roman" w:cs="Times New Roman"/>
          <w:sz w:val="24"/>
          <w:szCs w:val="24"/>
        </w:rPr>
        <w:t xml:space="preserve">(3), 5–15.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10.5191/jiaee.2007.14301</w:t>
      </w:r>
    </w:p>
    <w:p w14:paraId="79F3B85C" w14:textId="77777777" w:rsidR="003F6650" w:rsidRDefault="003F6650" w:rsidP="001E2260">
      <w:pPr>
        <w:rPr>
          <w:rFonts w:ascii="Times New Roman" w:eastAsia="Times New Roman" w:hAnsi="Times New Roman" w:cs="Times New Roman"/>
          <w:sz w:val="24"/>
          <w:szCs w:val="24"/>
        </w:rPr>
      </w:pPr>
    </w:p>
    <w:p w14:paraId="15F49078" w14:textId="77777777" w:rsidR="003F6650" w:rsidRDefault="00212F44" w:rsidP="001E2260">
      <w:pPr>
        <w:ind w:left="720" w:right="215"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Norris, E. M. &amp; Gillespie, J. (2009). How study abroad shapes global career: Evidence from the United States. </w:t>
      </w:r>
      <w:r>
        <w:rPr>
          <w:rFonts w:ascii="Times New Roman" w:eastAsia="Times New Roman" w:hAnsi="Times New Roman" w:cs="Times New Roman"/>
          <w:i/>
          <w:sz w:val="24"/>
          <w:szCs w:val="24"/>
        </w:rPr>
        <w:t>Journal of Studies in International Education, 13</w:t>
      </w:r>
      <w:r>
        <w:rPr>
          <w:rFonts w:ascii="Times New Roman" w:eastAsia="Times New Roman" w:hAnsi="Times New Roman" w:cs="Times New Roman"/>
          <w:sz w:val="24"/>
          <w:szCs w:val="24"/>
        </w:rPr>
        <w:t xml:space="preserve">(3), 382–397.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10.1177/1028315308319740</w:t>
      </w:r>
    </w:p>
    <w:p w14:paraId="62570690" w14:textId="77777777" w:rsidR="003F6650" w:rsidRDefault="003F6650" w:rsidP="001E2260">
      <w:pPr>
        <w:rPr>
          <w:rFonts w:ascii="Times New Roman" w:eastAsia="Times New Roman" w:hAnsi="Times New Roman" w:cs="Times New Roman"/>
          <w:sz w:val="24"/>
          <w:szCs w:val="24"/>
        </w:rPr>
      </w:pPr>
    </w:p>
    <w:p w14:paraId="3FA39A47" w14:textId="77777777" w:rsidR="003F6650" w:rsidRDefault="00212F44" w:rsidP="001E2260">
      <w:pPr>
        <w:pStyle w:val="BodyText"/>
        <w:ind w:left="720" w:right="81" w:hanging="720"/>
      </w:pPr>
      <w:proofErr w:type="spellStart"/>
      <w:r>
        <w:t>Spiering</w:t>
      </w:r>
      <w:proofErr w:type="spellEnd"/>
      <w:r>
        <w:t xml:space="preserve">, K. &amp; Erickson, S. (2006). Study abroad as an innovation: Applying the diffusion model to international education. </w:t>
      </w:r>
      <w:r>
        <w:rPr>
          <w:rFonts w:cs="Times New Roman"/>
          <w:i/>
        </w:rPr>
        <w:t>International Education Journal, 7</w:t>
      </w:r>
      <w:r>
        <w:t>(3), 314–322.</w:t>
      </w:r>
    </w:p>
    <w:p w14:paraId="02627914" w14:textId="77777777" w:rsidR="003F6650" w:rsidRDefault="003F6650" w:rsidP="001E2260">
      <w:pPr>
        <w:rPr>
          <w:rFonts w:ascii="Times New Roman" w:eastAsia="Times New Roman" w:hAnsi="Times New Roman" w:cs="Times New Roman"/>
          <w:sz w:val="24"/>
          <w:szCs w:val="24"/>
        </w:rPr>
      </w:pPr>
    </w:p>
    <w:p w14:paraId="16CB9B3B" w14:textId="77777777" w:rsidR="003F6650" w:rsidRDefault="00212F44" w:rsidP="001E2260">
      <w:pPr>
        <w:ind w:left="720" w:right="248"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Wingenbach</w:t>
      </w:r>
      <w:proofErr w:type="spellEnd"/>
      <w:r>
        <w:rPr>
          <w:rFonts w:ascii="Times New Roman" w:eastAsia="Times New Roman" w:hAnsi="Times New Roman" w:cs="Times New Roman"/>
          <w:sz w:val="24"/>
          <w:szCs w:val="24"/>
        </w:rPr>
        <w:t xml:space="preserve">, G. J., Boyd, B. L., Lindner, J. R. (2003). Students’ knowledge and attitudes about international agricultural issues. </w:t>
      </w:r>
      <w:r>
        <w:rPr>
          <w:rFonts w:ascii="Times New Roman" w:eastAsia="Times New Roman" w:hAnsi="Times New Roman" w:cs="Times New Roman"/>
          <w:i/>
          <w:sz w:val="24"/>
          <w:szCs w:val="24"/>
        </w:rPr>
        <w:t>Journal of International Agricultural and Extension Education, 10</w:t>
      </w:r>
      <w:r>
        <w:rPr>
          <w:rFonts w:ascii="Times New Roman" w:eastAsia="Times New Roman" w:hAnsi="Times New Roman" w:cs="Times New Roman"/>
          <w:sz w:val="24"/>
          <w:szCs w:val="24"/>
        </w:rPr>
        <w:t xml:space="preserve">(3), 25–35.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10.5191/jiaee.2003.10304</w:t>
      </w:r>
    </w:p>
    <w:p w14:paraId="1C0EEB4C" w14:textId="77777777" w:rsidR="003F6650" w:rsidRDefault="003F6650" w:rsidP="001E2260">
      <w:pPr>
        <w:rPr>
          <w:rFonts w:ascii="Times New Roman" w:eastAsia="Times New Roman" w:hAnsi="Times New Roman" w:cs="Times New Roman"/>
          <w:sz w:val="24"/>
          <w:szCs w:val="24"/>
        </w:rPr>
      </w:pPr>
    </w:p>
    <w:p w14:paraId="03658A52" w14:textId="77777777" w:rsidR="003F6650" w:rsidRDefault="00212F44" w:rsidP="001E2260">
      <w:pPr>
        <w:ind w:left="720" w:right="89"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Zhai</w:t>
      </w:r>
      <w:proofErr w:type="spellEnd"/>
      <w:r>
        <w:rPr>
          <w:rFonts w:ascii="Times New Roman" w:eastAsia="Times New Roman" w:hAnsi="Times New Roman" w:cs="Times New Roman"/>
          <w:sz w:val="24"/>
          <w:szCs w:val="24"/>
        </w:rPr>
        <w:t xml:space="preserve">, L. &amp; </w:t>
      </w:r>
      <w:proofErr w:type="spellStart"/>
      <w:r>
        <w:rPr>
          <w:rFonts w:ascii="Times New Roman" w:eastAsia="Times New Roman" w:hAnsi="Times New Roman" w:cs="Times New Roman"/>
          <w:sz w:val="24"/>
          <w:szCs w:val="24"/>
        </w:rPr>
        <w:t>Scheer</w:t>
      </w:r>
      <w:proofErr w:type="spellEnd"/>
      <w:r>
        <w:rPr>
          <w:rFonts w:ascii="Times New Roman" w:eastAsia="Times New Roman" w:hAnsi="Times New Roman" w:cs="Times New Roman"/>
          <w:sz w:val="24"/>
          <w:szCs w:val="24"/>
        </w:rPr>
        <w:t xml:space="preserve">, L. D. (2002). Influence of international study abroad programs on agricultural college students. </w:t>
      </w:r>
      <w:r>
        <w:rPr>
          <w:rFonts w:ascii="Times New Roman" w:eastAsia="Times New Roman" w:hAnsi="Times New Roman" w:cs="Times New Roman"/>
          <w:i/>
          <w:sz w:val="24"/>
          <w:szCs w:val="24"/>
        </w:rPr>
        <w:t>Journal of International Agricultural and Extension Education, 9</w:t>
      </w:r>
      <w:r>
        <w:rPr>
          <w:rFonts w:ascii="Times New Roman" w:eastAsia="Times New Roman" w:hAnsi="Times New Roman" w:cs="Times New Roman"/>
          <w:sz w:val="24"/>
          <w:szCs w:val="24"/>
        </w:rPr>
        <w:t xml:space="preserve">(3), 23–29.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10.5191/jiaee.2002.09303</w:t>
      </w:r>
    </w:p>
    <w:sectPr w:rsidR="003F6650">
      <w:pgSz w:w="12240" w:h="15840"/>
      <w:pgMar w:top="1500" w:right="1360" w:bottom="940" w:left="1340" w:header="0" w:footer="7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1EAA8E" w14:textId="77777777" w:rsidR="00F12598" w:rsidRDefault="00F12598">
      <w:r>
        <w:separator/>
      </w:r>
    </w:p>
  </w:endnote>
  <w:endnote w:type="continuationSeparator" w:id="0">
    <w:p w14:paraId="59D6E29C" w14:textId="77777777" w:rsidR="00F12598" w:rsidRDefault="00F12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imesNewRomanPSMT">
    <w:altName w:val="Times New Roman"/>
    <w:charset w:val="00"/>
    <w:family w:val="auto"/>
    <w:pitch w:val="variable"/>
    <w:sig w:usb0="00000000"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A8B639" w14:textId="77777777" w:rsidR="00EA1F6D" w:rsidRDefault="00EA1F6D" w:rsidP="00EA1F6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63A576" w14:textId="77777777" w:rsidR="00EA1F6D" w:rsidRDefault="00EA1F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B09B8" w14:textId="77777777" w:rsidR="00EA1F6D" w:rsidRDefault="00EA1F6D" w:rsidP="00EE007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2260">
      <w:rPr>
        <w:rStyle w:val="PageNumber"/>
        <w:noProof/>
      </w:rPr>
      <w:t>2</w:t>
    </w:r>
    <w:r>
      <w:rPr>
        <w:rStyle w:val="PageNumber"/>
      </w:rPr>
      <w:fldChar w:fldCharType="end"/>
    </w:r>
  </w:p>
  <w:p w14:paraId="73B090B6" w14:textId="77777777" w:rsidR="00EA1F6D" w:rsidRDefault="00EA1F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495977" w14:textId="77777777" w:rsidR="00EA1F6D" w:rsidRDefault="00EA1F6D" w:rsidP="00EE007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2260">
      <w:rPr>
        <w:rStyle w:val="PageNumber"/>
        <w:noProof/>
      </w:rPr>
      <w:t>3</w:t>
    </w:r>
    <w:r>
      <w:rPr>
        <w:rStyle w:val="PageNumber"/>
      </w:rPr>
      <w:fldChar w:fldCharType="end"/>
    </w:r>
  </w:p>
  <w:p w14:paraId="22F9EAF8" w14:textId="77777777" w:rsidR="003F6650" w:rsidRDefault="003F6650">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C40B1" w14:textId="77777777" w:rsidR="00F12598" w:rsidRDefault="00F12598">
      <w:r>
        <w:separator/>
      </w:r>
    </w:p>
  </w:footnote>
  <w:footnote w:type="continuationSeparator" w:id="0">
    <w:p w14:paraId="1910CF0D" w14:textId="77777777" w:rsidR="00F12598" w:rsidRDefault="00F125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650"/>
    <w:rsid w:val="00005659"/>
    <w:rsid w:val="001E2260"/>
    <w:rsid w:val="00212F44"/>
    <w:rsid w:val="003F6650"/>
    <w:rsid w:val="004E032D"/>
    <w:rsid w:val="0050078A"/>
    <w:rsid w:val="00510372"/>
    <w:rsid w:val="007A6D26"/>
    <w:rsid w:val="00853B8B"/>
    <w:rsid w:val="00AA67D3"/>
    <w:rsid w:val="00B86997"/>
    <w:rsid w:val="00BC4A45"/>
    <w:rsid w:val="00E646E8"/>
    <w:rsid w:val="00EA1F6D"/>
    <w:rsid w:val="00EB56E9"/>
    <w:rsid w:val="00F12598"/>
    <w:rsid w:val="00F30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8B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986"/>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apple-converted-space">
    <w:name w:val="apple-converted-space"/>
    <w:basedOn w:val="DefaultParagraphFont"/>
    <w:rsid w:val="00005659"/>
  </w:style>
  <w:style w:type="character" w:styleId="Hyperlink">
    <w:name w:val="Hyperlink"/>
    <w:basedOn w:val="DefaultParagraphFont"/>
    <w:uiPriority w:val="99"/>
    <w:unhideWhenUsed/>
    <w:rsid w:val="00853B8B"/>
    <w:rPr>
      <w:color w:val="0000FF" w:themeColor="hyperlink"/>
      <w:u w:val="single"/>
    </w:rPr>
  </w:style>
  <w:style w:type="paragraph" w:styleId="Footer">
    <w:name w:val="footer"/>
    <w:basedOn w:val="Normal"/>
    <w:link w:val="FooterChar"/>
    <w:uiPriority w:val="99"/>
    <w:unhideWhenUsed/>
    <w:rsid w:val="00EA1F6D"/>
    <w:pPr>
      <w:tabs>
        <w:tab w:val="center" w:pos="4680"/>
        <w:tab w:val="right" w:pos="9360"/>
      </w:tabs>
    </w:pPr>
  </w:style>
  <w:style w:type="character" w:customStyle="1" w:styleId="FooterChar">
    <w:name w:val="Footer Char"/>
    <w:basedOn w:val="DefaultParagraphFont"/>
    <w:link w:val="Footer"/>
    <w:uiPriority w:val="99"/>
    <w:rsid w:val="00EA1F6D"/>
  </w:style>
  <w:style w:type="character" w:styleId="PageNumber">
    <w:name w:val="page number"/>
    <w:basedOn w:val="DefaultParagraphFont"/>
    <w:uiPriority w:val="99"/>
    <w:semiHidden/>
    <w:unhideWhenUsed/>
    <w:rsid w:val="00EA1F6D"/>
  </w:style>
  <w:style w:type="paragraph" w:styleId="Header">
    <w:name w:val="header"/>
    <w:basedOn w:val="Normal"/>
    <w:link w:val="HeaderChar"/>
    <w:uiPriority w:val="99"/>
    <w:unhideWhenUsed/>
    <w:rsid w:val="00EA1F6D"/>
    <w:pPr>
      <w:tabs>
        <w:tab w:val="center" w:pos="4680"/>
        <w:tab w:val="right" w:pos="9360"/>
      </w:tabs>
    </w:pPr>
  </w:style>
  <w:style w:type="character" w:customStyle="1" w:styleId="HeaderChar">
    <w:name w:val="Header Char"/>
    <w:basedOn w:val="DefaultParagraphFont"/>
    <w:link w:val="Header"/>
    <w:uiPriority w:val="99"/>
    <w:rsid w:val="00EA1F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986"/>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apple-converted-space">
    <w:name w:val="apple-converted-space"/>
    <w:basedOn w:val="DefaultParagraphFont"/>
    <w:rsid w:val="00005659"/>
  </w:style>
  <w:style w:type="character" w:styleId="Hyperlink">
    <w:name w:val="Hyperlink"/>
    <w:basedOn w:val="DefaultParagraphFont"/>
    <w:uiPriority w:val="99"/>
    <w:unhideWhenUsed/>
    <w:rsid w:val="00853B8B"/>
    <w:rPr>
      <w:color w:val="0000FF" w:themeColor="hyperlink"/>
      <w:u w:val="single"/>
    </w:rPr>
  </w:style>
  <w:style w:type="paragraph" w:styleId="Footer">
    <w:name w:val="footer"/>
    <w:basedOn w:val="Normal"/>
    <w:link w:val="FooterChar"/>
    <w:uiPriority w:val="99"/>
    <w:unhideWhenUsed/>
    <w:rsid w:val="00EA1F6D"/>
    <w:pPr>
      <w:tabs>
        <w:tab w:val="center" w:pos="4680"/>
        <w:tab w:val="right" w:pos="9360"/>
      </w:tabs>
    </w:pPr>
  </w:style>
  <w:style w:type="character" w:customStyle="1" w:styleId="FooterChar">
    <w:name w:val="Footer Char"/>
    <w:basedOn w:val="DefaultParagraphFont"/>
    <w:link w:val="Footer"/>
    <w:uiPriority w:val="99"/>
    <w:rsid w:val="00EA1F6D"/>
  </w:style>
  <w:style w:type="character" w:styleId="PageNumber">
    <w:name w:val="page number"/>
    <w:basedOn w:val="DefaultParagraphFont"/>
    <w:uiPriority w:val="99"/>
    <w:semiHidden/>
    <w:unhideWhenUsed/>
    <w:rsid w:val="00EA1F6D"/>
  </w:style>
  <w:style w:type="paragraph" w:styleId="Header">
    <w:name w:val="header"/>
    <w:basedOn w:val="Normal"/>
    <w:link w:val="HeaderChar"/>
    <w:uiPriority w:val="99"/>
    <w:unhideWhenUsed/>
    <w:rsid w:val="00EA1F6D"/>
    <w:pPr>
      <w:tabs>
        <w:tab w:val="center" w:pos="4680"/>
        <w:tab w:val="right" w:pos="9360"/>
      </w:tabs>
    </w:pPr>
  </w:style>
  <w:style w:type="character" w:customStyle="1" w:styleId="HeaderChar">
    <w:name w:val="Header Char"/>
    <w:basedOn w:val="DefaultParagraphFont"/>
    <w:link w:val="Header"/>
    <w:uiPriority w:val="99"/>
    <w:rsid w:val="00EA1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iie.org/Research-and-Publications/Open-Doors/Data"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1544</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Danjean, Shelli</dc:creator>
  <cp:lastModifiedBy>Shelli Danjean</cp:lastModifiedBy>
  <cp:revision>8</cp:revision>
  <cp:lastPrinted>2016-01-14T18:36:00Z</cp:lastPrinted>
  <dcterms:created xsi:type="dcterms:W3CDTF">2016-01-14T17:44:00Z</dcterms:created>
  <dcterms:modified xsi:type="dcterms:W3CDTF">2016-01-14T18:39:00Z</dcterms:modified>
</cp:coreProperties>
</file>