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7003B1" w14:textId="77777777" w:rsidR="00A13A70" w:rsidRDefault="00A13A70" w:rsidP="003C483B">
      <w:pPr>
        <w:spacing w:after="0" w:line="240" w:lineRule="auto"/>
        <w:jc w:val="center"/>
        <w:rPr>
          <w:rFonts w:ascii="Times New Roman" w:hAnsi="Times New Roman" w:cs="Times New Roman"/>
          <w:b/>
          <w:sz w:val="24"/>
          <w:szCs w:val="24"/>
        </w:rPr>
      </w:pPr>
    </w:p>
    <w:p w14:paraId="75DF50DD" w14:textId="77777777" w:rsidR="00A13A70" w:rsidRPr="00A13A70" w:rsidRDefault="00A13A70" w:rsidP="00A13A70">
      <w:pPr>
        <w:jc w:val="center"/>
        <w:rPr>
          <w:rFonts w:ascii="Times New Roman" w:hAnsi="Times New Roman" w:cs="Times New Roman"/>
          <w:b/>
          <w:i/>
          <w:sz w:val="24"/>
          <w:szCs w:val="24"/>
        </w:rPr>
      </w:pPr>
      <w:r w:rsidRPr="00A13A70">
        <w:rPr>
          <w:rFonts w:ascii="Times New Roman" w:hAnsi="Times New Roman" w:cs="Times New Roman"/>
          <w:b/>
          <w:i/>
          <w:sz w:val="24"/>
          <w:szCs w:val="24"/>
        </w:rPr>
        <w:t xml:space="preserve">A Qualitative Study Investigating Students’ Perceptions </w:t>
      </w:r>
      <w:r w:rsidRPr="00A13A70">
        <w:rPr>
          <w:rFonts w:ascii="Times New Roman" w:hAnsi="Times New Roman" w:cs="Times New Roman"/>
          <w:b/>
          <w:i/>
          <w:sz w:val="24"/>
          <w:szCs w:val="24"/>
        </w:rPr>
        <w:br/>
        <w:t>of Experiential Learning within an Agriculture Curriculum</w:t>
      </w:r>
    </w:p>
    <w:p w14:paraId="2EB3FBD0" w14:textId="77777777" w:rsidR="00A13A70" w:rsidRDefault="00A13A70" w:rsidP="00A13A70">
      <w:pPr>
        <w:jc w:val="center"/>
        <w:rPr>
          <w:rFonts w:ascii="Times New Roman" w:hAnsi="Times New Roman" w:cs="Times New Roman"/>
          <w:b/>
          <w:i/>
          <w:sz w:val="24"/>
          <w:szCs w:val="24"/>
        </w:rPr>
      </w:pPr>
    </w:p>
    <w:p w14:paraId="49D03500" w14:textId="448870AC" w:rsidR="00A13A70" w:rsidRDefault="00A13A70" w:rsidP="00A13A70">
      <w:pPr>
        <w:spacing w:after="0"/>
        <w:jc w:val="center"/>
        <w:rPr>
          <w:rFonts w:ascii="Times New Roman" w:hAnsi="Times New Roman" w:cs="Times New Roman"/>
          <w:sz w:val="24"/>
          <w:szCs w:val="24"/>
        </w:rPr>
      </w:pPr>
      <w:r>
        <w:rPr>
          <w:rFonts w:ascii="Times New Roman" w:hAnsi="Times New Roman" w:cs="Times New Roman"/>
          <w:sz w:val="24"/>
          <w:szCs w:val="24"/>
        </w:rPr>
        <w:t>Timothy Bradford Jr. (T.J.)</w:t>
      </w:r>
    </w:p>
    <w:p w14:paraId="538E240E" w14:textId="77777777" w:rsidR="00A13A70" w:rsidRDefault="00A13A70" w:rsidP="00A13A70">
      <w:pPr>
        <w:pStyle w:val="Title"/>
        <w:spacing w:after="0"/>
        <w:rPr>
          <w:b w:val="0"/>
        </w:rPr>
      </w:pPr>
      <w:r>
        <w:rPr>
          <w:b w:val="0"/>
        </w:rPr>
        <w:t>Mississippi State University</w:t>
      </w:r>
    </w:p>
    <w:p w14:paraId="0F0A0BE0" w14:textId="77777777" w:rsidR="00A13A70" w:rsidRDefault="00A13A70" w:rsidP="00A13A70">
      <w:pPr>
        <w:pStyle w:val="Title"/>
        <w:spacing w:after="0"/>
        <w:rPr>
          <w:b w:val="0"/>
        </w:rPr>
      </w:pPr>
      <w:r>
        <w:rPr>
          <w:b w:val="0"/>
        </w:rPr>
        <w:t>Box 9745</w:t>
      </w:r>
    </w:p>
    <w:p w14:paraId="0F763B3D" w14:textId="77777777" w:rsidR="00A13A70" w:rsidRDefault="00A13A70" w:rsidP="00A13A70">
      <w:pPr>
        <w:pStyle w:val="Title"/>
        <w:spacing w:after="0"/>
        <w:rPr>
          <w:b w:val="0"/>
        </w:rPr>
      </w:pPr>
      <w:r>
        <w:rPr>
          <w:b w:val="0"/>
        </w:rPr>
        <w:t>Mississippi State, MS  39762</w:t>
      </w:r>
    </w:p>
    <w:p w14:paraId="45CB42BD" w14:textId="69D49275" w:rsidR="00A13A70" w:rsidRDefault="00A13A70" w:rsidP="00A13A70">
      <w:pPr>
        <w:pStyle w:val="Title"/>
        <w:spacing w:after="0"/>
        <w:rPr>
          <w:b w:val="0"/>
        </w:rPr>
      </w:pPr>
      <w:r>
        <w:rPr>
          <w:b w:val="0"/>
        </w:rPr>
        <w:t>662.325.5841</w:t>
      </w:r>
    </w:p>
    <w:p w14:paraId="21CC339D" w14:textId="77777777" w:rsidR="00A13A70" w:rsidRDefault="00A13A70" w:rsidP="00A13A70">
      <w:pPr>
        <w:pStyle w:val="Title"/>
        <w:spacing w:after="0"/>
        <w:rPr>
          <w:b w:val="0"/>
        </w:rPr>
      </w:pPr>
      <w:r>
        <w:rPr>
          <w:b w:val="0"/>
        </w:rPr>
        <w:t>tb306@msstate.edu</w:t>
      </w:r>
    </w:p>
    <w:p w14:paraId="31E4D78A" w14:textId="77777777" w:rsidR="00A13A70" w:rsidRDefault="00A13A70" w:rsidP="00A13A70">
      <w:pPr>
        <w:spacing w:after="0"/>
        <w:jc w:val="center"/>
        <w:rPr>
          <w:rFonts w:ascii="Times New Roman" w:hAnsi="Times New Roman" w:cs="Times New Roman"/>
          <w:sz w:val="24"/>
          <w:szCs w:val="24"/>
        </w:rPr>
      </w:pPr>
    </w:p>
    <w:p w14:paraId="332DAA3E" w14:textId="054831D9" w:rsidR="00A13A70" w:rsidRDefault="00A13A70" w:rsidP="00A13A70">
      <w:pPr>
        <w:spacing w:after="0"/>
        <w:jc w:val="center"/>
        <w:rPr>
          <w:rFonts w:ascii="Times New Roman" w:hAnsi="Times New Roman" w:cs="Times New Roman"/>
          <w:sz w:val="24"/>
          <w:szCs w:val="24"/>
        </w:rPr>
      </w:pPr>
      <w:r>
        <w:rPr>
          <w:rFonts w:ascii="Times New Roman" w:hAnsi="Times New Roman" w:cs="Times New Roman"/>
          <w:sz w:val="24"/>
          <w:szCs w:val="24"/>
        </w:rPr>
        <w:t>Gaea Hock</w:t>
      </w:r>
    </w:p>
    <w:p w14:paraId="79E8CF95" w14:textId="77777777" w:rsidR="00A13A70" w:rsidRDefault="00A13A70" w:rsidP="00A13A70">
      <w:pPr>
        <w:pStyle w:val="Title"/>
        <w:spacing w:after="0"/>
        <w:rPr>
          <w:b w:val="0"/>
        </w:rPr>
      </w:pPr>
      <w:r>
        <w:rPr>
          <w:b w:val="0"/>
        </w:rPr>
        <w:t>Mississippi State University</w:t>
      </w:r>
    </w:p>
    <w:p w14:paraId="737076C5" w14:textId="77777777" w:rsidR="00A13A70" w:rsidRDefault="00A13A70" w:rsidP="00A13A70">
      <w:pPr>
        <w:pStyle w:val="Title"/>
        <w:spacing w:after="0"/>
        <w:rPr>
          <w:b w:val="0"/>
        </w:rPr>
      </w:pPr>
      <w:r>
        <w:rPr>
          <w:b w:val="0"/>
        </w:rPr>
        <w:t>Box 9745</w:t>
      </w:r>
    </w:p>
    <w:p w14:paraId="3C895648" w14:textId="77777777" w:rsidR="00A13A70" w:rsidRDefault="00A13A70" w:rsidP="00A13A70">
      <w:pPr>
        <w:pStyle w:val="Title"/>
        <w:spacing w:after="0"/>
        <w:rPr>
          <w:b w:val="0"/>
        </w:rPr>
      </w:pPr>
      <w:r>
        <w:rPr>
          <w:b w:val="0"/>
        </w:rPr>
        <w:t>Mississippi State, MS  39762</w:t>
      </w:r>
    </w:p>
    <w:p w14:paraId="7BBFE597" w14:textId="77777777" w:rsidR="00A13A70" w:rsidRDefault="00A13A70" w:rsidP="00A13A70">
      <w:pPr>
        <w:pStyle w:val="Title"/>
        <w:spacing w:after="0"/>
        <w:rPr>
          <w:b w:val="0"/>
        </w:rPr>
      </w:pPr>
      <w:r>
        <w:rPr>
          <w:b w:val="0"/>
        </w:rPr>
        <w:t>662.325.7834</w:t>
      </w:r>
    </w:p>
    <w:p w14:paraId="0BD7BF1B" w14:textId="051DA186" w:rsidR="00A13A70" w:rsidRDefault="008012AC" w:rsidP="00A13A70">
      <w:pPr>
        <w:pStyle w:val="Title"/>
        <w:spacing w:after="0"/>
        <w:rPr>
          <w:rFonts w:cs="Times New Roman"/>
          <w:b w:val="0"/>
          <w:bCs w:val="0"/>
          <w:kern w:val="0"/>
          <w:szCs w:val="24"/>
          <w:shd w:val="clear" w:color="auto" w:fill="FFFFFF"/>
        </w:rPr>
      </w:pPr>
      <w:hyperlink r:id="rId8" w:history="1">
        <w:r w:rsidR="00A13A70">
          <w:rPr>
            <w:rFonts w:cs="Times New Roman"/>
            <w:b w:val="0"/>
            <w:bCs w:val="0"/>
            <w:kern w:val="0"/>
            <w:szCs w:val="24"/>
            <w:shd w:val="clear" w:color="auto" w:fill="FFFFFF"/>
          </w:rPr>
          <w:t>gaea.hock@</w:t>
        </w:r>
        <w:r w:rsidR="00A13A70" w:rsidRPr="002D5124">
          <w:rPr>
            <w:rFonts w:cs="Times New Roman"/>
            <w:b w:val="0"/>
            <w:bCs w:val="0"/>
            <w:kern w:val="0"/>
            <w:szCs w:val="24"/>
            <w:shd w:val="clear" w:color="auto" w:fill="FFFFFF"/>
          </w:rPr>
          <w:t>.msstate.edu</w:t>
        </w:r>
      </w:hyperlink>
    </w:p>
    <w:p w14:paraId="62526D5F" w14:textId="77777777" w:rsidR="00E40960" w:rsidRDefault="00E40960" w:rsidP="00A13A70">
      <w:pPr>
        <w:pStyle w:val="Title"/>
        <w:spacing w:after="0"/>
        <w:rPr>
          <w:rFonts w:cs="Times New Roman"/>
          <w:b w:val="0"/>
          <w:bCs w:val="0"/>
          <w:kern w:val="0"/>
          <w:szCs w:val="24"/>
          <w:shd w:val="clear" w:color="auto" w:fill="FFFFFF"/>
        </w:rPr>
      </w:pPr>
    </w:p>
    <w:p w14:paraId="0F3ACC0D" w14:textId="2FDC18AA" w:rsidR="00E40960" w:rsidRDefault="00E40960" w:rsidP="00A13A70">
      <w:pPr>
        <w:pStyle w:val="Title"/>
        <w:spacing w:after="0"/>
        <w:rPr>
          <w:rFonts w:cs="Times New Roman"/>
          <w:b w:val="0"/>
          <w:bCs w:val="0"/>
          <w:kern w:val="0"/>
          <w:szCs w:val="24"/>
          <w:shd w:val="clear" w:color="auto" w:fill="FFFFFF"/>
        </w:rPr>
      </w:pPr>
      <w:r>
        <w:rPr>
          <w:rFonts w:cs="Times New Roman"/>
          <w:b w:val="0"/>
          <w:bCs w:val="0"/>
          <w:kern w:val="0"/>
          <w:szCs w:val="24"/>
          <w:shd w:val="clear" w:color="auto" w:fill="FFFFFF"/>
        </w:rPr>
        <w:t xml:space="preserve">Alayna </w:t>
      </w:r>
      <w:proofErr w:type="spellStart"/>
      <w:r>
        <w:rPr>
          <w:rFonts w:cs="Times New Roman"/>
          <w:b w:val="0"/>
          <w:bCs w:val="0"/>
          <w:kern w:val="0"/>
          <w:szCs w:val="24"/>
          <w:shd w:val="clear" w:color="auto" w:fill="FFFFFF"/>
        </w:rPr>
        <w:t>Naro</w:t>
      </w:r>
      <w:proofErr w:type="spellEnd"/>
    </w:p>
    <w:p w14:paraId="6969CE1A" w14:textId="77777777" w:rsidR="00E40960" w:rsidRDefault="00E40960" w:rsidP="00E40960">
      <w:pPr>
        <w:pStyle w:val="Title"/>
        <w:spacing w:after="0"/>
        <w:rPr>
          <w:b w:val="0"/>
        </w:rPr>
      </w:pPr>
      <w:r>
        <w:rPr>
          <w:b w:val="0"/>
        </w:rPr>
        <w:t>Mississippi State University</w:t>
      </w:r>
    </w:p>
    <w:p w14:paraId="1B14A1E0" w14:textId="77777777" w:rsidR="00E40960" w:rsidRDefault="00E40960" w:rsidP="00E40960">
      <w:pPr>
        <w:pStyle w:val="Title"/>
        <w:spacing w:after="0"/>
        <w:rPr>
          <w:b w:val="0"/>
        </w:rPr>
      </w:pPr>
      <w:r>
        <w:rPr>
          <w:b w:val="0"/>
        </w:rPr>
        <w:t>Box 9745</w:t>
      </w:r>
    </w:p>
    <w:p w14:paraId="0192CD78" w14:textId="77777777" w:rsidR="00E40960" w:rsidRDefault="00E40960" w:rsidP="00E40960">
      <w:pPr>
        <w:pStyle w:val="Title"/>
        <w:spacing w:after="0"/>
        <w:rPr>
          <w:b w:val="0"/>
        </w:rPr>
      </w:pPr>
      <w:r>
        <w:rPr>
          <w:b w:val="0"/>
        </w:rPr>
        <w:t>Mississippi State, MS  39762</w:t>
      </w:r>
    </w:p>
    <w:p w14:paraId="77E125D2" w14:textId="159B0240" w:rsidR="00E40960" w:rsidRDefault="00E40960" w:rsidP="00E40960">
      <w:pPr>
        <w:pStyle w:val="Title"/>
        <w:spacing w:after="0"/>
        <w:rPr>
          <w:b w:val="0"/>
        </w:rPr>
      </w:pPr>
      <w:r>
        <w:rPr>
          <w:b w:val="0"/>
        </w:rPr>
        <w:t>662.325.2950</w:t>
      </w:r>
    </w:p>
    <w:p w14:paraId="53F6ED4D" w14:textId="06640C29" w:rsidR="00A13A70" w:rsidRPr="00A13A70" w:rsidRDefault="00E40960" w:rsidP="00A13A70">
      <w:pPr>
        <w:jc w:val="center"/>
        <w:rPr>
          <w:rFonts w:ascii="Times New Roman" w:hAnsi="Times New Roman" w:cs="Times New Roman"/>
          <w:sz w:val="24"/>
          <w:szCs w:val="24"/>
        </w:rPr>
      </w:pPr>
      <w:r>
        <w:rPr>
          <w:rFonts w:ascii="Times New Roman" w:hAnsi="Times New Roman" w:cs="Times New Roman"/>
          <w:sz w:val="24"/>
          <w:szCs w:val="24"/>
        </w:rPr>
        <w:t>acn77@msstate.edu</w:t>
      </w:r>
      <w:r w:rsidR="00A13A70">
        <w:rPr>
          <w:rFonts w:ascii="Times New Roman" w:hAnsi="Times New Roman" w:cs="Times New Roman"/>
          <w:b/>
          <w:sz w:val="24"/>
          <w:szCs w:val="24"/>
        </w:rPr>
        <w:br w:type="page"/>
      </w:r>
    </w:p>
    <w:p w14:paraId="612A5A87" w14:textId="1384EEF7" w:rsidR="00E319A9" w:rsidRDefault="00885580" w:rsidP="003C483B">
      <w:pPr>
        <w:spacing w:after="0" w:line="240" w:lineRule="auto"/>
        <w:jc w:val="center"/>
        <w:rPr>
          <w:rFonts w:ascii="Times New Roman" w:hAnsi="Times New Roman" w:cs="Times New Roman"/>
          <w:b/>
          <w:sz w:val="24"/>
          <w:szCs w:val="24"/>
        </w:rPr>
      </w:pPr>
      <w:r w:rsidRPr="00731480">
        <w:rPr>
          <w:rFonts w:ascii="Times New Roman" w:hAnsi="Times New Roman" w:cs="Times New Roman"/>
          <w:b/>
          <w:sz w:val="24"/>
          <w:szCs w:val="24"/>
        </w:rPr>
        <w:lastRenderedPageBreak/>
        <w:t>Introduction</w:t>
      </w:r>
    </w:p>
    <w:p w14:paraId="5003D04D" w14:textId="57D72E9F" w:rsidR="003C483B" w:rsidRPr="00A94CBE" w:rsidRDefault="0010100B" w:rsidP="00A94CBE">
      <w:pPr>
        <w:spacing w:after="0" w:line="240" w:lineRule="auto"/>
        <w:rPr>
          <w:rFonts w:ascii="Times New Roman" w:eastAsia="Calibri" w:hAnsi="Times New Roman" w:cs="Times New Roman"/>
          <w:sz w:val="24"/>
          <w:szCs w:val="24"/>
        </w:rPr>
      </w:pPr>
      <w:r w:rsidRPr="0010100B">
        <w:rPr>
          <w:rFonts w:ascii="Times New Roman" w:hAnsi="Times New Roman" w:cs="Times New Roman"/>
          <w:sz w:val="24"/>
          <w:szCs w:val="24"/>
        </w:rPr>
        <w:t>Priority Area 1</w:t>
      </w:r>
      <w:r w:rsidR="004E20F0">
        <w:rPr>
          <w:rFonts w:ascii="Times New Roman" w:hAnsi="Times New Roman" w:cs="Times New Roman"/>
          <w:sz w:val="24"/>
          <w:szCs w:val="24"/>
        </w:rPr>
        <w:t xml:space="preserve"> of</w:t>
      </w:r>
      <w:r>
        <w:rPr>
          <w:rFonts w:ascii="Times New Roman" w:hAnsi="Times New Roman" w:cs="Times New Roman"/>
          <w:sz w:val="24"/>
          <w:szCs w:val="24"/>
        </w:rPr>
        <w:t xml:space="preserve"> t</w:t>
      </w:r>
      <w:r w:rsidRPr="0010100B">
        <w:rPr>
          <w:rFonts w:ascii="Times New Roman" w:hAnsi="Times New Roman" w:cs="Times New Roman"/>
          <w:sz w:val="24"/>
          <w:szCs w:val="24"/>
        </w:rPr>
        <w:t xml:space="preserve">he </w:t>
      </w:r>
      <w:r w:rsidRPr="0010100B">
        <w:rPr>
          <w:rFonts w:ascii="Times New Roman" w:hAnsi="Times New Roman" w:cs="Times New Roman"/>
          <w:i/>
          <w:sz w:val="24"/>
          <w:szCs w:val="24"/>
        </w:rPr>
        <w:t>National Research Agenda: American Association for Agricultural Education’s Research Priority Areas for 2011-2015</w:t>
      </w:r>
      <w:r w:rsidRPr="0010100B">
        <w:rPr>
          <w:rFonts w:ascii="Times New Roman" w:hAnsi="Times New Roman" w:cs="Times New Roman"/>
          <w:sz w:val="24"/>
          <w:szCs w:val="24"/>
        </w:rPr>
        <w:t xml:space="preserve"> </w:t>
      </w:r>
      <w:r w:rsidR="00D74EF7" w:rsidRPr="0010100B">
        <w:rPr>
          <w:rFonts w:ascii="Times New Roman" w:hAnsi="Times New Roman" w:cs="Times New Roman"/>
          <w:sz w:val="24"/>
          <w:szCs w:val="24"/>
        </w:rPr>
        <w:t>recognize</w:t>
      </w:r>
      <w:r w:rsidR="004E20F0">
        <w:rPr>
          <w:rFonts w:ascii="Times New Roman" w:hAnsi="Times New Roman" w:cs="Times New Roman"/>
          <w:sz w:val="24"/>
          <w:szCs w:val="24"/>
        </w:rPr>
        <w:t>s</w:t>
      </w:r>
      <w:r w:rsidR="00D74EF7" w:rsidRPr="0010100B">
        <w:rPr>
          <w:rFonts w:ascii="Times New Roman" w:hAnsi="Times New Roman" w:cs="Times New Roman"/>
          <w:sz w:val="24"/>
          <w:szCs w:val="24"/>
        </w:rPr>
        <w:t xml:space="preserve"> the</w:t>
      </w:r>
      <w:r w:rsidR="00E21A81">
        <w:rPr>
          <w:rFonts w:ascii="Times New Roman" w:hAnsi="Times New Roman" w:cs="Times New Roman"/>
          <w:sz w:val="24"/>
          <w:szCs w:val="24"/>
        </w:rPr>
        <w:t xml:space="preserve"> need for agricultural literacy</w:t>
      </w:r>
      <w:r w:rsidR="00D74EF7" w:rsidRPr="0010100B">
        <w:rPr>
          <w:rFonts w:ascii="Times New Roman" w:hAnsi="Times New Roman" w:cs="Times New Roman"/>
          <w:sz w:val="24"/>
          <w:szCs w:val="24"/>
        </w:rPr>
        <w:t xml:space="preserve"> </w:t>
      </w:r>
      <w:r w:rsidRPr="0010100B">
        <w:rPr>
          <w:rFonts w:ascii="Times New Roman" w:hAnsi="Times New Roman" w:cs="Times New Roman"/>
          <w:sz w:val="24"/>
          <w:szCs w:val="24"/>
        </w:rPr>
        <w:t>(Doerfert, 2011)</w:t>
      </w:r>
      <w:r w:rsidR="00E21A81">
        <w:rPr>
          <w:rFonts w:ascii="Times New Roman" w:hAnsi="Times New Roman" w:cs="Times New Roman"/>
          <w:sz w:val="24"/>
          <w:szCs w:val="24"/>
        </w:rPr>
        <w:t>.</w:t>
      </w:r>
      <w:r w:rsidRPr="0010100B">
        <w:rPr>
          <w:rFonts w:ascii="Times New Roman" w:hAnsi="Times New Roman" w:cs="Times New Roman"/>
          <w:sz w:val="24"/>
          <w:szCs w:val="24"/>
        </w:rPr>
        <w:t xml:space="preserve">  </w:t>
      </w:r>
      <w:r>
        <w:rPr>
          <w:rFonts w:ascii="Times New Roman" w:hAnsi="Times New Roman" w:cs="Times New Roman"/>
          <w:sz w:val="24"/>
          <w:szCs w:val="24"/>
        </w:rPr>
        <w:t xml:space="preserve">Also in Priority Area 1, </w:t>
      </w:r>
      <w:r w:rsidR="00E21A81">
        <w:rPr>
          <w:rFonts w:ascii="Times New Roman" w:hAnsi="Times New Roman" w:cs="Times New Roman"/>
          <w:sz w:val="24"/>
          <w:szCs w:val="24"/>
        </w:rPr>
        <w:t xml:space="preserve">it </w:t>
      </w:r>
      <w:r w:rsidR="004E20F0">
        <w:rPr>
          <w:rFonts w:ascii="Times New Roman" w:hAnsi="Times New Roman" w:cs="Times New Roman"/>
          <w:sz w:val="24"/>
          <w:szCs w:val="24"/>
        </w:rPr>
        <w:t>encourages the study of</w:t>
      </w:r>
      <w:r>
        <w:rPr>
          <w:rFonts w:ascii="Times New Roman" w:hAnsi="Times New Roman" w:cs="Times New Roman"/>
          <w:sz w:val="24"/>
          <w:szCs w:val="24"/>
        </w:rPr>
        <w:t xml:space="preserve"> “delivery method preferences and effectiveness” (</w:t>
      </w:r>
      <w:proofErr w:type="spellStart"/>
      <w:r>
        <w:rPr>
          <w:rFonts w:ascii="Times New Roman" w:hAnsi="Times New Roman" w:cs="Times New Roman"/>
          <w:sz w:val="24"/>
          <w:szCs w:val="24"/>
        </w:rPr>
        <w:t>Doefert</w:t>
      </w:r>
      <w:proofErr w:type="spellEnd"/>
      <w:r>
        <w:rPr>
          <w:rFonts w:ascii="Times New Roman" w:hAnsi="Times New Roman" w:cs="Times New Roman"/>
          <w:sz w:val="24"/>
          <w:szCs w:val="24"/>
        </w:rPr>
        <w:t xml:space="preserve">, 2011; p. 8) in agriculture and natural resources. </w:t>
      </w:r>
      <w:r w:rsidR="00A94CBE">
        <w:rPr>
          <w:rFonts w:ascii="Times New Roman" w:hAnsi="Times New Roman" w:cs="Times New Roman"/>
          <w:sz w:val="24"/>
          <w:szCs w:val="24"/>
        </w:rPr>
        <w:t>It has been long stated that agriculture “</w:t>
      </w:r>
      <w:r w:rsidR="00A94CBE" w:rsidRPr="00BD4A3E">
        <w:rPr>
          <w:rFonts w:ascii="Times New Roman" w:eastAsia="Calibri" w:hAnsi="Times New Roman" w:cs="Times New Roman"/>
          <w:sz w:val="24"/>
          <w:szCs w:val="24"/>
        </w:rPr>
        <w:t>is too important a topic to be taught only to the relatively small percentage of students considering careers in agriculture and pursuing vocational agriculture studies” (National Research Council, 1988; p. 1)</w:t>
      </w:r>
      <w:r w:rsidR="00A94CBE">
        <w:rPr>
          <w:rFonts w:ascii="Times New Roman" w:eastAsia="Calibri" w:hAnsi="Times New Roman" w:cs="Times New Roman"/>
          <w:sz w:val="24"/>
          <w:szCs w:val="24"/>
        </w:rPr>
        <w:t>.</w:t>
      </w:r>
      <w:r w:rsidR="00A94CBE">
        <w:rPr>
          <w:rFonts w:ascii="Times New Roman" w:hAnsi="Times New Roman" w:cs="Times New Roman"/>
          <w:sz w:val="24"/>
          <w:szCs w:val="24"/>
        </w:rPr>
        <w:t xml:space="preserve">  </w:t>
      </w:r>
      <w:r w:rsidR="004E20F0">
        <w:rPr>
          <w:rFonts w:ascii="Times New Roman" w:hAnsi="Times New Roman" w:cs="Times New Roman"/>
          <w:sz w:val="24"/>
          <w:szCs w:val="24"/>
        </w:rPr>
        <w:t xml:space="preserve">One of the key methods of teaching agriculture is through hands-on application.  </w:t>
      </w:r>
      <w:r w:rsidR="00A94CBE">
        <w:rPr>
          <w:rFonts w:ascii="Times New Roman" w:hAnsi="Times New Roman" w:cs="Times New Roman"/>
          <w:sz w:val="24"/>
          <w:szCs w:val="24"/>
        </w:rPr>
        <w:t xml:space="preserve">Experiential learning is championed because it allows the learner to make lasting connections with the subject matter </w:t>
      </w:r>
      <w:r w:rsidR="006C08E8">
        <w:rPr>
          <w:rFonts w:ascii="Times New Roman" w:hAnsi="Times New Roman" w:cs="Times New Roman"/>
          <w:sz w:val="24"/>
          <w:szCs w:val="24"/>
        </w:rPr>
        <w:t xml:space="preserve">through engagement </w:t>
      </w:r>
      <w:r w:rsidR="00E21A81">
        <w:rPr>
          <w:rFonts w:ascii="Times New Roman" w:hAnsi="Times New Roman" w:cs="Times New Roman"/>
          <w:sz w:val="24"/>
          <w:szCs w:val="24"/>
        </w:rPr>
        <w:t xml:space="preserve">and reflection </w:t>
      </w:r>
      <w:r w:rsidR="006C08E8">
        <w:rPr>
          <w:rFonts w:ascii="Times New Roman" w:hAnsi="Times New Roman" w:cs="Times New Roman"/>
          <w:sz w:val="24"/>
          <w:szCs w:val="24"/>
        </w:rPr>
        <w:t xml:space="preserve">(Northern Illinois University, 2011). </w:t>
      </w:r>
      <w:r w:rsidR="00A94CBE">
        <w:rPr>
          <w:rFonts w:ascii="Times New Roman" w:hAnsi="Times New Roman" w:cs="Times New Roman"/>
          <w:sz w:val="24"/>
          <w:szCs w:val="24"/>
        </w:rPr>
        <w:t>By introducing agriculturally centered lessons and utilizing experiential learning theories, researchers can have a positive impact on increasing agricultural literacy (Blair, 20</w:t>
      </w:r>
      <w:r w:rsidR="00F27757">
        <w:rPr>
          <w:rFonts w:ascii="Times New Roman" w:hAnsi="Times New Roman" w:cs="Times New Roman"/>
          <w:sz w:val="24"/>
          <w:szCs w:val="24"/>
        </w:rPr>
        <w:t>09</w:t>
      </w:r>
      <w:r w:rsidR="00A94CBE">
        <w:rPr>
          <w:rFonts w:ascii="Times New Roman" w:hAnsi="Times New Roman" w:cs="Times New Roman"/>
          <w:sz w:val="24"/>
          <w:szCs w:val="24"/>
        </w:rPr>
        <w:t xml:space="preserve">). </w:t>
      </w:r>
    </w:p>
    <w:p w14:paraId="0D029F5C" w14:textId="77777777" w:rsidR="0010100B" w:rsidRDefault="0010100B" w:rsidP="003C483B">
      <w:pPr>
        <w:spacing w:after="0" w:line="240" w:lineRule="auto"/>
        <w:ind w:firstLine="720"/>
        <w:rPr>
          <w:rFonts w:ascii="Times New Roman" w:hAnsi="Times New Roman" w:cs="Times New Roman"/>
          <w:sz w:val="24"/>
          <w:szCs w:val="24"/>
        </w:rPr>
      </w:pPr>
    </w:p>
    <w:p w14:paraId="3D5AE8DE" w14:textId="46DE43C0" w:rsidR="00885580" w:rsidRDefault="007D4D64" w:rsidP="003C48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14:paraId="74815571" w14:textId="3ECCEACE" w:rsidR="006C08E8" w:rsidRDefault="00606BD7" w:rsidP="006C08E8">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Kolb’s (1984) model of experiential learning was used as the theoretical framework for t</w:t>
      </w:r>
      <w:r w:rsidR="00B87E13">
        <w:rPr>
          <w:rFonts w:ascii="Times New Roman" w:hAnsi="Times New Roman" w:cs="Times New Roman"/>
          <w:sz w:val="24"/>
          <w:szCs w:val="24"/>
        </w:rPr>
        <w:t xml:space="preserve">his study.  </w:t>
      </w:r>
      <w:r w:rsidR="002D49B6" w:rsidRPr="005E2D4F">
        <w:rPr>
          <w:rFonts w:ascii="Times New Roman" w:eastAsia="Calibri" w:hAnsi="Times New Roman" w:cs="Times New Roman"/>
          <w:sz w:val="24"/>
          <w:szCs w:val="24"/>
        </w:rPr>
        <w:t xml:space="preserve">Experiential learning </w:t>
      </w:r>
      <w:r w:rsidR="002D49B6">
        <w:rPr>
          <w:rFonts w:ascii="Times New Roman" w:eastAsia="Calibri" w:hAnsi="Times New Roman" w:cs="Times New Roman"/>
          <w:sz w:val="24"/>
          <w:szCs w:val="24"/>
        </w:rPr>
        <w:t xml:space="preserve">builds on the foundation that </w:t>
      </w:r>
      <w:r w:rsidR="00B3230F">
        <w:rPr>
          <w:rFonts w:ascii="Times New Roman" w:eastAsia="Calibri" w:hAnsi="Times New Roman" w:cs="Times New Roman"/>
          <w:sz w:val="24"/>
          <w:szCs w:val="24"/>
        </w:rPr>
        <w:t xml:space="preserve">learning </w:t>
      </w:r>
      <w:r w:rsidR="002D49B6">
        <w:rPr>
          <w:rFonts w:ascii="Times New Roman" w:eastAsia="Calibri" w:hAnsi="Times New Roman" w:cs="Times New Roman"/>
          <w:sz w:val="24"/>
          <w:szCs w:val="24"/>
        </w:rPr>
        <w:t>is a process which focuses on experimentation, active engagement, and reflection</w:t>
      </w:r>
      <w:r w:rsidR="002D49B6" w:rsidRPr="005E2D4F">
        <w:rPr>
          <w:rFonts w:ascii="Times New Roman" w:eastAsia="Calibri" w:hAnsi="Times New Roman" w:cs="Times New Roman"/>
          <w:sz w:val="24"/>
          <w:szCs w:val="24"/>
        </w:rPr>
        <w:t xml:space="preserve"> (</w:t>
      </w:r>
      <w:r w:rsidR="002D49B6">
        <w:rPr>
          <w:rFonts w:ascii="Times New Roman" w:eastAsia="Calibri" w:hAnsi="Times New Roman" w:cs="Times New Roman"/>
          <w:sz w:val="24"/>
          <w:szCs w:val="24"/>
        </w:rPr>
        <w:t>Baker, Robinson, &amp; Kolb, 2012</w:t>
      </w:r>
      <w:r w:rsidR="002D49B6" w:rsidRPr="005E2D4F">
        <w:rPr>
          <w:rFonts w:ascii="Times New Roman" w:eastAsia="Calibri" w:hAnsi="Times New Roman" w:cs="Times New Roman"/>
          <w:sz w:val="24"/>
          <w:szCs w:val="24"/>
        </w:rPr>
        <w:t>).</w:t>
      </w:r>
      <w:r w:rsidR="002D49B6">
        <w:rPr>
          <w:rFonts w:ascii="Times New Roman" w:eastAsia="Calibri" w:hAnsi="Times New Roman" w:cs="Times New Roman"/>
          <w:sz w:val="24"/>
          <w:szCs w:val="24"/>
        </w:rPr>
        <w:t xml:space="preserve"> Experiential learning is a valuab</w:t>
      </w:r>
      <w:r w:rsidR="008B2802">
        <w:rPr>
          <w:rFonts w:ascii="Times New Roman" w:eastAsia="Calibri" w:hAnsi="Times New Roman" w:cs="Times New Roman"/>
          <w:sz w:val="24"/>
          <w:szCs w:val="24"/>
        </w:rPr>
        <w:t>le tool in education because through engagement, it promotes an atmosphere for critical thinking and problem solving (</w:t>
      </w:r>
      <w:r w:rsidR="008B2802" w:rsidRPr="005E2D4F">
        <w:rPr>
          <w:rFonts w:ascii="Times New Roman" w:eastAsia="Calibri" w:hAnsi="Times New Roman" w:cs="Times New Roman"/>
          <w:sz w:val="24"/>
          <w:szCs w:val="24"/>
        </w:rPr>
        <w:t xml:space="preserve">Wozencroft, Pate, </w:t>
      </w:r>
      <w:r w:rsidR="008B2802">
        <w:rPr>
          <w:rFonts w:ascii="Times New Roman" w:eastAsia="Calibri" w:hAnsi="Times New Roman" w:cs="Times New Roman"/>
          <w:sz w:val="24"/>
          <w:szCs w:val="24"/>
        </w:rPr>
        <w:t>&amp;</w:t>
      </w:r>
      <w:r w:rsidR="008B2802" w:rsidRPr="005E2D4F">
        <w:rPr>
          <w:rFonts w:ascii="Times New Roman" w:eastAsia="Calibri" w:hAnsi="Times New Roman" w:cs="Times New Roman"/>
          <w:sz w:val="24"/>
          <w:szCs w:val="24"/>
        </w:rPr>
        <w:t xml:space="preserve"> Griffiths</w:t>
      </w:r>
      <w:r w:rsidR="008B2802">
        <w:rPr>
          <w:rFonts w:ascii="Times New Roman" w:eastAsia="Calibri" w:hAnsi="Times New Roman" w:cs="Times New Roman"/>
          <w:sz w:val="24"/>
          <w:szCs w:val="24"/>
        </w:rPr>
        <w:t xml:space="preserve">, 2014). </w:t>
      </w:r>
      <w:r w:rsidR="008B2802" w:rsidRPr="005E2D4F">
        <w:rPr>
          <w:rFonts w:ascii="Times New Roman" w:eastAsia="Calibri" w:hAnsi="Times New Roman" w:cs="Times New Roman"/>
          <w:sz w:val="24"/>
          <w:szCs w:val="24"/>
        </w:rPr>
        <w:t xml:space="preserve"> </w:t>
      </w:r>
    </w:p>
    <w:p w14:paraId="427E903F" w14:textId="77777777" w:rsidR="006C08E8" w:rsidRDefault="006C08E8" w:rsidP="006C08E8">
      <w:pPr>
        <w:spacing w:after="0" w:line="240" w:lineRule="auto"/>
        <w:rPr>
          <w:rFonts w:ascii="Times New Roman" w:hAnsi="Times New Roman" w:cs="Times New Roman"/>
          <w:sz w:val="24"/>
          <w:szCs w:val="24"/>
        </w:rPr>
      </w:pPr>
    </w:p>
    <w:p w14:paraId="7F82D2D5" w14:textId="472FC6AC" w:rsidR="008B2802" w:rsidRDefault="00B3230F" w:rsidP="006C08E8">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The model for experiential learning conceptualizes learning based on experiences in four components: concrete experience, reflective observation, abstract conceptualization, and active experimentation (</w:t>
      </w:r>
      <w:r w:rsidR="002D49B6">
        <w:rPr>
          <w:rFonts w:ascii="Times New Roman" w:hAnsi="Times New Roman" w:cs="Times New Roman"/>
          <w:sz w:val="24"/>
          <w:szCs w:val="24"/>
        </w:rPr>
        <w:t>Kolb</w:t>
      </w:r>
      <w:r>
        <w:rPr>
          <w:rFonts w:ascii="Times New Roman" w:hAnsi="Times New Roman" w:cs="Times New Roman"/>
          <w:sz w:val="24"/>
          <w:szCs w:val="24"/>
        </w:rPr>
        <w:t xml:space="preserve">, </w:t>
      </w:r>
      <w:r w:rsidR="006C08E8">
        <w:rPr>
          <w:rFonts w:ascii="Times New Roman" w:hAnsi="Times New Roman" w:cs="Times New Roman"/>
          <w:sz w:val="24"/>
          <w:szCs w:val="24"/>
        </w:rPr>
        <w:t>1984)</w:t>
      </w:r>
      <w:r>
        <w:rPr>
          <w:rFonts w:ascii="Times New Roman" w:hAnsi="Times New Roman" w:cs="Times New Roman"/>
          <w:sz w:val="24"/>
          <w:szCs w:val="24"/>
        </w:rPr>
        <w:t>.</w:t>
      </w:r>
      <w:r w:rsidR="006C08E8">
        <w:rPr>
          <w:rFonts w:ascii="Times New Roman" w:eastAsia="Calibri" w:hAnsi="Times New Roman" w:cs="Times New Roman"/>
          <w:sz w:val="24"/>
          <w:szCs w:val="24"/>
        </w:rPr>
        <w:t xml:space="preserve"> </w:t>
      </w:r>
      <w:r w:rsidR="008B2802">
        <w:rPr>
          <w:rFonts w:ascii="Times New Roman" w:eastAsia="Calibri" w:hAnsi="Times New Roman" w:cs="Times New Roman"/>
          <w:sz w:val="24"/>
          <w:szCs w:val="24"/>
        </w:rPr>
        <w:t>Concrete experience begins with the learner experiencing a situation.  Reflective observation requires the learner to examine the concrete experience in order to conceptualize a variety of perspectives to place meaning with the experience.  In abstract conceptualization, the learner builds on their reflective experiences to examine and infer logical conclusions from the experience.  Finally, active experimentation propels the learner to make decisions and apply concepts to new and future experiences (</w:t>
      </w:r>
      <w:r w:rsidR="00F70B6D" w:rsidRPr="00F70B6D">
        <w:rPr>
          <w:rFonts w:ascii="Times New Roman" w:hAnsi="Times New Roman" w:cs="Times New Roman"/>
          <w:sz w:val="24"/>
          <w:szCs w:val="24"/>
        </w:rPr>
        <w:t>Dunlap</w:t>
      </w:r>
      <w:r w:rsidR="00F70B6D">
        <w:rPr>
          <w:rFonts w:ascii="Times New Roman" w:hAnsi="Times New Roman" w:cs="Times New Roman"/>
          <w:sz w:val="24"/>
          <w:szCs w:val="24"/>
        </w:rPr>
        <w:t xml:space="preserve">, </w:t>
      </w:r>
      <w:r w:rsidR="00F70B6D" w:rsidRPr="00F70B6D">
        <w:rPr>
          <w:rFonts w:ascii="Times New Roman" w:hAnsi="Times New Roman" w:cs="Times New Roman"/>
          <w:sz w:val="24"/>
          <w:szCs w:val="24"/>
        </w:rPr>
        <w:t>Dobrovolny, &amp; Young</w:t>
      </w:r>
      <w:r w:rsidR="00F70B6D">
        <w:rPr>
          <w:rFonts w:ascii="Times New Roman" w:hAnsi="Times New Roman" w:cs="Times New Roman"/>
          <w:sz w:val="24"/>
          <w:szCs w:val="24"/>
        </w:rPr>
        <w:t xml:space="preserve">, </w:t>
      </w:r>
      <w:r w:rsidR="008B2802">
        <w:rPr>
          <w:rFonts w:ascii="Times New Roman" w:eastAsia="Calibri" w:hAnsi="Times New Roman" w:cs="Times New Roman"/>
          <w:sz w:val="24"/>
          <w:szCs w:val="24"/>
        </w:rPr>
        <w:t>2008).</w:t>
      </w:r>
    </w:p>
    <w:p w14:paraId="5C62BDCF" w14:textId="2F16247E" w:rsidR="002D49B6" w:rsidRPr="00B87E13" w:rsidRDefault="002D49B6" w:rsidP="002D49B6">
      <w:pPr>
        <w:spacing w:after="0" w:line="240" w:lineRule="auto"/>
        <w:rPr>
          <w:rFonts w:ascii="Times New Roman" w:hAnsi="Times New Roman" w:cs="Times New Roman"/>
          <w:sz w:val="24"/>
          <w:szCs w:val="24"/>
        </w:rPr>
      </w:pPr>
    </w:p>
    <w:p w14:paraId="00EADB24" w14:textId="22F8F83E" w:rsidR="00885580" w:rsidRDefault="007D4D64" w:rsidP="003C48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14:paraId="1F8E1CDD" w14:textId="0EE59751" w:rsidR="00CA1955" w:rsidRDefault="00A1034D" w:rsidP="006C08E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study </w:t>
      </w:r>
      <w:r w:rsidR="003C31BC">
        <w:rPr>
          <w:rFonts w:ascii="Times New Roman" w:hAnsi="Times New Roman" w:cs="Times New Roman"/>
          <w:sz w:val="24"/>
          <w:szCs w:val="24"/>
        </w:rPr>
        <w:t xml:space="preserve">was to examine </w:t>
      </w:r>
      <w:r w:rsidR="0016520C">
        <w:rPr>
          <w:rFonts w:ascii="Times New Roman" w:hAnsi="Times New Roman" w:cs="Times New Roman"/>
          <w:sz w:val="24"/>
          <w:szCs w:val="24"/>
        </w:rPr>
        <w:t xml:space="preserve">student perceptions of using experiential learning </w:t>
      </w:r>
      <w:r w:rsidR="00196B23">
        <w:rPr>
          <w:rFonts w:ascii="Times New Roman" w:hAnsi="Times New Roman" w:cs="Times New Roman"/>
          <w:sz w:val="24"/>
          <w:szCs w:val="24"/>
        </w:rPr>
        <w:t xml:space="preserve">while being taught agricultural lessons.  </w:t>
      </w:r>
      <w:r w:rsidR="00CA1955" w:rsidRPr="001025B9">
        <w:rPr>
          <w:rFonts w:ascii="Times New Roman" w:hAnsi="Times New Roman" w:cs="Times New Roman"/>
          <w:sz w:val="24"/>
          <w:szCs w:val="24"/>
        </w:rPr>
        <w:t>This study implemented qualitative methods to gain an in</w:t>
      </w:r>
      <w:r w:rsidR="004E20F0">
        <w:rPr>
          <w:rFonts w:ascii="Times New Roman" w:hAnsi="Times New Roman" w:cs="Times New Roman"/>
          <w:sz w:val="24"/>
          <w:szCs w:val="24"/>
        </w:rPr>
        <w:t>-</w:t>
      </w:r>
      <w:r w:rsidR="00CA1955" w:rsidRPr="001025B9">
        <w:rPr>
          <w:rFonts w:ascii="Times New Roman" w:hAnsi="Times New Roman" w:cs="Times New Roman"/>
          <w:sz w:val="24"/>
          <w:szCs w:val="24"/>
        </w:rPr>
        <w:t xml:space="preserve">depth understanding of student experiences </w:t>
      </w:r>
      <w:r w:rsidR="00CA1955">
        <w:rPr>
          <w:rFonts w:ascii="Times New Roman" w:hAnsi="Times New Roman" w:cs="Times New Roman"/>
          <w:sz w:val="24"/>
          <w:szCs w:val="24"/>
        </w:rPr>
        <w:t>related to agricultural lessons and experiences</w:t>
      </w:r>
      <w:r w:rsidR="00CA1955" w:rsidRPr="001025B9">
        <w:rPr>
          <w:rFonts w:ascii="Times New Roman" w:hAnsi="Times New Roman" w:cs="Times New Roman"/>
          <w:sz w:val="24"/>
          <w:szCs w:val="24"/>
        </w:rPr>
        <w:t>. The researcher</w:t>
      </w:r>
      <w:r w:rsidR="00CA1955">
        <w:rPr>
          <w:rFonts w:ascii="Times New Roman" w:hAnsi="Times New Roman" w:cs="Times New Roman"/>
          <w:sz w:val="24"/>
          <w:szCs w:val="24"/>
        </w:rPr>
        <w:t>s</w:t>
      </w:r>
      <w:r w:rsidR="00CA1955" w:rsidRPr="001025B9">
        <w:rPr>
          <w:rFonts w:ascii="Times New Roman" w:hAnsi="Times New Roman" w:cs="Times New Roman"/>
          <w:sz w:val="24"/>
          <w:szCs w:val="24"/>
        </w:rPr>
        <w:t xml:space="preserve"> developed </w:t>
      </w:r>
      <w:r w:rsidR="00CA1955">
        <w:rPr>
          <w:rFonts w:ascii="Times New Roman" w:hAnsi="Times New Roman" w:cs="Times New Roman"/>
          <w:sz w:val="24"/>
          <w:szCs w:val="24"/>
        </w:rPr>
        <w:t>questions related to the lessons and student experiences</w:t>
      </w:r>
      <w:r w:rsidR="00CA1955" w:rsidRPr="001025B9">
        <w:rPr>
          <w:rFonts w:ascii="Times New Roman" w:hAnsi="Times New Roman" w:cs="Times New Roman"/>
          <w:sz w:val="24"/>
          <w:szCs w:val="24"/>
        </w:rPr>
        <w:t xml:space="preserve"> in </w:t>
      </w:r>
      <w:r w:rsidR="00CA1955">
        <w:rPr>
          <w:rFonts w:ascii="Times New Roman" w:hAnsi="Times New Roman" w:cs="Times New Roman"/>
          <w:sz w:val="24"/>
          <w:szCs w:val="24"/>
        </w:rPr>
        <w:t>an attempt</w:t>
      </w:r>
      <w:r w:rsidR="00CA1955" w:rsidRPr="001025B9">
        <w:rPr>
          <w:rFonts w:ascii="Times New Roman" w:hAnsi="Times New Roman" w:cs="Times New Roman"/>
          <w:sz w:val="24"/>
          <w:szCs w:val="24"/>
        </w:rPr>
        <w:t xml:space="preserve"> to </w:t>
      </w:r>
      <w:r w:rsidR="00CA1955">
        <w:rPr>
          <w:rFonts w:ascii="Times New Roman" w:hAnsi="Times New Roman" w:cs="Times New Roman"/>
          <w:sz w:val="24"/>
          <w:szCs w:val="24"/>
        </w:rPr>
        <w:t>ensure</w:t>
      </w:r>
      <w:r w:rsidR="00CA1955" w:rsidRPr="001025B9">
        <w:rPr>
          <w:rFonts w:ascii="Times New Roman" w:hAnsi="Times New Roman" w:cs="Times New Roman"/>
          <w:sz w:val="24"/>
          <w:szCs w:val="24"/>
        </w:rPr>
        <w:t xml:space="preserve"> </w:t>
      </w:r>
      <w:r w:rsidR="00CA1955">
        <w:rPr>
          <w:rFonts w:ascii="Times New Roman" w:hAnsi="Times New Roman" w:cs="Times New Roman"/>
          <w:sz w:val="24"/>
          <w:szCs w:val="24"/>
        </w:rPr>
        <w:t>responses adequately represented students’ true thoughts and feelings</w:t>
      </w:r>
      <w:r w:rsidR="00CA1955" w:rsidRPr="001025B9">
        <w:rPr>
          <w:rFonts w:ascii="Times New Roman" w:hAnsi="Times New Roman" w:cs="Times New Roman"/>
          <w:sz w:val="24"/>
          <w:szCs w:val="24"/>
        </w:rPr>
        <w:t xml:space="preserve">. </w:t>
      </w:r>
    </w:p>
    <w:p w14:paraId="751A4810" w14:textId="77777777" w:rsidR="00196B23" w:rsidRDefault="00196B23" w:rsidP="00CA1955">
      <w:pPr>
        <w:spacing w:after="0" w:line="240" w:lineRule="auto"/>
        <w:rPr>
          <w:rFonts w:ascii="Times New Roman" w:hAnsi="Times New Roman" w:cs="Times New Roman"/>
          <w:sz w:val="24"/>
          <w:szCs w:val="24"/>
        </w:rPr>
      </w:pPr>
      <w:r>
        <w:rPr>
          <w:rFonts w:ascii="Times New Roman" w:hAnsi="Times New Roman" w:cs="Times New Roman"/>
          <w:sz w:val="24"/>
          <w:szCs w:val="24"/>
        </w:rPr>
        <w:t>The following research objectives guided this study:</w:t>
      </w:r>
    </w:p>
    <w:p w14:paraId="29F60AAF" w14:textId="77777777" w:rsidR="00CA1955" w:rsidRDefault="00CA1955" w:rsidP="00CA1955">
      <w:pPr>
        <w:spacing w:after="0" w:line="240" w:lineRule="auto"/>
        <w:rPr>
          <w:rFonts w:ascii="Times New Roman" w:hAnsi="Times New Roman" w:cs="Times New Roman"/>
          <w:sz w:val="24"/>
          <w:szCs w:val="24"/>
        </w:rPr>
      </w:pPr>
    </w:p>
    <w:p w14:paraId="6D526F64" w14:textId="54E94745" w:rsidR="00196B23" w:rsidRDefault="00CA1955" w:rsidP="00196B2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Explore</w:t>
      </w:r>
      <w:r w:rsidR="00196B23">
        <w:rPr>
          <w:rFonts w:ascii="Times New Roman" w:hAnsi="Times New Roman" w:cs="Times New Roman"/>
          <w:sz w:val="24"/>
          <w:szCs w:val="24"/>
        </w:rPr>
        <w:t xml:space="preserve"> students’ prior</w:t>
      </w:r>
      <w:r w:rsidR="00D673BD">
        <w:rPr>
          <w:rFonts w:ascii="Times New Roman" w:hAnsi="Times New Roman" w:cs="Times New Roman"/>
          <w:sz w:val="24"/>
          <w:szCs w:val="24"/>
        </w:rPr>
        <w:t xml:space="preserve"> and current</w:t>
      </w:r>
      <w:r w:rsidR="00196B23">
        <w:rPr>
          <w:rFonts w:ascii="Times New Roman" w:hAnsi="Times New Roman" w:cs="Times New Roman"/>
          <w:sz w:val="24"/>
          <w:szCs w:val="24"/>
        </w:rPr>
        <w:t xml:space="preserve"> perceptions of agriculture.</w:t>
      </w:r>
    </w:p>
    <w:p w14:paraId="6313181D" w14:textId="3E5975AF" w:rsidR="00196B23" w:rsidRDefault="00196B23" w:rsidP="00196B2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Explore students’</w:t>
      </w:r>
      <w:r w:rsidR="00CA1955">
        <w:rPr>
          <w:rFonts w:ascii="Times New Roman" w:hAnsi="Times New Roman" w:cs="Times New Roman"/>
          <w:sz w:val="24"/>
          <w:szCs w:val="24"/>
        </w:rPr>
        <w:t xml:space="preserve"> views toward the agriculturally contextualized </w:t>
      </w:r>
      <w:r>
        <w:rPr>
          <w:rFonts w:ascii="Times New Roman" w:hAnsi="Times New Roman" w:cs="Times New Roman"/>
          <w:sz w:val="24"/>
          <w:szCs w:val="24"/>
        </w:rPr>
        <w:t>lessons.</w:t>
      </w:r>
    </w:p>
    <w:p w14:paraId="64A4AE74" w14:textId="44960646" w:rsidR="00196B23" w:rsidRDefault="00196B23" w:rsidP="00196B2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Describe the students’</w:t>
      </w:r>
      <w:r w:rsidR="00044E34">
        <w:rPr>
          <w:rFonts w:ascii="Times New Roman" w:hAnsi="Times New Roman" w:cs="Times New Roman"/>
          <w:sz w:val="24"/>
          <w:szCs w:val="24"/>
        </w:rPr>
        <w:t xml:space="preserve"> views of experiential learning as it relates to the agricultural lessons.</w:t>
      </w:r>
    </w:p>
    <w:p w14:paraId="41D5DF92" w14:textId="77777777" w:rsidR="00D673BD" w:rsidRPr="00D673BD" w:rsidRDefault="00D673BD" w:rsidP="00D673BD">
      <w:pPr>
        <w:spacing w:after="0" w:line="240" w:lineRule="auto"/>
        <w:rPr>
          <w:rFonts w:ascii="Times New Roman" w:hAnsi="Times New Roman" w:cs="Times New Roman"/>
          <w:sz w:val="24"/>
          <w:szCs w:val="24"/>
        </w:rPr>
      </w:pPr>
    </w:p>
    <w:p w14:paraId="7CCBF7CD" w14:textId="559A0976" w:rsidR="00A1034D" w:rsidRDefault="00B36E9C" w:rsidP="006C08E8">
      <w:pPr>
        <w:spacing w:after="0" w:line="240" w:lineRule="auto"/>
        <w:rPr>
          <w:rFonts w:ascii="Times New Roman" w:hAnsi="Times New Roman" w:cs="Times New Roman"/>
          <w:sz w:val="24"/>
          <w:szCs w:val="24"/>
        </w:rPr>
      </w:pPr>
      <w:r>
        <w:rPr>
          <w:rFonts w:ascii="Times New Roman" w:hAnsi="Times New Roman" w:cs="Times New Roman"/>
          <w:sz w:val="24"/>
          <w:szCs w:val="24"/>
        </w:rPr>
        <w:t>The focus group</w:t>
      </w:r>
      <w:r w:rsidR="00B3230F">
        <w:rPr>
          <w:rFonts w:ascii="Times New Roman" w:hAnsi="Times New Roman" w:cs="Times New Roman"/>
          <w:sz w:val="24"/>
          <w:szCs w:val="24"/>
        </w:rPr>
        <w:t xml:space="preserve"> was used to investigate research objectives and</w:t>
      </w:r>
      <w:r w:rsidR="00FE56CE">
        <w:rPr>
          <w:rFonts w:ascii="Times New Roman" w:hAnsi="Times New Roman" w:cs="Times New Roman"/>
          <w:sz w:val="24"/>
          <w:szCs w:val="24"/>
        </w:rPr>
        <w:t xml:space="preserve"> consisted of </w:t>
      </w:r>
      <w:r w:rsidR="00284097">
        <w:rPr>
          <w:rFonts w:ascii="Times New Roman" w:hAnsi="Times New Roman" w:cs="Times New Roman"/>
          <w:sz w:val="24"/>
          <w:szCs w:val="24"/>
        </w:rPr>
        <w:t>10</w:t>
      </w:r>
      <w:r w:rsidR="00284097" w:rsidRPr="00284097">
        <w:rPr>
          <w:rFonts w:ascii="Times New Roman" w:hAnsi="Times New Roman" w:cs="Times New Roman"/>
          <w:sz w:val="24"/>
          <w:szCs w:val="24"/>
          <w:vertAlign w:val="superscript"/>
        </w:rPr>
        <w:t>th</w:t>
      </w:r>
      <w:r w:rsidR="00284097">
        <w:rPr>
          <w:rFonts w:ascii="Times New Roman" w:hAnsi="Times New Roman" w:cs="Times New Roman"/>
          <w:sz w:val="24"/>
          <w:szCs w:val="24"/>
        </w:rPr>
        <w:t xml:space="preserve"> grade Biology</w:t>
      </w:r>
      <w:r w:rsidR="00C3060B">
        <w:rPr>
          <w:rFonts w:ascii="Times New Roman" w:hAnsi="Times New Roman" w:cs="Times New Roman"/>
          <w:sz w:val="24"/>
          <w:szCs w:val="24"/>
        </w:rPr>
        <w:t xml:space="preserve"> students</w:t>
      </w:r>
      <w:r>
        <w:rPr>
          <w:rFonts w:ascii="Times New Roman" w:hAnsi="Times New Roman" w:cs="Times New Roman"/>
          <w:sz w:val="24"/>
          <w:szCs w:val="24"/>
        </w:rPr>
        <w:t xml:space="preserve"> (</w:t>
      </w:r>
      <w:r w:rsidR="003C3756" w:rsidRPr="00B3230F">
        <w:rPr>
          <w:rFonts w:ascii="Times New Roman" w:hAnsi="Times New Roman" w:cs="Times New Roman"/>
          <w:sz w:val="24"/>
          <w:szCs w:val="24"/>
        </w:rPr>
        <w:t>N</w:t>
      </w:r>
      <w:r>
        <w:rPr>
          <w:rFonts w:ascii="Times New Roman" w:hAnsi="Times New Roman" w:cs="Times New Roman"/>
          <w:sz w:val="24"/>
          <w:szCs w:val="24"/>
        </w:rPr>
        <w:t xml:space="preserve"> = 21)</w:t>
      </w:r>
      <w:r w:rsidR="005933DA">
        <w:rPr>
          <w:rFonts w:ascii="Times New Roman" w:hAnsi="Times New Roman" w:cs="Times New Roman"/>
          <w:sz w:val="24"/>
          <w:szCs w:val="24"/>
        </w:rPr>
        <w:t xml:space="preserve">.  </w:t>
      </w:r>
      <w:proofErr w:type="spellStart"/>
      <w:r w:rsidR="00A1034D">
        <w:rPr>
          <w:rFonts w:ascii="Times New Roman" w:hAnsi="Times New Roman" w:cs="Times New Roman"/>
          <w:sz w:val="24"/>
          <w:szCs w:val="24"/>
        </w:rPr>
        <w:t>Masadeh</w:t>
      </w:r>
      <w:proofErr w:type="spellEnd"/>
      <w:r w:rsidR="005933DA">
        <w:rPr>
          <w:rFonts w:ascii="Times New Roman" w:hAnsi="Times New Roman" w:cs="Times New Roman"/>
          <w:sz w:val="24"/>
          <w:szCs w:val="24"/>
        </w:rPr>
        <w:t xml:space="preserve"> (</w:t>
      </w:r>
      <w:r w:rsidR="00A1034D">
        <w:rPr>
          <w:rFonts w:ascii="Times New Roman" w:hAnsi="Times New Roman" w:cs="Times New Roman"/>
          <w:sz w:val="24"/>
          <w:szCs w:val="24"/>
        </w:rPr>
        <w:t>2012</w:t>
      </w:r>
      <w:r w:rsidR="005933DA">
        <w:rPr>
          <w:rFonts w:ascii="Times New Roman" w:hAnsi="Times New Roman" w:cs="Times New Roman"/>
          <w:sz w:val="24"/>
          <w:szCs w:val="24"/>
        </w:rPr>
        <w:t xml:space="preserve">) reported focus groups allow for participants to engage in </w:t>
      </w:r>
      <w:r w:rsidR="005933DA">
        <w:rPr>
          <w:rFonts w:ascii="Times New Roman" w:hAnsi="Times New Roman" w:cs="Times New Roman"/>
          <w:sz w:val="24"/>
          <w:szCs w:val="24"/>
        </w:rPr>
        <w:lastRenderedPageBreak/>
        <w:t>deep discuss</w:t>
      </w:r>
      <w:r w:rsidR="00A1034D">
        <w:rPr>
          <w:rFonts w:ascii="Times New Roman" w:hAnsi="Times New Roman" w:cs="Times New Roman"/>
          <w:sz w:val="24"/>
          <w:szCs w:val="24"/>
        </w:rPr>
        <w:t>ions concerning related top</w:t>
      </w:r>
      <w:r w:rsidR="00C3060B">
        <w:rPr>
          <w:rFonts w:ascii="Times New Roman" w:hAnsi="Times New Roman" w:cs="Times New Roman"/>
          <w:sz w:val="24"/>
          <w:szCs w:val="24"/>
        </w:rPr>
        <w:t>ics. The author further contended</w:t>
      </w:r>
      <w:r w:rsidR="00A1034D">
        <w:rPr>
          <w:rFonts w:ascii="Times New Roman" w:hAnsi="Times New Roman" w:cs="Times New Roman"/>
          <w:sz w:val="24"/>
          <w:szCs w:val="24"/>
        </w:rPr>
        <w:t xml:space="preserve"> because of the intentional design of focus groups, they are beneficial in producing precise responses rather than generalizations (</w:t>
      </w:r>
      <w:proofErr w:type="spellStart"/>
      <w:r w:rsidR="00A1034D">
        <w:rPr>
          <w:rFonts w:ascii="Times New Roman" w:hAnsi="Times New Roman" w:cs="Times New Roman"/>
          <w:sz w:val="24"/>
          <w:szCs w:val="24"/>
        </w:rPr>
        <w:t>Masadeh</w:t>
      </w:r>
      <w:proofErr w:type="spellEnd"/>
      <w:r w:rsidR="00A1034D">
        <w:rPr>
          <w:rFonts w:ascii="Times New Roman" w:hAnsi="Times New Roman" w:cs="Times New Roman"/>
          <w:sz w:val="24"/>
          <w:szCs w:val="24"/>
        </w:rPr>
        <w:t xml:space="preserve">, 2012). </w:t>
      </w:r>
      <w:r w:rsidR="00B3230F">
        <w:rPr>
          <w:rFonts w:ascii="Times New Roman" w:hAnsi="Times New Roman" w:cs="Times New Roman"/>
          <w:sz w:val="24"/>
          <w:szCs w:val="24"/>
        </w:rPr>
        <w:t xml:space="preserve"> The focus group was conducted and facilitated by an additional researcher who had knowledge of the ongoing project.</w:t>
      </w:r>
    </w:p>
    <w:p w14:paraId="7BDF6CE5" w14:textId="77777777" w:rsidR="00284097" w:rsidRDefault="00284097" w:rsidP="00284097">
      <w:pPr>
        <w:spacing w:after="0" w:line="240" w:lineRule="auto"/>
        <w:rPr>
          <w:rFonts w:ascii="Times New Roman" w:hAnsi="Times New Roman" w:cs="Times New Roman"/>
          <w:sz w:val="24"/>
          <w:szCs w:val="24"/>
        </w:rPr>
      </w:pPr>
    </w:p>
    <w:p w14:paraId="50A6AD60" w14:textId="0D326E0C" w:rsidR="00B759F1" w:rsidRDefault="00C1165E" w:rsidP="00284097">
      <w:pPr>
        <w:spacing w:after="0" w:line="240" w:lineRule="auto"/>
        <w:rPr>
          <w:rFonts w:ascii="Times New Roman" w:hAnsi="Times New Roman" w:cs="Times New Roman"/>
          <w:sz w:val="24"/>
          <w:szCs w:val="24"/>
        </w:rPr>
      </w:pPr>
      <w:r>
        <w:rPr>
          <w:rFonts w:ascii="Times New Roman" w:hAnsi="Times New Roman" w:cs="Times New Roman"/>
          <w:sz w:val="24"/>
          <w:szCs w:val="24"/>
        </w:rPr>
        <w:t>After t</w:t>
      </w:r>
      <w:r w:rsidR="00B36E9C">
        <w:rPr>
          <w:rFonts w:ascii="Times New Roman" w:hAnsi="Times New Roman" w:cs="Times New Roman"/>
          <w:sz w:val="24"/>
          <w:szCs w:val="24"/>
        </w:rPr>
        <w:t>he f</w:t>
      </w:r>
      <w:r>
        <w:rPr>
          <w:rFonts w:ascii="Times New Roman" w:hAnsi="Times New Roman" w:cs="Times New Roman"/>
          <w:sz w:val="24"/>
          <w:szCs w:val="24"/>
        </w:rPr>
        <w:t>ocus group</w:t>
      </w:r>
      <w:r w:rsidR="00B36E9C">
        <w:rPr>
          <w:rFonts w:ascii="Times New Roman" w:hAnsi="Times New Roman" w:cs="Times New Roman"/>
          <w:sz w:val="24"/>
          <w:szCs w:val="24"/>
        </w:rPr>
        <w:t xml:space="preserve"> </w:t>
      </w:r>
      <w:r>
        <w:rPr>
          <w:rFonts w:ascii="Times New Roman" w:hAnsi="Times New Roman" w:cs="Times New Roman"/>
          <w:sz w:val="24"/>
          <w:szCs w:val="24"/>
        </w:rPr>
        <w:t>was</w:t>
      </w:r>
      <w:r w:rsidR="00B36E9C">
        <w:rPr>
          <w:rFonts w:ascii="Times New Roman" w:hAnsi="Times New Roman" w:cs="Times New Roman"/>
          <w:sz w:val="24"/>
          <w:szCs w:val="24"/>
        </w:rPr>
        <w:t xml:space="preserve"> conducted</w:t>
      </w:r>
      <w:r>
        <w:rPr>
          <w:rFonts w:ascii="Times New Roman" w:hAnsi="Times New Roman" w:cs="Times New Roman"/>
          <w:sz w:val="24"/>
          <w:szCs w:val="24"/>
        </w:rPr>
        <w:t>,</w:t>
      </w:r>
      <w:r w:rsidR="00B36E9C">
        <w:rPr>
          <w:rFonts w:ascii="Times New Roman" w:hAnsi="Times New Roman" w:cs="Times New Roman"/>
          <w:sz w:val="24"/>
          <w:szCs w:val="24"/>
        </w:rPr>
        <w:t xml:space="preserve"> </w:t>
      </w:r>
      <w:r>
        <w:rPr>
          <w:rFonts w:ascii="Times New Roman" w:hAnsi="Times New Roman" w:cs="Times New Roman"/>
          <w:sz w:val="24"/>
          <w:szCs w:val="24"/>
        </w:rPr>
        <w:t>responses</w:t>
      </w:r>
      <w:r w:rsidR="00B36E9C">
        <w:rPr>
          <w:rFonts w:ascii="Times New Roman" w:hAnsi="Times New Roman" w:cs="Times New Roman"/>
          <w:sz w:val="24"/>
          <w:szCs w:val="24"/>
        </w:rPr>
        <w:t xml:space="preserve"> </w:t>
      </w:r>
      <w:r w:rsidR="001025B9" w:rsidRPr="001025B9">
        <w:rPr>
          <w:rFonts w:ascii="Times New Roman" w:hAnsi="Times New Roman" w:cs="Times New Roman"/>
          <w:sz w:val="24"/>
          <w:szCs w:val="24"/>
        </w:rPr>
        <w:t>were digitally recorded and later tr</w:t>
      </w:r>
      <w:r w:rsidR="00B36E9C">
        <w:rPr>
          <w:rFonts w:ascii="Times New Roman" w:hAnsi="Times New Roman" w:cs="Times New Roman"/>
          <w:sz w:val="24"/>
          <w:szCs w:val="24"/>
        </w:rPr>
        <w:t xml:space="preserve">anscribed </w:t>
      </w:r>
      <w:r w:rsidR="004E20F0">
        <w:rPr>
          <w:rFonts w:ascii="Times New Roman" w:hAnsi="Times New Roman" w:cs="Times New Roman"/>
          <w:sz w:val="24"/>
          <w:szCs w:val="24"/>
        </w:rPr>
        <w:t xml:space="preserve">verbatim </w:t>
      </w:r>
      <w:r w:rsidR="00B36E9C">
        <w:rPr>
          <w:rFonts w:ascii="Times New Roman" w:hAnsi="Times New Roman" w:cs="Times New Roman"/>
          <w:sz w:val="24"/>
          <w:szCs w:val="24"/>
        </w:rPr>
        <w:t>into Microsoft Word ©.  Additionally, focus group</w:t>
      </w:r>
      <w:r>
        <w:rPr>
          <w:rFonts w:ascii="Times New Roman" w:hAnsi="Times New Roman" w:cs="Times New Roman"/>
          <w:sz w:val="24"/>
          <w:szCs w:val="24"/>
        </w:rPr>
        <w:t xml:space="preserve"> responses</w:t>
      </w:r>
      <w:r w:rsidR="00B36E9C">
        <w:rPr>
          <w:rFonts w:ascii="Times New Roman" w:hAnsi="Times New Roman" w:cs="Times New Roman"/>
          <w:sz w:val="24"/>
          <w:szCs w:val="24"/>
        </w:rPr>
        <w:t xml:space="preserve"> </w:t>
      </w:r>
      <w:r>
        <w:rPr>
          <w:rFonts w:ascii="Times New Roman" w:hAnsi="Times New Roman" w:cs="Times New Roman"/>
          <w:sz w:val="24"/>
          <w:szCs w:val="24"/>
        </w:rPr>
        <w:t>were</w:t>
      </w:r>
      <w:r w:rsidR="00B36E9C">
        <w:rPr>
          <w:rFonts w:ascii="Times New Roman" w:hAnsi="Times New Roman" w:cs="Times New Roman"/>
          <w:sz w:val="24"/>
          <w:szCs w:val="24"/>
        </w:rPr>
        <w:t xml:space="preserve"> </w:t>
      </w:r>
      <w:r w:rsidR="001025B9">
        <w:rPr>
          <w:rFonts w:ascii="Times New Roman" w:hAnsi="Times New Roman" w:cs="Times New Roman"/>
          <w:sz w:val="24"/>
          <w:szCs w:val="24"/>
        </w:rPr>
        <w:t xml:space="preserve">compared with </w:t>
      </w:r>
      <w:r w:rsidR="00C3060B">
        <w:rPr>
          <w:rFonts w:ascii="Times New Roman" w:hAnsi="Times New Roman" w:cs="Times New Roman"/>
          <w:sz w:val="24"/>
          <w:szCs w:val="24"/>
        </w:rPr>
        <w:t xml:space="preserve">detailed </w:t>
      </w:r>
      <w:r w:rsidR="001025B9">
        <w:rPr>
          <w:rFonts w:ascii="Times New Roman" w:hAnsi="Times New Roman" w:cs="Times New Roman"/>
          <w:sz w:val="24"/>
          <w:szCs w:val="24"/>
        </w:rPr>
        <w:t xml:space="preserve">notes </w:t>
      </w:r>
      <w:r w:rsidR="00B36E9C">
        <w:rPr>
          <w:rFonts w:ascii="Times New Roman" w:hAnsi="Times New Roman" w:cs="Times New Roman"/>
          <w:sz w:val="24"/>
          <w:szCs w:val="24"/>
        </w:rPr>
        <w:t>and observations</w:t>
      </w:r>
      <w:r w:rsidR="001025B9">
        <w:rPr>
          <w:rFonts w:ascii="Times New Roman" w:hAnsi="Times New Roman" w:cs="Times New Roman"/>
          <w:sz w:val="24"/>
          <w:szCs w:val="24"/>
        </w:rPr>
        <w:t xml:space="preserve"> </w:t>
      </w:r>
      <w:r>
        <w:rPr>
          <w:rFonts w:ascii="Times New Roman" w:hAnsi="Times New Roman" w:cs="Times New Roman"/>
          <w:sz w:val="24"/>
          <w:szCs w:val="24"/>
        </w:rPr>
        <w:t xml:space="preserve">from </w:t>
      </w:r>
      <w:r w:rsidR="001025B9">
        <w:rPr>
          <w:rFonts w:ascii="Times New Roman" w:hAnsi="Times New Roman" w:cs="Times New Roman"/>
          <w:sz w:val="24"/>
          <w:szCs w:val="24"/>
        </w:rPr>
        <w:t>the interviewer for coding and theme analysis.</w:t>
      </w:r>
    </w:p>
    <w:p w14:paraId="0FF5FF4B" w14:textId="77777777" w:rsidR="00284097" w:rsidRPr="001025B9" w:rsidRDefault="00284097" w:rsidP="00284097">
      <w:pPr>
        <w:spacing w:after="0" w:line="240" w:lineRule="auto"/>
        <w:rPr>
          <w:rFonts w:ascii="Times New Roman" w:hAnsi="Times New Roman" w:cs="Times New Roman"/>
          <w:sz w:val="24"/>
          <w:szCs w:val="24"/>
        </w:rPr>
      </w:pPr>
    </w:p>
    <w:p w14:paraId="4DB5E962" w14:textId="76092BBE" w:rsidR="00F52A08" w:rsidRPr="00F52A08" w:rsidRDefault="00B95C28" w:rsidP="00D74E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r w:rsidR="006A7975">
        <w:rPr>
          <w:rFonts w:ascii="Times New Roman" w:hAnsi="Times New Roman" w:cs="Times New Roman"/>
          <w:b/>
          <w:sz w:val="24"/>
          <w:szCs w:val="24"/>
        </w:rPr>
        <w:t>Conclusions</w:t>
      </w:r>
    </w:p>
    <w:p w14:paraId="3668A79D" w14:textId="3A4B9AC3" w:rsidR="0010100B" w:rsidRDefault="00CA1955" w:rsidP="007C700A">
      <w:pPr>
        <w:rPr>
          <w:rFonts w:ascii="Times New Roman" w:hAnsi="Times New Roman" w:cs="Times New Roman"/>
          <w:sz w:val="24"/>
          <w:szCs w:val="24"/>
        </w:rPr>
      </w:pPr>
      <w:r>
        <w:rPr>
          <w:rFonts w:ascii="Times New Roman" w:hAnsi="Times New Roman" w:cs="Times New Roman"/>
          <w:sz w:val="24"/>
          <w:szCs w:val="24"/>
        </w:rPr>
        <w:t>This study took place d</w:t>
      </w:r>
      <w:r w:rsidRPr="001025B9">
        <w:rPr>
          <w:rFonts w:ascii="Times New Roman" w:hAnsi="Times New Roman" w:cs="Times New Roman"/>
          <w:sz w:val="24"/>
          <w:szCs w:val="24"/>
        </w:rPr>
        <w:t xml:space="preserve">uring the </w:t>
      </w:r>
      <w:r>
        <w:rPr>
          <w:rFonts w:ascii="Times New Roman" w:hAnsi="Times New Roman" w:cs="Times New Roman"/>
          <w:sz w:val="24"/>
          <w:szCs w:val="24"/>
        </w:rPr>
        <w:t>spring of 2015 at</w:t>
      </w:r>
      <w:r w:rsidR="00D33829">
        <w:rPr>
          <w:rFonts w:ascii="Times New Roman" w:hAnsi="Times New Roman" w:cs="Times New Roman"/>
          <w:sz w:val="24"/>
          <w:szCs w:val="24"/>
        </w:rPr>
        <w:t xml:space="preserve"> a private school in northeast Mississippi</w:t>
      </w:r>
      <w:r w:rsidR="00C3060B">
        <w:rPr>
          <w:rFonts w:ascii="Times New Roman" w:hAnsi="Times New Roman" w:cs="Times New Roman"/>
          <w:sz w:val="24"/>
          <w:szCs w:val="24"/>
        </w:rPr>
        <w:t xml:space="preserve">. </w:t>
      </w:r>
      <w:r w:rsidRPr="00523723">
        <w:rPr>
          <w:rFonts w:ascii="Times New Roman" w:hAnsi="Times New Roman" w:cs="Times New Roman"/>
          <w:sz w:val="24"/>
          <w:szCs w:val="24"/>
        </w:rPr>
        <w:t>Private schools were identified as schools that received no state funding and/or</w:t>
      </w:r>
      <w:r w:rsidR="00D33829">
        <w:rPr>
          <w:rFonts w:ascii="Times New Roman" w:hAnsi="Times New Roman" w:cs="Times New Roman"/>
          <w:sz w:val="24"/>
          <w:szCs w:val="24"/>
        </w:rPr>
        <w:t xml:space="preserve"> that are members of the Mississippi</w:t>
      </w:r>
      <w:bookmarkStart w:id="0" w:name="_GoBack"/>
      <w:bookmarkEnd w:id="0"/>
      <w:r w:rsidRPr="00523723">
        <w:rPr>
          <w:rFonts w:ascii="Times New Roman" w:hAnsi="Times New Roman" w:cs="Times New Roman"/>
          <w:sz w:val="24"/>
          <w:szCs w:val="24"/>
        </w:rPr>
        <w:t xml:space="preserve"> Association of Independent Schools.</w:t>
      </w:r>
      <w:r>
        <w:rPr>
          <w:rFonts w:ascii="Times New Roman" w:hAnsi="Times New Roman" w:cs="Times New Roman"/>
          <w:sz w:val="24"/>
          <w:szCs w:val="24"/>
        </w:rPr>
        <w:t xml:space="preserve">  </w:t>
      </w:r>
      <w:r w:rsidR="0010100B">
        <w:rPr>
          <w:rFonts w:ascii="Times New Roman" w:hAnsi="Times New Roman" w:cs="Times New Roman"/>
          <w:sz w:val="24"/>
          <w:szCs w:val="24"/>
        </w:rPr>
        <w:t xml:space="preserve">Students were taught </w:t>
      </w:r>
      <w:r w:rsidR="0010100B" w:rsidRPr="00523723">
        <w:rPr>
          <w:rFonts w:ascii="Times New Roman" w:hAnsi="Times New Roman" w:cs="Times New Roman"/>
          <w:sz w:val="24"/>
          <w:szCs w:val="24"/>
        </w:rPr>
        <w:t xml:space="preserve">six (6), 45-minute lessons that were contextualized in agriculture </w:t>
      </w:r>
      <w:r w:rsidR="004E20F0">
        <w:rPr>
          <w:rFonts w:ascii="Times New Roman" w:hAnsi="Times New Roman" w:cs="Times New Roman"/>
          <w:sz w:val="24"/>
          <w:szCs w:val="24"/>
        </w:rPr>
        <w:t>focusing</w:t>
      </w:r>
      <w:r w:rsidR="0010100B" w:rsidRPr="00523723">
        <w:rPr>
          <w:rFonts w:ascii="Times New Roman" w:hAnsi="Times New Roman" w:cs="Times New Roman"/>
          <w:sz w:val="24"/>
          <w:szCs w:val="24"/>
        </w:rPr>
        <w:t xml:space="preserve"> on a</w:t>
      </w:r>
      <w:r w:rsidR="0010100B">
        <w:rPr>
          <w:rFonts w:ascii="Times New Roman" w:hAnsi="Times New Roman" w:cs="Times New Roman"/>
          <w:sz w:val="24"/>
          <w:szCs w:val="24"/>
        </w:rPr>
        <w:t xml:space="preserve"> variety of agricultural topics. Students received modified instruction </w:t>
      </w:r>
      <w:r w:rsidR="004E20F0">
        <w:rPr>
          <w:rFonts w:ascii="Times New Roman" w:eastAsia="Calibri" w:hAnsi="Times New Roman" w:cs="Times New Roman"/>
          <w:sz w:val="24"/>
          <w:szCs w:val="24"/>
        </w:rPr>
        <w:t>through the incorporation of</w:t>
      </w:r>
      <w:r w:rsidR="004E20F0" w:rsidRPr="00C61B6D">
        <w:rPr>
          <w:rFonts w:ascii="Times New Roman" w:eastAsia="Calibri" w:hAnsi="Times New Roman" w:cs="Times New Roman"/>
          <w:sz w:val="24"/>
          <w:szCs w:val="24"/>
        </w:rPr>
        <w:t xml:space="preserve"> </w:t>
      </w:r>
      <w:r w:rsidR="002D5AE3" w:rsidRPr="00C61B6D">
        <w:rPr>
          <w:rFonts w:ascii="Times New Roman" w:eastAsia="Calibri" w:hAnsi="Times New Roman" w:cs="Times New Roman"/>
          <w:sz w:val="24"/>
          <w:szCs w:val="24"/>
        </w:rPr>
        <w:t>hands-on activities</w:t>
      </w:r>
      <w:r w:rsidR="004E20F0">
        <w:rPr>
          <w:rFonts w:ascii="Times New Roman" w:eastAsia="Calibri" w:hAnsi="Times New Roman" w:cs="Times New Roman"/>
          <w:sz w:val="24"/>
          <w:szCs w:val="24"/>
        </w:rPr>
        <w:t>.</w:t>
      </w:r>
      <w:r w:rsidR="002D5AE3">
        <w:rPr>
          <w:rFonts w:ascii="Times New Roman" w:eastAsia="Calibri" w:hAnsi="Times New Roman" w:cs="Times New Roman"/>
          <w:sz w:val="24"/>
          <w:szCs w:val="24"/>
        </w:rPr>
        <w:t xml:space="preserve"> </w:t>
      </w:r>
      <w:r w:rsidR="004E20F0">
        <w:rPr>
          <w:rFonts w:ascii="Times New Roman" w:eastAsia="Calibri" w:hAnsi="Times New Roman" w:cs="Times New Roman"/>
          <w:sz w:val="24"/>
          <w:szCs w:val="24"/>
        </w:rPr>
        <w:t xml:space="preserve"> Examples of the activities</w:t>
      </w:r>
      <w:r w:rsidR="0010100B" w:rsidRPr="00C61B6D">
        <w:rPr>
          <w:rFonts w:ascii="Times New Roman" w:eastAsia="Calibri" w:hAnsi="Times New Roman" w:cs="Times New Roman"/>
          <w:sz w:val="24"/>
          <w:szCs w:val="24"/>
        </w:rPr>
        <w:t xml:space="preserve"> included fertilizer spreading, experience with soil textures and profiling, and a fully functional high-tunnel for plant growth and fertilizer responses.</w:t>
      </w:r>
    </w:p>
    <w:p w14:paraId="56C73C9A" w14:textId="692E3F85" w:rsidR="00F52A08" w:rsidRDefault="00A501CA" w:rsidP="007C700A">
      <w:pPr>
        <w:rPr>
          <w:rFonts w:ascii="Times New Roman" w:hAnsi="Times New Roman" w:cs="Times New Roman"/>
          <w:sz w:val="24"/>
          <w:szCs w:val="24"/>
        </w:rPr>
      </w:pPr>
      <w:r>
        <w:rPr>
          <w:rFonts w:ascii="Times New Roman" w:hAnsi="Times New Roman" w:cs="Times New Roman"/>
          <w:sz w:val="24"/>
          <w:szCs w:val="24"/>
        </w:rPr>
        <w:t xml:space="preserve">Based on the objectives of this study, </w:t>
      </w:r>
      <w:r w:rsidR="0046696B">
        <w:rPr>
          <w:rFonts w:ascii="Times New Roman" w:hAnsi="Times New Roman" w:cs="Times New Roman"/>
          <w:sz w:val="24"/>
          <w:szCs w:val="24"/>
        </w:rPr>
        <w:t>three overall</w:t>
      </w:r>
      <w:r w:rsidR="003C3756">
        <w:rPr>
          <w:rFonts w:ascii="Times New Roman" w:hAnsi="Times New Roman" w:cs="Times New Roman"/>
          <w:sz w:val="24"/>
          <w:szCs w:val="24"/>
        </w:rPr>
        <w:t xml:space="preserve"> themes emerged from </w:t>
      </w:r>
      <w:r w:rsidR="007A0A9A">
        <w:rPr>
          <w:rFonts w:ascii="Times New Roman" w:hAnsi="Times New Roman" w:cs="Times New Roman"/>
          <w:sz w:val="24"/>
          <w:szCs w:val="24"/>
        </w:rPr>
        <w:t>student response</w:t>
      </w:r>
      <w:r w:rsidR="00A94CBE">
        <w:rPr>
          <w:rFonts w:ascii="Times New Roman" w:hAnsi="Times New Roman" w:cs="Times New Roman"/>
          <w:sz w:val="24"/>
          <w:szCs w:val="24"/>
        </w:rPr>
        <w:t>s</w:t>
      </w:r>
      <w:r w:rsidR="007A0A9A">
        <w:rPr>
          <w:rFonts w:ascii="Times New Roman" w:hAnsi="Times New Roman" w:cs="Times New Roman"/>
          <w:sz w:val="24"/>
          <w:szCs w:val="24"/>
        </w:rPr>
        <w:t xml:space="preserve"> </w:t>
      </w:r>
      <w:r w:rsidR="00A94CBE">
        <w:rPr>
          <w:rFonts w:ascii="Times New Roman" w:hAnsi="Times New Roman" w:cs="Times New Roman"/>
          <w:sz w:val="24"/>
          <w:szCs w:val="24"/>
        </w:rPr>
        <w:t xml:space="preserve">via </w:t>
      </w:r>
      <w:r w:rsidR="00287B5A">
        <w:rPr>
          <w:rFonts w:ascii="Times New Roman" w:hAnsi="Times New Roman" w:cs="Times New Roman"/>
          <w:sz w:val="24"/>
          <w:szCs w:val="24"/>
        </w:rPr>
        <w:t xml:space="preserve">the </w:t>
      </w:r>
      <w:r w:rsidR="00A94CBE">
        <w:rPr>
          <w:rFonts w:ascii="Times New Roman" w:hAnsi="Times New Roman" w:cs="Times New Roman"/>
          <w:sz w:val="24"/>
          <w:szCs w:val="24"/>
        </w:rPr>
        <w:t>focus group</w:t>
      </w:r>
      <w:r w:rsidR="003C3756">
        <w:rPr>
          <w:rFonts w:ascii="Times New Roman" w:hAnsi="Times New Roman" w:cs="Times New Roman"/>
          <w:sz w:val="24"/>
          <w:szCs w:val="24"/>
        </w:rPr>
        <w:t>:</w:t>
      </w:r>
    </w:p>
    <w:p w14:paraId="0ED0EF1D" w14:textId="1EBFE10D" w:rsidR="00FE3EC5" w:rsidRDefault="00FE3EC5" w:rsidP="00FE3EC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 low and negative perception of and awareness of agriculture.</w:t>
      </w:r>
    </w:p>
    <w:p w14:paraId="32B9F070" w14:textId="522DBC15" w:rsidR="003C3756" w:rsidRPr="003C3756" w:rsidRDefault="00FE3EC5" w:rsidP="003C375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Enjoyment and s</w:t>
      </w:r>
      <w:r w:rsidR="003C3756" w:rsidRPr="003C3756">
        <w:rPr>
          <w:rFonts w:ascii="Times New Roman" w:hAnsi="Times New Roman" w:cs="Times New Roman"/>
          <w:sz w:val="24"/>
          <w:szCs w:val="24"/>
        </w:rPr>
        <w:t>atisfaction of experiential learning and agricultural activities,</w:t>
      </w:r>
    </w:p>
    <w:p w14:paraId="29E8688E" w14:textId="262B0448" w:rsidR="003C3756" w:rsidRPr="006A7975" w:rsidRDefault="003C3756" w:rsidP="001E7EF0">
      <w:pPr>
        <w:pStyle w:val="ListParagraph"/>
        <w:numPr>
          <w:ilvl w:val="0"/>
          <w:numId w:val="3"/>
        </w:numPr>
        <w:rPr>
          <w:rFonts w:ascii="Times New Roman" w:hAnsi="Times New Roman" w:cs="Times New Roman"/>
          <w:sz w:val="24"/>
          <w:szCs w:val="24"/>
        </w:rPr>
      </w:pPr>
      <w:r w:rsidRPr="006A7975">
        <w:rPr>
          <w:rFonts w:ascii="Times New Roman" w:hAnsi="Times New Roman" w:cs="Times New Roman"/>
          <w:sz w:val="24"/>
          <w:szCs w:val="24"/>
        </w:rPr>
        <w:t>Increased appreciation for agricultural production</w:t>
      </w:r>
      <w:r w:rsidR="00F7177B" w:rsidRPr="006A7975">
        <w:rPr>
          <w:rFonts w:ascii="Times New Roman" w:hAnsi="Times New Roman" w:cs="Times New Roman"/>
          <w:sz w:val="24"/>
          <w:szCs w:val="24"/>
        </w:rPr>
        <w:t xml:space="preserve"> practices,</w:t>
      </w:r>
      <w:r w:rsidR="00FE3EC5" w:rsidRPr="006A7975">
        <w:rPr>
          <w:rFonts w:ascii="Times New Roman" w:hAnsi="Times New Roman" w:cs="Times New Roman"/>
          <w:sz w:val="24"/>
          <w:szCs w:val="24"/>
        </w:rPr>
        <w:t xml:space="preserve"> and</w:t>
      </w:r>
      <w:r w:rsidR="006A7975">
        <w:rPr>
          <w:rFonts w:ascii="Times New Roman" w:hAnsi="Times New Roman" w:cs="Times New Roman"/>
          <w:sz w:val="24"/>
          <w:szCs w:val="24"/>
        </w:rPr>
        <w:t xml:space="preserve"> t</w:t>
      </w:r>
      <w:r w:rsidRPr="006A7975">
        <w:rPr>
          <w:rFonts w:ascii="Times New Roman" w:hAnsi="Times New Roman" w:cs="Times New Roman"/>
          <w:sz w:val="24"/>
          <w:szCs w:val="24"/>
        </w:rPr>
        <w:t xml:space="preserve">he </w:t>
      </w:r>
      <w:r w:rsidR="007A0A9A" w:rsidRPr="006A7975">
        <w:rPr>
          <w:rFonts w:ascii="Times New Roman" w:hAnsi="Times New Roman" w:cs="Times New Roman"/>
          <w:sz w:val="24"/>
          <w:szCs w:val="24"/>
        </w:rPr>
        <w:t>importance of the role agriculture plays</w:t>
      </w:r>
      <w:r w:rsidRPr="006A7975">
        <w:rPr>
          <w:rFonts w:ascii="Times New Roman" w:hAnsi="Times New Roman" w:cs="Times New Roman"/>
          <w:sz w:val="24"/>
          <w:szCs w:val="24"/>
        </w:rPr>
        <w:t xml:space="preserve"> </w:t>
      </w:r>
      <w:r w:rsidR="00F7177B" w:rsidRPr="006A7975">
        <w:rPr>
          <w:rFonts w:ascii="Times New Roman" w:hAnsi="Times New Roman" w:cs="Times New Roman"/>
          <w:sz w:val="24"/>
          <w:szCs w:val="24"/>
        </w:rPr>
        <w:t xml:space="preserve">in </w:t>
      </w:r>
      <w:r w:rsidR="007A0A9A" w:rsidRPr="006A7975">
        <w:rPr>
          <w:rFonts w:ascii="Times New Roman" w:hAnsi="Times New Roman" w:cs="Times New Roman"/>
          <w:sz w:val="24"/>
          <w:szCs w:val="24"/>
        </w:rPr>
        <w:t>food production</w:t>
      </w:r>
      <w:r w:rsidR="006A7975">
        <w:rPr>
          <w:rFonts w:ascii="Times New Roman" w:hAnsi="Times New Roman" w:cs="Times New Roman"/>
          <w:sz w:val="24"/>
          <w:szCs w:val="24"/>
        </w:rPr>
        <w:t xml:space="preserve"> and society</w:t>
      </w:r>
      <w:r w:rsidR="00FE3EC5" w:rsidRPr="006A7975">
        <w:rPr>
          <w:rFonts w:ascii="Times New Roman" w:hAnsi="Times New Roman" w:cs="Times New Roman"/>
          <w:sz w:val="24"/>
          <w:szCs w:val="24"/>
        </w:rPr>
        <w:t>.</w:t>
      </w:r>
    </w:p>
    <w:p w14:paraId="1EC3B00E" w14:textId="77777777" w:rsidR="006A7975" w:rsidRPr="006A7975" w:rsidRDefault="006A7975" w:rsidP="006A7975">
      <w:pPr>
        <w:spacing w:after="0" w:line="240" w:lineRule="auto"/>
        <w:rPr>
          <w:rFonts w:ascii="Times New Roman" w:hAnsi="Times New Roman" w:cs="Times New Roman"/>
          <w:sz w:val="24"/>
          <w:szCs w:val="24"/>
        </w:rPr>
      </w:pPr>
      <w:r w:rsidRPr="006A7975">
        <w:rPr>
          <w:rFonts w:ascii="Times New Roman" w:hAnsi="Times New Roman" w:cs="Times New Roman"/>
          <w:sz w:val="24"/>
          <w:szCs w:val="24"/>
        </w:rPr>
        <w:t>The focus group revealed students had a relatively negative and narrow perception of agriculture (Frick, Birkenholz, Gardner, &amp; Machtmes, 1995) before they experienced any lessons or hands-on activities.  After their experiences, students revealed they began to view agriculture in a positive light and more in-depth.  Students indicated they were now aware of the history of agriculture and processes related to food production. The focus group also revealed their level of satisfaction and enjoyment of being taught agricultural lessons; furthermore, student responses indicated how basic science concepts they had already been taught are related to agriculture (Blair, 2009). By using hands-on experiences, the students expressed this approach led to increased retention of content and how their experiences helped them appreciate everything that agriculture encompassed (Northern Illinois University, 2011).</w:t>
      </w:r>
    </w:p>
    <w:p w14:paraId="58E00A5D" w14:textId="77777777" w:rsidR="006A7975" w:rsidRDefault="006A7975" w:rsidP="00695F79">
      <w:pPr>
        <w:spacing w:after="0" w:line="240" w:lineRule="auto"/>
        <w:jc w:val="center"/>
        <w:rPr>
          <w:rFonts w:ascii="Times New Roman" w:hAnsi="Times New Roman" w:cs="Times New Roman"/>
          <w:b/>
          <w:sz w:val="24"/>
          <w:szCs w:val="24"/>
        </w:rPr>
      </w:pPr>
    </w:p>
    <w:p w14:paraId="5084F27F" w14:textId="1F3F4D83" w:rsidR="00695F79" w:rsidRDefault="00695F79" w:rsidP="00695F7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Recommendations</w:t>
      </w:r>
    </w:p>
    <w:p w14:paraId="7E4A0027" w14:textId="3B0A515C" w:rsidR="006179FA" w:rsidRDefault="002D7827" w:rsidP="00695F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findings from this study can be used to encourage future research to target populations that traditionally </w:t>
      </w:r>
      <w:r w:rsidR="00AD6D7E">
        <w:rPr>
          <w:rFonts w:ascii="Times New Roman" w:hAnsi="Times New Roman" w:cs="Times New Roman"/>
          <w:sz w:val="24"/>
          <w:szCs w:val="24"/>
        </w:rPr>
        <w:t>do</w:t>
      </w:r>
      <w:r>
        <w:rPr>
          <w:rFonts w:ascii="Times New Roman" w:hAnsi="Times New Roman" w:cs="Times New Roman"/>
          <w:sz w:val="24"/>
          <w:szCs w:val="24"/>
        </w:rPr>
        <w:t xml:space="preserve"> not receive any type of </w:t>
      </w:r>
      <w:r w:rsidR="00287B5A">
        <w:rPr>
          <w:rFonts w:ascii="Times New Roman" w:hAnsi="Times New Roman" w:cs="Times New Roman"/>
          <w:sz w:val="24"/>
          <w:szCs w:val="24"/>
        </w:rPr>
        <w:t xml:space="preserve">formal </w:t>
      </w:r>
      <w:r>
        <w:rPr>
          <w:rFonts w:ascii="Times New Roman" w:hAnsi="Times New Roman" w:cs="Times New Roman"/>
          <w:sz w:val="24"/>
          <w:szCs w:val="24"/>
        </w:rPr>
        <w:t>agricultural education</w:t>
      </w:r>
      <w:r w:rsidR="003D151C">
        <w:rPr>
          <w:rFonts w:ascii="Times New Roman" w:hAnsi="Times New Roman" w:cs="Times New Roman"/>
          <w:sz w:val="24"/>
          <w:szCs w:val="24"/>
        </w:rPr>
        <w:t xml:space="preserve"> as well as assessing agricultural literacy</w:t>
      </w:r>
      <w:r>
        <w:rPr>
          <w:rFonts w:ascii="Times New Roman" w:hAnsi="Times New Roman" w:cs="Times New Roman"/>
          <w:sz w:val="24"/>
          <w:szCs w:val="24"/>
        </w:rPr>
        <w:t>.</w:t>
      </w:r>
      <w:r w:rsidR="00540207">
        <w:rPr>
          <w:rFonts w:ascii="Times New Roman" w:hAnsi="Times New Roman" w:cs="Times New Roman"/>
          <w:sz w:val="24"/>
          <w:szCs w:val="24"/>
        </w:rPr>
        <w:t xml:space="preserve">  This study targeted </w:t>
      </w:r>
      <w:r w:rsidR="00287B5A">
        <w:rPr>
          <w:rFonts w:ascii="Times New Roman" w:hAnsi="Times New Roman" w:cs="Times New Roman"/>
          <w:sz w:val="24"/>
          <w:szCs w:val="24"/>
        </w:rPr>
        <w:t xml:space="preserve">a </w:t>
      </w:r>
      <w:r w:rsidR="00540207">
        <w:rPr>
          <w:rFonts w:ascii="Times New Roman" w:hAnsi="Times New Roman" w:cs="Times New Roman"/>
          <w:sz w:val="24"/>
          <w:szCs w:val="24"/>
        </w:rPr>
        <w:t>private school because in [State], private schools are open to modifications in the curriculum to allow agricultural</w:t>
      </w:r>
      <w:r w:rsidR="003D151C">
        <w:rPr>
          <w:rFonts w:ascii="Times New Roman" w:hAnsi="Times New Roman" w:cs="Times New Roman"/>
          <w:sz w:val="24"/>
          <w:szCs w:val="24"/>
        </w:rPr>
        <w:t>ly centered teachings/lessons</w:t>
      </w:r>
      <w:r w:rsidR="00AD6D7E">
        <w:rPr>
          <w:rFonts w:ascii="Times New Roman" w:hAnsi="Times New Roman" w:cs="Times New Roman"/>
          <w:sz w:val="24"/>
          <w:szCs w:val="24"/>
        </w:rPr>
        <w:t xml:space="preserve">. </w:t>
      </w:r>
      <w:r w:rsidR="00540207">
        <w:rPr>
          <w:rFonts w:ascii="Times New Roman" w:hAnsi="Times New Roman" w:cs="Times New Roman"/>
          <w:sz w:val="24"/>
          <w:szCs w:val="24"/>
        </w:rPr>
        <w:t xml:space="preserve">When possible, appropriate hands-on activities should accompany </w:t>
      </w:r>
      <w:r w:rsidR="00963794">
        <w:rPr>
          <w:rFonts w:ascii="Times New Roman" w:hAnsi="Times New Roman" w:cs="Times New Roman"/>
          <w:sz w:val="24"/>
          <w:szCs w:val="24"/>
        </w:rPr>
        <w:t>these lessons to foster a more intimate connection with the material.</w:t>
      </w:r>
    </w:p>
    <w:p w14:paraId="15E00C25" w14:textId="77777777" w:rsidR="006179FA" w:rsidRDefault="006179FA">
      <w:pPr>
        <w:rPr>
          <w:rFonts w:ascii="Times New Roman" w:hAnsi="Times New Roman" w:cs="Times New Roman"/>
          <w:sz w:val="24"/>
          <w:szCs w:val="24"/>
        </w:rPr>
      </w:pPr>
      <w:r>
        <w:rPr>
          <w:rFonts w:ascii="Times New Roman" w:hAnsi="Times New Roman" w:cs="Times New Roman"/>
          <w:sz w:val="24"/>
          <w:szCs w:val="24"/>
        </w:rPr>
        <w:br w:type="page"/>
      </w:r>
    </w:p>
    <w:p w14:paraId="26D3A222" w14:textId="3754C6CA" w:rsidR="00392F2E" w:rsidRPr="00731480" w:rsidRDefault="00392F2E" w:rsidP="00392F2E">
      <w:pPr>
        <w:spacing w:after="0" w:line="480" w:lineRule="auto"/>
        <w:jc w:val="center"/>
        <w:rPr>
          <w:rFonts w:ascii="Times New Roman" w:hAnsi="Times New Roman" w:cs="Times New Roman"/>
          <w:b/>
          <w:sz w:val="24"/>
          <w:szCs w:val="24"/>
        </w:rPr>
      </w:pPr>
      <w:r w:rsidRPr="00731480">
        <w:rPr>
          <w:rFonts w:ascii="Times New Roman" w:hAnsi="Times New Roman" w:cs="Times New Roman"/>
          <w:b/>
          <w:sz w:val="24"/>
          <w:szCs w:val="24"/>
        </w:rPr>
        <w:lastRenderedPageBreak/>
        <w:t>References</w:t>
      </w:r>
    </w:p>
    <w:p w14:paraId="21004CBB" w14:textId="77777777" w:rsidR="00C63B1E" w:rsidRPr="00F70B6D" w:rsidRDefault="00C63B1E" w:rsidP="00C63B1E">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Baker, M. A., Robinson, J. S., &amp; Kolb, D. A. (2012). Aligning Kolb’s experiential learning theory with a comprehensive agricultural education model. </w:t>
      </w:r>
      <w:r w:rsidRPr="00F70B6D">
        <w:rPr>
          <w:rFonts w:ascii="Times New Roman" w:hAnsi="Times New Roman" w:cs="Times New Roman"/>
          <w:i/>
          <w:sz w:val="24"/>
          <w:szCs w:val="24"/>
        </w:rPr>
        <w:t>Journal of Agricultural Education, 53(4),</w:t>
      </w:r>
      <w:r w:rsidRPr="00F70B6D">
        <w:rPr>
          <w:rFonts w:ascii="Times New Roman" w:hAnsi="Times New Roman" w:cs="Times New Roman"/>
          <w:sz w:val="24"/>
          <w:szCs w:val="24"/>
        </w:rPr>
        <w:t xml:space="preserve"> 1-16. doi:10.5032/jae.2012.04001</w:t>
      </w:r>
    </w:p>
    <w:p w14:paraId="2F5E10C1" w14:textId="77777777" w:rsidR="00C63B1E" w:rsidRDefault="00C63B1E" w:rsidP="008158C1">
      <w:pPr>
        <w:spacing w:after="0" w:line="240" w:lineRule="auto"/>
        <w:ind w:left="720" w:hanging="720"/>
        <w:rPr>
          <w:rFonts w:ascii="Times New Roman" w:hAnsi="Times New Roman" w:cs="Times New Roman"/>
          <w:sz w:val="24"/>
          <w:szCs w:val="24"/>
        </w:rPr>
      </w:pPr>
    </w:p>
    <w:p w14:paraId="0E055BFF" w14:textId="77777777" w:rsidR="00AB13C2" w:rsidRPr="00F70B6D" w:rsidRDefault="00AB13C2" w:rsidP="00AB13C2">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Blair, D. (2009). The child in the garden: An evaluative review of the benefits of school gardening. </w:t>
      </w:r>
      <w:r w:rsidRPr="00F70B6D">
        <w:rPr>
          <w:rFonts w:ascii="Times New Roman" w:hAnsi="Times New Roman" w:cs="Times New Roman"/>
          <w:i/>
          <w:sz w:val="24"/>
          <w:szCs w:val="24"/>
        </w:rPr>
        <w:t>The Journal of Environmental Education, 40</w:t>
      </w:r>
      <w:r w:rsidRPr="00F70B6D">
        <w:rPr>
          <w:rFonts w:ascii="Times New Roman" w:hAnsi="Times New Roman" w:cs="Times New Roman"/>
          <w:sz w:val="24"/>
          <w:szCs w:val="24"/>
        </w:rPr>
        <w:t>(2), 15-38. doi:10.3200/JOEE.40.2.15-38</w:t>
      </w:r>
    </w:p>
    <w:p w14:paraId="7EA6FDD4" w14:textId="77777777" w:rsidR="00AB13C2" w:rsidRDefault="00AB13C2" w:rsidP="008158C1">
      <w:pPr>
        <w:spacing w:after="0" w:line="240" w:lineRule="auto"/>
        <w:ind w:left="720" w:hanging="720"/>
        <w:rPr>
          <w:rFonts w:ascii="Times New Roman" w:hAnsi="Times New Roman" w:cs="Times New Roman"/>
          <w:sz w:val="24"/>
          <w:szCs w:val="24"/>
        </w:rPr>
      </w:pPr>
    </w:p>
    <w:p w14:paraId="1FFFB0B2" w14:textId="77777777" w:rsidR="00392F2E" w:rsidRDefault="00392F2E" w:rsidP="008158C1">
      <w:pPr>
        <w:spacing w:after="0" w:line="240" w:lineRule="auto"/>
        <w:ind w:left="720" w:hanging="720"/>
        <w:rPr>
          <w:rFonts w:ascii="Times New Roman" w:hAnsi="Times New Roman" w:cs="Times New Roman"/>
          <w:sz w:val="24"/>
          <w:szCs w:val="24"/>
        </w:rPr>
      </w:pPr>
      <w:r w:rsidRPr="00392F2E">
        <w:rPr>
          <w:rFonts w:ascii="Times New Roman" w:hAnsi="Times New Roman" w:cs="Times New Roman"/>
          <w:sz w:val="24"/>
          <w:szCs w:val="24"/>
        </w:rPr>
        <w:t xml:space="preserve">Doerfert, D.L. (Ed.). (2011). </w:t>
      </w:r>
      <w:r w:rsidRPr="00392F2E">
        <w:rPr>
          <w:rFonts w:ascii="Times New Roman" w:hAnsi="Times New Roman" w:cs="Times New Roman"/>
          <w:i/>
          <w:iCs/>
          <w:sz w:val="24"/>
          <w:szCs w:val="24"/>
        </w:rPr>
        <w:t xml:space="preserve">National research agenda: American Association for Agricultural Education’s research priority areas for 2011-2015. </w:t>
      </w:r>
      <w:r w:rsidRPr="00392F2E">
        <w:rPr>
          <w:rFonts w:ascii="Times New Roman" w:hAnsi="Times New Roman" w:cs="Times New Roman"/>
          <w:sz w:val="24"/>
          <w:szCs w:val="24"/>
        </w:rPr>
        <w:t>Lubbock, TX: Texas Tech University, Department of Agricultural Education and Communications.</w:t>
      </w:r>
    </w:p>
    <w:p w14:paraId="2F2A54F0" w14:textId="77777777" w:rsidR="00392F2E" w:rsidRDefault="00392F2E" w:rsidP="00392F2E">
      <w:pPr>
        <w:spacing w:after="0" w:line="240" w:lineRule="auto"/>
        <w:rPr>
          <w:rFonts w:ascii="Times New Roman" w:hAnsi="Times New Roman" w:cs="Times New Roman"/>
          <w:sz w:val="24"/>
          <w:szCs w:val="24"/>
        </w:rPr>
      </w:pPr>
    </w:p>
    <w:p w14:paraId="37A45B0E" w14:textId="77777777" w:rsidR="00AB13C2" w:rsidRPr="00F70B6D" w:rsidRDefault="00AB13C2" w:rsidP="00AB13C2">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Dunlap, J., Dobrovolny, J., &amp; Young, D. (2008). Preparing e-learning designers using Kolb's model of experiential learning. </w:t>
      </w:r>
      <w:r w:rsidRPr="00F70B6D">
        <w:rPr>
          <w:rFonts w:ascii="Times New Roman" w:hAnsi="Times New Roman" w:cs="Times New Roman"/>
          <w:i/>
          <w:sz w:val="24"/>
          <w:szCs w:val="24"/>
        </w:rPr>
        <w:t>Innovate: Journal of Online Education</w:t>
      </w:r>
      <w:r w:rsidRPr="00F70B6D">
        <w:rPr>
          <w:rFonts w:ascii="Times New Roman" w:hAnsi="Times New Roman" w:cs="Times New Roman"/>
          <w:sz w:val="24"/>
          <w:szCs w:val="24"/>
        </w:rPr>
        <w:t xml:space="preserve">: </w:t>
      </w:r>
      <w:r w:rsidRPr="00F70B6D">
        <w:rPr>
          <w:rFonts w:ascii="Times New Roman" w:hAnsi="Times New Roman" w:cs="Times New Roman"/>
          <w:i/>
          <w:sz w:val="24"/>
          <w:szCs w:val="24"/>
        </w:rPr>
        <w:t>4</w:t>
      </w:r>
      <w:r w:rsidRPr="00F70B6D">
        <w:rPr>
          <w:rFonts w:ascii="Times New Roman" w:hAnsi="Times New Roman" w:cs="Times New Roman"/>
          <w:sz w:val="24"/>
          <w:szCs w:val="24"/>
        </w:rPr>
        <w:t>(4), 1-6. Retrieved from http://nsuworks.nova.edu/cgi/viewcontent.cgi?article=1051&amp;context=innovate</w:t>
      </w:r>
    </w:p>
    <w:p w14:paraId="3745FA0F" w14:textId="77777777" w:rsidR="00AB13C2" w:rsidRDefault="00AB13C2" w:rsidP="00AB13C2">
      <w:pPr>
        <w:spacing w:after="0" w:line="240" w:lineRule="auto"/>
        <w:ind w:left="720" w:hanging="720"/>
        <w:rPr>
          <w:rFonts w:ascii="Times New Roman" w:hAnsi="Times New Roman" w:cs="Times New Roman"/>
          <w:sz w:val="24"/>
          <w:szCs w:val="24"/>
        </w:rPr>
      </w:pPr>
    </w:p>
    <w:p w14:paraId="0514BB02" w14:textId="77777777" w:rsidR="00AB13C2" w:rsidRPr="00F70B6D" w:rsidRDefault="00AB13C2" w:rsidP="00AB13C2">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Frick, M. J., Birkenholz, R. J., Gardner, H., &amp; Machtmes, K. (1995). Rural and urban inner-city high school student knowledge and perception of agriculture. </w:t>
      </w:r>
      <w:r w:rsidRPr="00F70B6D">
        <w:rPr>
          <w:rFonts w:ascii="Times New Roman" w:hAnsi="Times New Roman" w:cs="Times New Roman"/>
          <w:i/>
          <w:iCs/>
          <w:sz w:val="24"/>
          <w:szCs w:val="24"/>
        </w:rPr>
        <w:t>Journal of Agricultural Education</w:t>
      </w:r>
      <w:r w:rsidRPr="00F70B6D">
        <w:rPr>
          <w:rFonts w:ascii="Times New Roman" w:hAnsi="Times New Roman" w:cs="Times New Roman"/>
          <w:sz w:val="24"/>
          <w:szCs w:val="24"/>
        </w:rPr>
        <w:t>, </w:t>
      </w:r>
      <w:r w:rsidRPr="00F70B6D">
        <w:rPr>
          <w:rFonts w:ascii="Times New Roman" w:hAnsi="Times New Roman" w:cs="Times New Roman"/>
          <w:i/>
          <w:iCs/>
          <w:sz w:val="24"/>
          <w:szCs w:val="24"/>
        </w:rPr>
        <w:t>36</w:t>
      </w:r>
      <w:r w:rsidRPr="00F70B6D">
        <w:rPr>
          <w:rFonts w:ascii="Times New Roman" w:hAnsi="Times New Roman" w:cs="Times New Roman"/>
          <w:iCs/>
          <w:sz w:val="24"/>
          <w:szCs w:val="24"/>
        </w:rPr>
        <w:t>(4)</w:t>
      </w:r>
      <w:r w:rsidRPr="00F70B6D">
        <w:rPr>
          <w:rFonts w:ascii="Times New Roman" w:hAnsi="Times New Roman" w:cs="Times New Roman"/>
          <w:sz w:val="24"/>
          <w:szCs w:val="24"/>
        </w:rPr>
        <w:t>, 1-9. doi:105032/jae.1995.04001</w:t>
      </w:r>
    </w:p>
    <w:p w14:paraId="0756FDE4" w14:textId="77777777" w:rsidR="00AB13C2" w:rsidRDefault="00AB13C2" w:rsidP="008158C1">
      <w:pPr>
        <w:spacing w:after="0" w:line="240" w:lineRule="auto"/>
        <w:ind w:left="720" w:hanging="720"/>
        <w:rPr>
          <w:rFonts w:ascii="Times New Roman" w:hAnsi="Times New Roman" w:cs="Times New Roman"/>
          <w:sz w:val="24"/>
          <w:szCs w:val="24"/>
        </w:rPr>
      </w:pPr>
    </w:p>
    <w:p w14:paraId="72B1C799" w14:textId="77777777" w:rsidR="00AB13C2" w:rsidRPr="00F70B6D" w:rsidRDefault="00AB13C2" w:rsidP="00AB13C2">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Kolb, D.A. (1984). </w:t>
      </w:r>
      <w:r w:rsidRPr="00F70B6D">
        <w:rPr>
          <w:rFonts w:ascii="Times New Roman" w:hAnsi="Times New Roman" w:cs="Times New Roman"/>
          <w:i/>
          <w:sz w:val="24"/>
          <w:szCs w:val="24"/>
        </w:rPr>
        <w:t>Experiential learning: Experience as the source of learning and development.</w:t>
      </w:r>
      <w:r w:rsidRPr="00F70B6D">
        <w:rPr>
          <w:rFonts w:ascii="Times New Roman" w:hAnsi="Times New Roman" w:cs="Times New Roman"/>
          <w:sz w:val="24"/>
          <w:szCs w:val="24"/>
        </w:rPr>
        <w:t xml:space="preserve"> Englewood Cliffs, NJ: Prentice-Hall</w:t>
      </w:r>
    </w:p>
    <w:p w14:paraId="29432C93" w14:textId="77777777" w:rsidR="00AB13C2" w:rsidRDefault="00AB13C2" w:rsidP="008158C1">
      <w:pPr>
        <w:spacing w:after="0" w:line="240" w:lineRule="auto"/>
        <w:ind w:left="720" w:hanging="720"/>
        <w:rPr>
          <w:rFonts w:ascii="Times New Roman" w:hAnsi="Times New Roman" w:cs="Times New Roman"/>
          <w:sz w:val="24"/>
          <w:szCs w:val="24"/>
        </w:rPr>
      </w:pPr>
    </w:p>
    <w:p w14:paraId="5F3A12D5" w14:textId="5E7917F8" w:rsidR="00A1034D" w:rsidRPr="00A1034D" w:rsidRDefault="00A1034D" w:rsidP="008158C1">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Masadeh</w:t>
      </w:r>
      <w:proofErr w:type="spellEnd"/>
      <w:r>
        <w:rPr>
          <w:rFonts w:ascii="Times New Roman" w:hAnsi="Times New Roman" w:cs="Times New Roman"/>
          <w:sz w:val="24"/>
          <w:szCs w:val="24"/>
        </w:rPr>
        <w:t xml:space="preserve">, M. A. (2012). Focus groups: Reviews and practices. </w:t>
      </w:r>
      <w:r>
        <w:rPr>
          <w:rFonts w:ascii="Times New Roman" w:hAnsi="Times New Roman" w:cs="Times New Roman"/>
          <w:i/>
          <w:sz w:val="24"/>
          <w:szCs w:val="24"/>
        </w:rPr>
        <w:t>International Journal of Applied Science and Technology, 2</w:t>
      </w:r>
      <w:r>
        <w:rPr>
          <w:rFonts w:ascii="Times New Roman" w:hAnsi="Times New Roman" w:cs="Times New Roman"/>
          <w:sz w:val="24"/>
          <w:szCs w:val="24"/>
        </w:rPr>
        <w:t xml:space="preserve">(10), 63-68. Retrieved from </w:t>
      </w:r>
      <w:r w:rsidRPr="00A1034D">
        <w:rPr>
          <w:rFonts w:ascii="Times New Roman" w:hAnsi="Times New Roman" w:cs="Times New Roman"/>
          <w:sz w:val="24"/>
          <w:szCs w:val="24"/>
        </w:rPr>
        <w:t>http://www.ijastnet.com/journals/Vol_2_No_10_December_2012/9.pdf</w:t>
      </w:r>
    </w:p>
    <w:p w14:paraId="46D40FB4" w14:textId="77777777" w:rsidR="00392F2E" w:rsidRDefault="00392F2E" w:rsidP="00392F2E">
      <w:pPr>
        <w:spacing w:after="0" w:line="240" w:lineRule="auto"/>
        <w:rPr>
          <w:rFonts w:ascii="Times New Roman" w:hAnsi="Times New Roman" w:cs="Times New Roman"/>
          <w:sz w:val="24"/>
          <w:szCs w:val="24"/>
        </w:rPr>
      </w:pPr>
    </w:p>
    <w:p w14:paraId="3D09E139" w14:textId="77777777" w:rsidR="00F70B6D" w:rsidRPr="00F70B6D" w:rsidRDefault="00F70B6D" w:rsidP="00F70B6D">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National Research Council, Board on Agricultural Education in Secondary Schools. (1988). </w:t>
      </w:r>
      <w:r w:rsidRPr="00F70B6D">
        <w:rPr>
          <w:rFonts w:ascii="Times New Roman" w:hAnsi="Times New Roman" w:cs="Times New Roman"/>
          <w:i/>
          <w:sz w:val="24"/>
          <w:szCs w:val="24"/>
        </w:rPr>
        <w:t>Understanding agriculture: New directions for education</w:t>
      </w:r>
      <w:r w:rsidRPr="00F70B6D">
        <w:rPr>
          <w:rFonts w:ascii="Times New Roman" w:hAnsi="Times New Roman" w:cs="Times New Roman"/>
          <w:sz w:val="24"/>
          <w:szCs w:val="24"/>
        </w:rPr>
        <w:t>. Washington, DC: National Academy Press.</w:t>
      </w:r>
    </w:p>
    <w:p w14:paraId="20F41673" w14:textId="77777777" w:rsidR="00C63B1E" w:rsidRDefault="00C63B1E" w:rsidP="00F70B6D">
      <w:pPr>
        <w:spacing w:after="0" w:line="240" w:lineRule="auto"/>
        <w:ind w:left="720" w:hanging="720"/>
        <w:rPr>
          <w:rFonts w:ascii="Times New Roman" w:hAnsi="Times New Roman" w:cs="Times New Roman"/>
          <w:sz w:val="24"/>
          <w:szCs w:val="24"/>
        </w:rPr>
      </w:pPr>
    </w:p>
    <w:p w14:paraId="47B2A4E1" w14:textId="77777777" w:rsidR="00F70B6D" w:rsidRPr="00F70B6D" w:rsidRDefault="00F70B6D" w:rsidP="00F70B6D">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Northern Illinois University, Faculty Development and Instructional Design Center. (2011). </w:t>
      </w:r>
      <w:r w:rsidRPr="00F70B6D">
        <w:rPr>
          <w:rFonts w:ascii="Times New Roman" w:hAnsi="Times New Roman" w:cs="Times New Roman"/>
          <w:i/>
          <w:sz w:val="24"/>
          <w:szCs w:val="24"/>
        </w:rPr>
        <w:t>Experiential Learning</w:t>
      </w:r>
      <w:r w:rsidRPr="00F70B6D">
        <w:rPr>
          <w:rFonts w:ascii="Times New Roman" w:hAnsi="Times New Roman" w:cs="Times New Roman"/>
          <w:sz w:val="24"/>
          <w:szCs w:val="24"/>
        </w:rPr>
        <w:t xml:space="preserve">.  Retrieved from http://www.niu.edu/facdev/resources/guide/strategies/experiential_learning.pdf </w:t>
      </w:r>
    </w:p>
    <w:p w14:paraId="65D8700D" w14:textId="77777777" w:rsidR="00C63B1E" w:rsidRDefault="00C63B1E" w:rsidP="00F70B6D">
      <w:pPr>
        <w:spacing w:after="0" w:line="240" w:lineRule="auto"/>
        <w:ind w:left="720" w:hanging="720"/>
        <w:rPr>
          <w:rFonts w:ascii="Times New Roman" w:hAnsi="Times New Roman" w:cs="Times New Roman"/>
          <w:sz w:val="24"/>
          <w:szCs w:val="24"/>
        </w:rPr>
      </w:pPr>
    </w:p>
    <w:p w14:paraId="2D8F92F5" w14:textId="77777777" w:rsidR="00F70B6D" w:rsidRPr="00F70B6D" w:rsidRDefault="00F70B6D" w:rsidP="00F70B6D">
      <w:pPr>
        <w:spacing w:after="0" w:line="240" w:lineRule="auto"/>
        <w:ind w:left="720" w:hanging="720"/>
        <w:rPr>
          <w:rFonts w:ascii="Times New Roman" w:hAnsi="Times New Roman" w:cs="Times New Roman"/>
          <w:sz w:val="24"/>
          <w:szCs w:val="24"/>
        </w:rPr>
      </w:pPr>
      <w:r w:rsidRPr="00F70B6D">
        <w:rPr>
          <w:rFonts w:ascii="Times New Roman" w:hAnsi="Times New Roman" w:cs="Times New Roman"/>
          <w:sz w:val="24"/>
          <w:szCs w:val="24"/>
        </w:rPr>
        <w:t xml:space="preserve">Wozencroft, A. J., Pate, J. R., &amp; Griffiths, H. K. (2014). Experiential learning and its impact on students’ attitudes toward youth with disabilities. </w:t>
      </w:r>
      <w:r w:rsidRPr="00F70B6D">
        <w:rPr>
          <w:rFonts w:ascii="Times New Roman" w:hAnsi="Times New Roman" w:cs="Times New Roman"/>
          <w:i/>
          <w:sz w:val="24"/>
          <w:szCs w:val="24"/>
        </w:rPr>
        <w:t>Journal of Experiential Education</w:t>
      </w:r>
      <w:r w:rsidRPr="00F70B6D">
        <w:rPr>
          <w:rFonts w:ascii="Times New Roman" w:hAnsi="Times New Roman" w:cs="Times New Roman"/>
          <w:sz w:val="24"/>
          <w:szCs w:val="24"/>
        </w:rPr>
        <w:t xml:space="preserve">. Advance online publication. </w:t>
      </w:r>
      <w:proofErr w:type="gramStart"/>
      <w:r w:rsidRPr="00F70B6D">
        <w:rPr>
          <w:rFonts w:ascii="Times New Roman" w:hAnsi="Times New Roman" w:cs="Times New Roman"/>
          <w:sz w:val="24"/>
          <w:szCs w:val="24"/>
        </w:rPr>
        <w:t>doi:</w:t>
      </w:r>
      <w:proofErr w:type="gramEnd"/>
      <w:r w:rsidRPr="00F70B6D">
        <w:rPr>
          <w:rFonts w:ascii="Times New Roman" w:hAnsi="Times New Roman" w:cs="Times New Roman"/>
          <w:sz w:val="24"/>
          <w:szCs w:val="24"/>
        </w:rPr>
        <w:t>10.1177/1053825914524363</w:t>
      </w:r>
    </w:p>
    <w:sectPr w:rsidR="00F70B6D" w:rsidRPr="00F70B6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36F4F" w14:textId="77777777" w:rsidR="008012AC" w:rsidRDefault="008012AC" w:rsidP="006C75FB">
      <w:pPr>
        <w:spacing w:after="0" w:line="240" w:lineRule="auto"/>
      </w:pPr>
      <w:r>
        <w:separator/>
      </w:r>
    </w:p>
  </w:endnote>
  <w:endnote w:type="continuationSeparator" w:id="0">
    <w:p w14:paraId="660E6B4B" w14:textId="77777777" w:rsidR="008012AC" w:rsidRDefault="008012AC" w:rsidP="006C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2000331528"/>
      <w:docPartObj>
        <w:docPartGallery w:val="Page Numbers (Bottom of Page)"/>
        <w:docPartUnique/>
      </w:docPartObj>
    </w:sdtPr>
    <w:sdtEndPr>
      <w:rPr>
        <w:noProof/>
      </w:rPr>
    </w:sdtEndPr>
    <w:sdtContent>
      <w:p w14:paraId="0999BEA8" w14:textId="62EE289B" w:rsidR="006C75FB" w:rsidRPr="006C75FB" w:rsidRDefault="006C75FB">
        <w:pPr>
          <w:pStyle w:val="Footer"/>
          <w:jc w:val="center"/>
          <w:rPr>
            <w:rFonts w:ascii="Times New Roman" w:hAnsi="Times New Roman" w:cs="Times New Roman"/>
            <w:sz w:val="24"/>
          </w:rPr>
        </w:pPr>
        <w:r w:rsidRPr="006C75FB">
          <w:rPr>
            <w:rFonts w:ascii="Times New Roman" w:hAnsi="Times New Roman" w:cs="Times New Roman"/>
            <w:sz w:val="24"/>
          </w:rPr>
          <w:fldChar w:fldCharType="begin"/>
        </w:r>
        <w:r w:rsidRPr="006C75FB">
          <w:rPr>
            <w:rFonts w:ascii="Times New Roman" w:hAnsi="Times New Roman" w:cs="Times New Roman"/>
            <w:sz w:val="24"/>
          </w:rPr>
          <w:instrText xml:space="preserve"> PAGE   \* MERGEFORMAT </w:instrText>
        </w:r>
        <w:r w:rsidRPr="006C75FB">
          <w:rPr>
            <w:rFonts w:ascii="Times New Roman" w:hAnsi="Times New Roman" w:cs="Times New Roman"/>
            <w:sz w:val="24"/>
          </w:rPr>
          <w:fldChar w:fldCharType="separate"/>
        </w:r>
        <w:r w:rsidR="00D33829">
          <w:rPr>
            <w:rFonts w:ascii="Times New Roman" w:hAnsi="Times New Roman" w:cs="Times New Roman"/>
            <w:noProof/>
            <w:sz w:val="24"/>
          </w:rPr>
          <w:t>4</w:t>
        </w:r>
        <w:r w:rsidRPr="006C75FB">
          <w:rPr>
            <w:rFonts w:ascii="Times New Roman" w:hAnsi="Times New Roman" w:cs="Times New Roman"/>
            <w:noProof/>
            <w:sz w:val="24"/>
          </w:rPr>
          <w:fldChar w:fldCharType="end"/>
        </w:r>
      </w:p>
    </w:sdtContent>
  </w:sdt>
  <w:p w14:paraId="252942C3" w14:textId="77777777" w:rsidR="006C75FB" w:rsidRDefault="006C75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17E70" w14:textId="77777777" w:rsidR="008012AC" w:rsidRDefault="008012AC" w:rsidP="006C75FB">
      <w:pPr>
        <w:spacing w:after="0" w:line="240" w:lineRule="auto"/>
      </w:pPr>
      <w:r>
        <w:separator/>
      </w:r>
    </w:p>
  </w:footnote>
  <w:footnote w:type="continuationSeparator" w:id="0">
    <w:p w14:paraId="64402F28" w14:textId="77777777" w:rsidR="008012AC" w:rsidRDefault="008012AC" w:rsidP="006C7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75FC5" w14:textId="644A10C8" w:rsidR="006C75FB" w:rsidRPr="006C75FB" w:rsidRDefault="006C75FB" w:rsidP="006C75FB">
    <w:pPr>
      <w:pStyle w:val="Header"/>
      <w:jc w:val="right"/>
      <w:rPr>
        <w:rFonts w:ascii="Times New Roman" w:hAnsi="Times New Roman" w:cs="Times New Roman"/>
        <w:b/>
        <w:sz w:val="24"/>
      </w:rPr>
    </w:pPr>
    <w:r w:rsidRPr="006C75FB">
      <w:rPr>
        <w:rFonts w:ascii="Times New Roman" w:hAnsi="Times New Roman" w:cs="Times New Roman"/>
        <w:b/>
        <w:sz w:val="24"/>
      </w:rPr>
      <w:t>Poster Type: Research</w:t>
    </w:r>
  </w:p>
  <w:p w14:paraId="4C069673" w14:textId="77777777" w:rsidR="006C75FB" w:rsidRDefault="006C75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22DD7"/>
    <w:multiLevelType w:val="hybridMultilevel"/>
    <w:tmpl w:val="752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C3759D"/>
    <w:multiLevelType w:val="hybridMultilevel"/>
    <w:tmpl w:val="954AB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0F26D9"/>
    <w:multiLevelType w:val="hybridMultilevel"/>
    <w:tmpl w:val="354E67A8"/>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 w15:restartNumberingAfterBreak="0">
    <w:nsid w:val="518A5253"/>
    <w:multiLevelType w:val="hybridMultilevel"/>
    <w:tmpl w:val="04F2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580"/>
    <w:rsid w:val="00020318"/>
    <w:rsid w:val="00044E34"/>
    <w:rsid w:val="00071EA5"/>
    <w:rsid w:val="000A11D8"/>
    <w:rsid w:val="000C6899"/>
    <w:rsid w:val="000F663B"/>
    <w:rsid w:val="0010100B"/>
    <w:rsid w:val="001025B9"/>
    <w:rsid w:val="001125BA"/>
    <w:rsid w:val="00153D05"/>
    <w:rsid w:val="00164D98"/>
    <w:rsid w:val="0016520C"/>
    <w:rsid w:val="00196B23"/>
    <w:rsid w:val="001A50D3"/>
    <w:rsid w:val="001B7246"/>
    <w:rsid w:val="001E5A82"/>
    <w:rsid w:val="00206B65"/>
    <w:rsid w:val="00211BF6"/>
    <w:rsid w:val="00233AE1"/>
    <w:rsid w:val="00250044"/>
    <w:rsid w:val="00284097"/>
    <w:rsid w:val="00287B5A"/>
    <w:rsid w:val="002A1E51"/>
    <w:rsid w:val="002D49B6"/>
    <w:rsid w:val="002D5AE3"/>
    <w:rsid w:val="002D7827"/>
    <w:rsid w:val="003335C6"/>
    <w:rsid w:val="00383625"/>
    <w:rsid w:val="0038665D"/>
    <w:rsid w:val="00392F2E"/>
    <w:rsid w:val="003A0C73"/>
    <w:rsid w:val="003A2CA0"/>
    <w:rsid w:val="003A3B2D"/>
    <w:rsid w:val="003B1A06"/>
    <w:rsid w:val="003C1460"/>
    <w:rsid w:val="003C31BC"/>
    <w:rsid w:val="003C3756"/>
    <w:rsid w:val="003C483B"/>
    <w:rsid w:val="003D151C"/>
    <w:rsid w:val="003E7473"/>
    <w:rsid w:val="004250D7"/>
    <w:rsid w:val="004319FE"/>
    <w:rsid w:val="00445A20"/>
    <w:rsid w:val="0046696B"/>
    <w:rsid w:val="00474F31"/>
    <w:rsid w:val="00474F7F"/>
    <w:rsid w:val="004952BC"/>
    <w:rsid w:val="004A63FC"/>
    <w:rsid w:val="004B1A5E"/>
    <w:rsid w:val="004B271E"/>
    <w:rsid w:val="004D4144"/>
    <w:rsid w:val="004E20F0"/>
    <w:rsid w:val="00512ADA"/>
    <w:rsid w:val="00523723"/>
    <w:rsid w:val="005361E5"/>
    <w:rsid w:val="00540207"/>
    <w:rsid w:val="00551CCE"/>
    <w:rsid w:val="00564F71"/>
    <w:rsid w:val="00585A6A"/>
    <w:rsid w:val="005933DA"/>
    <w:rsid w:val="005F13FF"/>
    <w:rsid w:val="00606BD7"/>
    <w:rsid w:val="006179FA"/>
    <w:rsid w:val="00632B9E"/>
    <w:rsid w:val="00641670"/>
    <w:rsid w:val="00692348"/>
    <w:rsid w:val="00695F79"/>
    <w:rsid w:val="006A2D1A"/>
    <w:rsid w:val="006A5F1E"/>
    <w:rsid w:val="006A7975"/>
    <w:rsid w:val="006C08E8"/>
    <w:rsid w:val="006C75FB"/>
    <w:rsid w:val="00714104"/>
    <w:rsid w:val="00731480"/>
    <w:rsid w:val="00736AEB"/>
    <w:rsid w:val="007766B1"/>
    <w:rsid w:val="00785DB6"/>
    <w:rsid w:val="007A0A9A"/>
    <w:rsid w:val="007A409F"/>
    <w:rsid w:val="007C15AF"/>
    <w:rsid w:val="007C700A"/>
    <w:rsid w:val="007D4D64"/>
    <w:rsid w:val="007E21BB"/>
    <w:rsid w:val="008012AC"/>
    <w:rsid w:val="008059F6"/>
    <w:rsid w:val="008158C1"/>
    <w:rsid w:val="00824408"/>
    <w:rsid w:val="008368BC"/>
    <w:rsid w:val="0085088E"/>
    <w:rsid w:val="00867465"/>
    <w:rsid w:val="00885580"/>
    <w:rsid w:val="008B2802"/>
    <w:rsid w:val="00963794"/>
    <w:rsid w:val="00975B57"/>
    <w:rsid w:val="00A073CB"/>
    <w:rsid w:val="00A1034D"/>
    <w:rsid w:val="00A13A70"/>
    <w:rsid w:val="00A23CE3"/>
    <w:rsid w:val="00A302A5"/>
    <w:rsid w:val="00A35629"/>
    <w:rsid w:val="00A501CA"/>
    <w:rsid w:val="00A62399"/>
    <w:rsid w:val="00A845FD"/>
    <w:rsid w:val="00A9210A"/>
    <w:rsid w:val="00A94CBE"/>
    <w:rsid w:val="00A95702"/>
    <w:rsid w:val="00AB13C2"/>
    <w:rsid w:val="00AD6D7E"/>
    <w:rsid w:val="00AE73D4"/>
    <w:rsid w:val="00AF6517"/>
    <w:rsid w:val="00B1516B"/>
    <w:rsid w:val="00B269B4"/>
    <w:rsid w:val="00B3230F"/>
    <w:rsid w:val="00B36E9C"/>
    <w:rsid w:val="00B63E10"/>
    <w:rsid w:val="00B70EEE"/>
    <w:rsid w:val="00B759F1"/>
    <w:rsid w:val="00B87E13"/>
    <w:rsid w:val="00B95C28"/>
    <w:rsid w:val="00BA5851"/>
    <w:rsid w:val="00BB66E4"/>
    <w:rsid w:val="00C1165E"/>
    <w:rsid w:val="00C3060B"/>
    <w:rsid w:val="00C355F2"/>
    <w:rsid w:val="00C61B6D"/>
    <w:rsid w:val="00C63B1E"/>
    <w:rsid w:val="00CA1955"/>
    <w:rsid w:val="00CB3A58"/>
    <w:rsid w:val="00CE074E"/>
    <w:rsid w:val="00CF1345"/>
    <w:rsid w:val="00CF6540"/>
    <w:rsid w:val="00D04402"/>
    <w:rsid w:val="00D06328"/>
    <w:rsid w:val="00D20165"/>
    <w:rsid w:val="00D33829"/>
    <w:rsid w:val="00D36A4F"/>
    <w:rsid w:val="00D40AAD"/>
    <w:rsid w:val="00D414BB"/>
    <w:rsid w:val="00D526DF"/>
    <w:rsid w:val="00D673BD"/>
    <w:rsid w:val="00D74EF7"/>
    <w:rsid w:val="00D77E3C"/>
    <w:rsid w:val="00DA6B0F"/>
    <w:rsid w:val="00DC7E46"/>
    <w:rsid w:val="00E21A81"/>
    <w:rsid w:val="00E220AC"/>
    <w:rsid w:val="00E23CB7"/>
    <w:rsid w:val="00E319A9"/>
    <w:rsid w:val="00E34E79"/>
    <w:rsid w:val="00E40960"/>
    <w:rsid w:val="00E5183E"/>
    <w:rsid w:val="00E77040"/>
    <w:rsid w:val="00E82CFB"/>
    <w:rsid w:val="00EB31BA"/>
    <w:rsid w:val="00ED59B8"/>
    <w:rsid w:val="00F04686"/>
    <w:rsid w:val="00F10426"/>
    <w:rsid w:val="00F27757"/>
    <w:rsid w:val="00F52A08"/>
    <w:rsid w:val="00F70B6D"/>
    <w:rsid w:val="00F7177B"/>
    <w:rsid w:val="00F7609A"/>
    <w:rsid w:val="00F91A68"/>
    <w:rsid w:val="00FE3EC5"/>
    <w:rsid w:val="00FE56CE"/>
    <w:rsid w:val="00FF3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94410"/>
  <w15:docId w15:val="{5C23414F-9D2A-4E44-B73C-2C267FBF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31480"/>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731480"/>
    <w:rPr>
      <w:rFonts w:ascii="Times New Roman" w:eastAsia="Times New Roman" w:hAnsi="Times New Roman" w:cs="Arial"/>
      <w:b/>
      <w:bCs/>
      <w:kern w:val="28"/>
      <w:sz w:val="24"/>
      <w:szCs w:val="32"/>
    </w:rPr>
  </w:style>
  <w:style w:type="character" w:styleId="CommentReference">
    <w:name w:val="annotation reference"/>
    <w:basedOn w:val="DefaultParagraphFont"/>
    <w:uiPriority w:val="99"/>
    <w:semiHidden/>
    <w:unhideWhenUsed/>
    <w:rsid w:val="00736AEB"/>
    <w:rPr>
      <w:sz w:val="16"/>
      <w:szCs w:val="16"/>
    </w:rPr>
  </w:style>
  <w:style w:type="paragraph" w:styleId="CommentText">
    <w:name w:val="annotation text"/>
    <w:basedOn w:val="Normal"/>
    <w:link w:val="CommentTextChar"/>
    <w:uiPriority w:val="99"/>
    <w:semiHidden/>
    <w:unhideWhenUsed/>
    <w:rsid w:val="00736AEB"/>
    <w:pPr>
      <w:spacing w:line="240" w:lineRule="auto"/>
    </w:pPr>
    <w:rPr>
      <w:sz w:val="20"/>
      <w:szCs w:val="20"/>
    </w:rPr>
  </w:style>
  <w:style w:type="character" w:customStyle="1" w:styleId="CommentTextChar">
    <w:name w:val="Comment Text Char"/>
    <w:basedOn w:val="DefaultParagraphFont"/>
    <w:link w:val="CommentText"/>
    <w:uiPriority w:val="99"/>
    <w:semiHidden/>
    <w:rsid w:val="00736AEB"/>
    <w:rPr>
      <w:sz w:val="20"/>
      <w:szCs w:val="20"/>
    </w:rPr>
  </w:style>
  <w:style w:type="paragraph" w:styleId="CommentSubject">
    <w:name w:val="annotation subject"/>
    <w:basedOn w:val="CommentText"/>
    <w:next w:val="CommentText"/>
    <w:link w:val="CommentSubjectChar"/>
    <w:uiPriority w:val="99"/>
    <w:semiHidden/>
    <w:unhideWhenUsed/>
    <w:rsid w:val="00736AEB"/>
    <w:rPr>
      <w:b/>
      <w:bCs/>
    </w:rPr>
  </w:style>
  <w:style w:type="character" w:customStyle="1" w:styleId="CommentSubjectChar">
    <w:name w:val="Comment Subject Char"/>
    <w:basedOn w:val="CommentTextChar"/>
    <w:link w:val="CommentSubject"/>
    <w:uiPriority w:val="99"/>
    <w:semiHidden/>
    <w:rsid w:val="00736AEB"/>
    <w:rPr>
      <w:b/>
      <w:bCs/>
      <w:sz w:val="20"/>
      <w:szCs w:val="20"/>
    </w:rPr>
  </w:style>
  <w:style w:type="paragraph" w:styleId="BalloonText">
    <w:name w:val="Balloon Text"/>
    <w:basedOn w:val="Normal"/>
    <w:link w:val="BalloonTextChar"/>
    <w:uiPriority w:val="99"/>
    <w:semiHidden/>
    <w:unhideWhenUsed/>
    <w:rsid w:val="00736A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AEB"/>
    <w:rPr>
      <w:rFonts w:ascii="Tahoma" w:hAnsi="Tahoma" w:cs="Tahoma"/>
      <w:sz w:val="16"/>
      <w:szCs w:val="16"/>
    </w:rPr>
  </w:style>
  <w:style w:type="paragraph" w:styleId="ListParagraph">
    <w:name w:val="List Paragraph"/>
    <w:basedOn w:val="Normal"/>
    <w:uiPriority w:val="34"/>
    <w:qFormat/>
    <w:rsid w:val="00CB3A58"/>
    <w:pPr>
      <w:ind w:left="720"/>
      <w:contextualSpacing/>
    </w:pPr>
  </w:style>
  <w:style w:type="paragraph" w:styleId="Header">
    <w:name w:val="header"/>
    <w:basedOn w:val="Normal"/>
    <w:link w:val="HeaderChar"/>
    <w:uiPriority w:val="99"/>
    <w:unhideWhenUsed/>
    <w:rsid w:val="006C75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5FB"/>
  </w:style>
  <w:style w:type="paragraph" w:styleId="Footer">
    <w:name w:val="footer"/>
    <w:basedOn w:val="Normal"/>
    <w:link w:val="FooterChar"/>
    <w:uiPriority w:val="99"/>
    <w:unhideWhenUsed/>
    <w:rsid w:val="006C75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5FB"/>
  </w:style>
  <w:style w:type="character" w:styleId="Hyperlink">
    <w:name w:val="Hyperlink"/>
    <w:basedOn w:val="DefaultParagraphFont"/>
    <w:uiPriority w:val="99"/>
    <w:unhideWhenUsed/>
    <w:rsid w:val="00E409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wimmer@humansci.msstat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3E97D-252B-4262-8B0D-25A1FFCF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 Bradford</dc:creator>
  <cp:keywords/>
  <dc:description/>
  <cp:lastModifiedBy>T.J. Bradford</cp:lastModifiedBy>
  <cp:revision>11</cp:revision>
  <dcterms:created xsi:type="dcterms:W3CDTF">2015-10-15T14:43:00Z</dcterms:created>
  <dcterms:modified xsi:type="dcterms:W3CDTF">2016-04-20T14:58:00Z</dcterms:modified>
</cp:coreProperties>
</file>