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4ECFCBA" w14:textId="77777777" w:rsidR="00662C2D" w:rsidRDefault="00662C2D" w:rsidP="00662C2D">
      <w:pPr>
        <w:jc w:val="right"/>
      </w:pPr>
      <w:r>
        <w:rPr>
          <w:rFonts w:eastAsia="Times New Roman"/>
        </w:rPr>
        <w:t>Research</w:t>
      </w:r>
    </w:p>
    <w:p w14:paraId="4F969491" w14:textId="77777777" w:rsidR="007544EB" w:rsidRDefault="007544EB" w:rsidP="007544EB">
      <w:pPr>
        <w:spacing w:after="200"/>
        <w:jc w:val="center"/>
        <w:rPr>
          <w:rFonts w:eastAsia="Times New Roman"/>
          <w:b/>
        </w:rPr>
      </w:pPr>
    </w:p>
    <w:p w14:paraId="5ECE59DD" w14:textId="77777777" w:rsidR="007544EB" w:rsidRDefault="007544EB" w:rsidP="007544EB">
      <w:pPr>
        <w:spacing w:after="200"/>
        <w:jc w:val="center"/>
        <w:rPr>
          <w:rFonts w:eastAsia="Times New Roman"/>
          <w:b/>
        </w:rPr>
      </w:pPr>
    </w:p>
    <w:p w14:paraId="0114EDCA" w14:textId="1AF2FF34" w:rsidR="007544EB" w:rsidRDefault="007544EB" w:rsidP="007544EB">
      <w:pPr>
        <w:spacing w:after="200"/>
        <w:jc w:val="center"/>
      </w:pPr>
      <w:r>
        <w:rPr>
          <w:rFonts w:eastAsia="Times New Roman"/>
          <w:b/>
        </w:rPr>
        <w:t>Understanding the Impact of a “Faces of Ag” Tour on Undergraduate Students</w:t>
      </w:r>
    </w:p>
    <w:p w14:paraId="6026D5B0" w14:textId="77777777" w:rsidR="007544EB" w:rsidRDefault="007544EB">
      <w:pPr>
        <w:rPr>
          <w:rFonts w:eastAsia="Times New Roman"/>
          <w:b/>
        </w:rPr>
      </w:pPr>
    </w:p>
    <w:p w14:paraId="0B4ACC91" w14:textId="77777777" w:rsidR="007544EB" w:rsidRDefault="007544EB">
      <w:pPr>
        <w:rPr>
          <w:rFonts w:eastAsia="Times New Roman"/>
          <w:b/>
        </w:rPr>
      </w:pPr>
    </w:p>
    <w:p w14:paraId="053F8144" w14:textId="79C10E8B" w:rsidR="007544EB" w:rsidRDefault="007544EB" w:rsidP="007544EB">
      <w:pPr>
        <w:jc w:val="center"/>
        <w:rPr>
          <w:b/>
        </w:rPr>
      </w:pPr>
      <w:r>
        <w:rPr>
          <w:b/>
        </w:rPr>
        <w:t>Amy R. Smith</w:t>
      </w:r>
    </w:p>
    <w:p w14:paraId="704EC79F" w14:textId="77777777" w:rsidR="007544EB" w:rsidRDefault="007544EB" w:rsidP="007544EB">
      <w:pPr>
        <w:jc w:val="center"/>
        <w:rPr>
          <w:b/>
        </w:rPr>
      </w:pPr>
      <w:r>
        <w:rPr>
          <w:b/>
        </w:rPr>
        <w:t>Assistant Professor</w:t>
      </w:r>
    </w:p>
    <w:p w14:paraId="194D0843" w14:textId="77777777" w:rsidR="007544EB" w:rsidRDefault="007544EB" w:rsidP="007544EB">
      <w:pPr>
        <w:jc w:val="center"/>
      </w:pPr>
      <w:r>
        <w:t xml:space="preserve">146C </w:t>
      </w:r>
      <w:proofErr w:type="spellStart"/>
      <w:r>
        <w:t>Ruttan</w:t>
      </w:r>
      <w:proofErr w:type="spellEnd"/>
      <w:r>
        <w:t xml:space="preserve"> Hall</w:t>
      </w:r>
    </w:p>
    <w:p w14:paraId="3B42C297" w14:textId="77777777" w:rsidR="007544EB" w:rsidRDefault="007544EB" w:rsidP="007544EB">
      <w:pPr>
        <w:jc w:val="center"/>
      </w:pPr>
      <w:r>
        <w:t>St. Paul, MN 55108</w:t>
      </w:r>
    </w:p>
    <w:p w14:paraId="4721E0FC" w14:textId="77777777" w:rsidR="007544EB" w:rsidRDefault="007544EB" w:rsidP="007544EB">
      <w:pPr>
        <w:jc w:val="center"/>
      </w:pPr>
      <w:r>
        <w:t>612.624.6590</w:t>
      </w:r>
    </w:p>
    <w:p w14:paraId="0D927246" w14:textId="77777777" w:rsidR="00662C2D" w:rsidRDefault="00662C2D" w:rsidP="00662C2D">
      <w:pPr>
        <w:jc w:val="center"/>
      </w:pPr>
      <w:r w:rsidRPr="00364263">
        <w:t>arsmith@umn.edu</w:t>
      </w:r>
    </w:p>
    <w:p w14:paraId="7E57D305" w14:textId="77777777" w:rsidR="007544EB" w:rsidRDefault="007544EB" w:rsidP="007544EB">
      <w:pPr>
        <w:jc w:val="center"/>
      </w:pPr>
    </w:p>
    <w:p w14:paraId="460D6790" w14:textId="77777777" w:rsidR="007544EB" w:rsidRDefault="007544EB" w:rsidP="007544EB">
      <w:pPr>
        <w:jc w:val="center"/>
      </w:pPr>
    </w:p>
    <w:p w14:paraId="7A0005D4" w14:textId="77777777" w:rsidR="007544EB" w:rsidRDefault="007544EB" w:rsidP="007544EB">
      <w:pPr>
        <w:jc w:val="center"/>
      </w:pPr>
    </w:p>
    <w:p w14:paraId="53817B31" w14:textId="26DEA471" w:rsidR="007544EB" w:rsidRDefault="007544EB" w:rsidP="007544EB">
      <w:pPr>
        <w:jc w:val="center"/>
        <w:rPr>
          <w:b/>
        </w:rPr>
      </w:pPr>
      <w:r>
        <w:rPr>
          <w:b/>
        </w:rPr>
        <w:t xml:space="preserve">Laura </w:t>
      </w:r>
      <w:proofErr w:type="spellStart"/>
      <w:r>
        <w:rPr>
          <w:b/>
        </w:rPr>
        <w:t>Perticara</w:t>
      </w:r>
      <w:proofErr w:type="spellEnd"/>
    </w:p>
    <w:p w14:paraId="295FDB19" w14:textId="329EA6A2" w:rsidR="007544EB" w:rsidRDefault="007544EB" w:rsidP="007544EB">
      <w:pPr>
        <w:jc w:val="center"/>
        <w:rPr>
          <w:b/>
        </w:rPr>
      </w:pPr>
      <w:r>
        <w:rPr>
          <w:b/>
        </w:rPr>
        <w:t>Graduate Student</w:t>
      </w:r>
    </w:p>
    <w:p w14:paraId="56FE6F48" w14:textId="11CECFFA" w:rsidR="007544EB" w:rsidRDefault="007544EB" w:rsidP="007544EB">
      <w:pPr>
        <w:jc w:val="center"/>
      </w:pPr>
      <w:r>
        <w:t>406.369.2451</w:t>
      </w:r>
    </w:p>
    <w:p w14:paraId="3B261953" w14:textId="77777777" w:rsidR="00662C2D" w:rsidRDefault="00662C2D" w:rsidP="00662C2D">
      <w:pPr>
        <w:jc w:val="center"/>
      </w:pPr>
      <w:r>
        <w:t>Perti006</w:t>
      </w:r>
      <w:r w:rsidRPr="00364263">
        <w:t>@umn.edu</w:t>
      </w:r>
    </w:p>
    <w:p w14:paraId="1751DAB4" w14:textId="77777777" w:rsidR="007544EB" w:rsidRDefault="007544EB" w:rsidP="007544EB">
      <w:pPr>
        <w:jc w:val="center"/>
      </w:pPr>
    </w:p>
    <w:p w14:paraId="02CD4B36" w14:textId="77777777" w:rsidR="007544EB" w:rsidRDefault="007544EB" w:rsidP="007544EB">
      <w:pPr>
        <w:jc w:val="center"/>
      </w:pPr>
    </w:p>
    <w:p w14:paraId="18CB0B85" w14:textId="77777777" w:rsidR="007544EB" w:rsidRDefault="007544EB" w:rsidP="007544EB">
      <w:pPr>
        <w:jc w:val="center"/>
      </w:pPr>
    </w:p>
    <w:p w14:paraId="40C5ABC4" w14:textId="7FE22429" w:rsidR="007544EB" w:rsidRDefault="007544EB" w:rsidP="007544EB">
      <w:pPr>
        <w:jc w:val="center"/>
        <w:rPr>
          <w:b/>
        </w:rPr>
      </w:pPr>
      <w:r>
        <w:rPr>
          <w:b/>
        </w:rPr>
        <w:t>Rebecca D. Swenson</w:t>
      </w:r>
    </w:p>
    <w:p w14:paraId="7A5B612E" w14:textId="77777777" w:rsidR="007544EB" w:rsidRDefault="007544EB" w:rsidP="007544EB">
      <w:pPr>
        <w:jc w:val="center"/>
        <w:rPr>
          <w:b/>
        </w:rPr>
      </w:pPr>
      <w:r>
        <w:rPr>
          <w:b/>
        </w:rPr>
        <w:t>Assistant Professor</w:t>
      </w:r>
    </w:p>
    <w:p w14:paraId="1EAC1FE4" w14:textId="77777777" w:rsidR="007544EB" w:rsidRDefault="007544EB" w:rsidP="007544EB">
      <w:pPr>
        <w:jc w:val="center"/>
      </w:pPr>
      <w:r>
        <w:t xml:space="preserve">146C </w:t>
      </w:r>
      <w:proofErr w:type="spellStart"/>
      <w:r>
        <w:t>Ruttan</w:t>
      </w:r>
      <w:proofErr w:type="spellEnd"/>
      <w:r>
        <w:t xml:space="preserve"> Hall</w:t>
      </w:r>
    </w:p>
    <w:p w14:paraId="4C50432C" w14:textId="77777777" w:rsidR="007544EB" w:rsidRDefault="007544EB" w:rsidP="007544EB">
      <w:pPr>
        <w:jc w:val="center"/>
      </w:pPr>
      <w:r>
        <w:t>St. Paul, MN 55108</w:t>
      </w:r>
    </w:p>
    <w:p w14:paraId="7CDA3FB1" w14:textId="1FA11C74" w:rsidR="007544EB" w:rsidRDefault="007544EB" w:rsidP="007544EB">
      <w:pPr>
        <w:jc w:val="center"/>
      </w:pPr>
      <w:r>
        <w:t>612.624.3866</w:t>
      </w:r>
    </w:p>
    <w:p w14:paraId="69ABA991" w14:textId="77777777" w:rsidR="00662C2D" w:rsidRDefault="00662C2D" w:rsidP="00662C2D">
      <w:pPr>
        <w:jc w:val="center"/>
      </w:pPr>
      <w:r w:rsidRPr="007544EB">
        <w:t>boli0028@umn.edu</w:t>
      </w:r>
    </w:p>
    <w:p w14:paraId="059A3678" w14:textId="77777777" w:rsidR="007544EB" w:rsidRDefault="007544EB" w:rsidP="007544EB">
      <w:pPr>
        <w:jc w:val="center"/>
      </w:pPr>
    </w:p>
    <w:p w14:paraId="3A3FE875" w14:textId="77777777" w:rsidR="007544EB" w:rsidRDefault="007544EB" w:rsidP="007544EB">
      <w:pPr>
        <w:jc w:val="center"/>
      </w:pPr>
    </w:p>
    <w:p w14:paraId="0A474FA5" w14:textId="77777777" w:rsidR="007544EB" w:rsidRDefault="007544EB" w:rsidP="007544EB">
      <w:pPr>
        <w:jc w:val="center"/>
      </w:pPr>
    </w:p>
    <w:p w14:paraId="4F840B55" w14:textId="77777777" w:rsidR="007544EB" w:rsidRDefault="007544EB">
      <w:pPr>
        <w:rPr>
          <w:rFonts w:eastAsia="Times New Roman"/>
          <w:b/>
        </w:rPr>
      </w:pPr>
    </w:p>
    <w:p w14:paraId="7CA0F28B" w14:textId="77777777" w:rsidR="007544EB" w:rsidRDefault="007544EB">
      <w:pPr>
        <w:spacing w:line="276" w:lineRule="auto"/>
        <w:rPr>
          <w:rFonts w:eastAsia="Times New Roman"/>
          <w:b/>
        </w:rPr>
      </w:pPr>
      <w:r>
        <w:rPr>
          <w:rFonts w:eastAsia="Times New Roman"/>
          <w:b/>
        </w:rPr>
        <w:br w:type="page"/>
      </w:r>
    </w:p>
    <w:p w14:paraId="6336A8B5" w14:textId="2D5A4F4C" w:rsidR="00725BDC" w:rsidRDefault="00F1161F">
      <w:pPr>
        <w:spacing w:after="200"/>
        <w:jc w:val="center"/>
      </w:pPr>
      <w:r>
        <w:rPr>
          <w:rFonts w:eastAsia="Times New Roman"/>
          <w:b/>
        </w:rPr>
        <w:lastRenderedPageBreak/>
        <w:t>Understanding the Impact of a “Faces of Ag” Tour on Undergraduate Students</w:t>
      </w:r>
    </w:p>
    <w:p w14:paraId="42F31C58" w14:textId="77777777" w:rsidR="00725BDC" w:rsidRDefault="00F1161F">
      <w:pPr>
        <w:jc w:val="center"/>
      </w:pPr>
      <w:r>
        <w:rPr>
          <w:rFonts w:eastAsia="Times New Roman"/>
          <w:b/>
        </w:rPr>
        <w:t>Introduction</w:t>
      </w:r>
    </w:p>
    <w:p w14:paraId="039327BA" w14:textId="37DCCAC0" w:rsidR="00725BDC" w:rsidRDefault="00F1161F">
      <w:r>
        <w:rPr>
          <w:rFonts w:eastAsia="Times New Roman"/>
        </w:rPr>
        <w:t>The National Research Council’s (1988) seminal report sets the direction of agricultural education. However, since the publication of that report, the face of agriculture has changed greatly; in fact, agriculture has expanded to include issues such as local food, organic production, biotechnology, environmentalism, and precision agriculture (</w:t>
      </w:r>
      <w:proofErr w:type="spellStart"/>
      <w:r>
        <w:rPr>
          <w:rFonts w:eastAsia="Times New Roman"/>
        </w:rPr>
        <w:t>Kovar</w:t>
      </w:r>
      <w:proofErr w:type="spellEnd"/>
      <w:r>
        <w:rPr>
          <w:rFonts w:eastAsia="Times New Roman"/>
        </w:rPr>
        <w:t xml:space="preserve"> &amp; Ball, 2013). To really understand agriculture, one must understand its varied faces. While many undergraduate students in a college of agriculture have experience or involvement in some aspect of agriculture, very few - if any - have an appreciation or understanding of all areas of agriculture. One potential way to address this need among college students is through agricultural tours. Agricultural tours are an increasingly popular way to inform consumers about agriculture (</w:t>
      </w:r>
      <w:proofErr w:type="spellStart"/>
      <w:r>
        <w:rPr>
          <w:rFonts w:eastAsia="Times New Roman"/>
        </w:rPr>
        <w:t>Stebner</w:t>
      </w:r>
      <w:proofErr w:type="spellEnd"/>
      <w:r>
        <w:rPr>
          <w:rFonts w:eastAsia="Times New Roman"/>
        </w:rPr>
        <w:t xml:space="preserve">, Ray, Becker, &amp; Baker, 2015) and can provide exposure to previously unfamiliar faces of agriculture. </w:t>
      </w:r>
    </w:p>
    <w:p w14:paraId="3F67B02F" w14:textId="77777777" w:rsidR="00725BDC" w:rsidRDefault="00725BDC"/>
    <w:p w14:paraId="07DEDBF6" w14:textId="77777777" w:rsidR="00725BDC" w:rsidRDefault="00F1161F">
      <w:pPr>
        <w:jc w:val="center"/>
      </w:pPr>
      <w:r>
        <w:rPr>
          <w:rFonts w:eastAsia="Times New Roman"/>
          <w:b/>
        </w:rPr>
        <w:t>Conceptual/Theoretical Framework</w:t>
      </w:r>
    </w:p>
    <w:p w14:paraId="0BA91A87" w14:textId="3B24E659" w:rsidR="00725BDC" w:rsidRDefault="00F1161F">
      <w:r>
        <w:rPr>
          <w:rFonts w:eastAsia="Times New Roman"/>
        </w:rPr>
        <w:t xml:space="preserve">Agricultural educators have long understood the benefits of experiential learning </w:t>
      </w:r>
      <w:r>
        <w:rPr>
          <w:rFonts w:eastAsia="Times New Roman"/>
          <w:b/>
        </w:rPr>
        <w:t>(</w:t>
      </w:r>
      <w:proofErr w:type="spellStart"/>
      <w:r>
        <w:rPr>
          <w:rFonts w:eastAsia="Times New Roman"/>
        </w:rPr>
        <w:t>Knobloch</w:t>
      </w:r>
      <w:proofErr w:type="spellEnd"/>
      <w:r>
        <w:rPr>
          <w:rFonts w:eastAsia="Times New Roman"/>
        </w:rPr>
        <w:t xml:space="preserve">, 2003; Roberts, 2006). Parr and </w:t>
      </w:r>
      <w:proofErr w:type="spellStart"/>
      <w:r>
        <w:rPr>
          <w:rFonts w:eastAsia="Times New Roman"/>
        </w:rPr>
        <w:t>Trexler</w:t>
      </w:r>
      <w:proofErr w:type="spellEnd"/>
      <w:r>
        <w:rPr>
          <w:rFonts w:eastAsia="Times New Roman"/>
        </w:rPr>
        <w:t xml:space="preserve"> (2011) state that “learning is the process of discovery, expansion (assimilation), and revision (accommodation) of mental schemas and frames [and is] dependent on both the learning and the environment” (p. 174). Experiences can impact students’ ways of understanding the world (</w:t>
      </w:r>
      <w:proofErr w:type="spellStart"/>
      <w:r>
        <w:rPr>
          <w:rFonts w:eastAsia="Times New Roman"/>
        </w:rPr>
        <w:t>Knobloch</w:t>
      </w:r>
      <w:proofErr w:type="spellEnd"/>
      <w:r>
        <w:rPr>
          <w:rFonts w:eastAsia="Times New Roman"/>
        </w:rPr>
        <w:t xml:space="preserve">, 2003) and can reduce misconceptions (Specht, </w:t>
      </w:r>
      <w:proofErr w:type="spellStart"/>
      <w:r>
        <w:rPr>
          <w:rFonts w:eastAsia="Times New Roman"/>
        </w:rPr>
        <w:t>McKim</w:t>
      </w:r>
      <w:proofErr w:type="spellEnd"/>
      <w:r>
        <w:rPr>
          <w:rFonts w:eastAsia="Times New Roman"/>
        </w:rPr>
        <w:t>, &amp; Rutherford, 201</w:t>
      </w:r>
      <w:r w:rsidR="00E748B4">
        <w:rPr>
          <w:rFonts w:eastAsia="Times New Roman"/>
        </w:rPr>
        <w:t>4</w:t>
      </w:r>
      <w:r>
        <w:rPr>
          <w:rFonts w:eastAsia="Times New Roman"/>
        </w:rPr>
        <w:t xml:space="preserve">). Such experiences depend on the duration, level, setting and intended outcome (Roberts, 2006). </w:t>
      </w:r>
    </w:p>
    <w:p w14:paraId="716B5C52" w14:textId="77777777" w:rsidR="00725BDC" w:rsidRDefault="00725BDC"/>
    <w:p w14:paraId="3EC1A73B" w14:textId="77777777" w:rsidR="00725BDC" w:rsidRDefault="00F1161F">
      <w:pPr>
        <w:jc w:val="center"/>
      </w:pPr>
      <w:r>
        <w:rPr>
          <w:rFonts w:eastAsia="Times New Roman"/>
          <w:b/>
        </w:rPr>
        <w:t>Methodology</w:t>
      </w:r>
    </w:p>
    <w:p w14:paraId="26395C93" w14:textId="440D80E6" w:rsidR="00725BDC" w:rsidRPr="001B6E6B" w:rsidRDefault="00F1161F">
      <w:r>
        <w:rPr>
          <w:rFonts w:eastAsia="Times New Roman"/>
        </w:rPr>
        <w:t xml:space="preserve">This project is a portion of a larger study investigating the impact of a one-day, non-formal “Faces of Agriculture” tour on undergraduate students’ understanding of the breadth and diversity of agriculture. The project involved undergraduate students </w:t>
      </w:r>
      <w:r w:rsidR="007544EB">
        <w:rPr>
          <w:rFonts w:eastAsia="Times New Roman"/>
        </w:rPr>
        <w:t xml:space="preserve">enrolled in </w:t>
      </w:r>
      <w:r>
        <w:rPr>
          <w:rFonts w:eastAsia="Times New Roman"/>
        </w:rPr>
        <w:t xml:space="preserve">agriculture-related courses at a large, Midwestern university. Students could attend one or two tour(s), each of which visited three points of interest designed to provide an opportunity to see agriculture in a conventional setting, an urban environment, and from a cultural perspective. In total, the six tour stops included a dairy farm, dairy processing and retail </w:t>
      </w:r>
      <w:r w:rsidRPr="001B6E6B">
        <w:rPr>
          <w:rFonts w:eastAsia="Times New Roman"/>
        </w:rPr>
        <w:t xml:space="preserve">facility, Native American organic farm, hops farm, urban aquaponics facility, and Hmong cooperative farm. Students completed a </w:t>
      </w:r>
      <w:r w:rsidR="007544EB" w:rsidRPr="001B6E6B">
        <w:rPr>
          <w:rFonts w:eastAsia="Times New Roman"/>
        </w:rPr>
        <w:t xml:space="preserve">researcher designed, </w:t>
      </w:r>
      <w:r w:rsidRPr="001B6E6B">
        <w:rPr>
          <w:rFonts w:eastAsia="Times New Roman"/>
        </w:rPr>
        <w:t>post-tour questionnaire focused on the experience and their views of agriculture. Researchers calculated frequencies and percentages for five Likert-type items and used a grounded theory approach to open-coding (Strauss</w:t>
      </w:r>
      <w:r w:rsidR="00A1139A" w:rsidRPr="001B6E6B">
        <w:rPr>
          <w:rFonts w:eastAsia="Times New Roman"/>
        </w:rPr>
        <w:t xml:space="preserve"> &amp; Corbin</w:t>
      </w:r>
      <w:r w:rsidRPr="001B6E6B">
        <w:rPr>
          <w:rFonts w:eastAsia="Times New Roman"/>
        </w:rPr>
        <w:t>, 1998) to identify themes in seven open-ended questions.</w:t>
      </w:r>
    </w:p>
    <w:p w14:paraId="01A13A97" w14:textId="77777777" w:rsidR="00725BDC" w:rsidRPr="001B6E6B" w:rsidRDefault="00725BDC"/>
    <w:p w14:paraId="21515566" w14:textId="77777777" w:rsidR="00725BDC" w:rsidRPr="001B6E6B" w:rsidRDefault="00F1161F">
      <w:pPr>
        <w:jc w:val="center"/>
      </w:pPr>
      <w:r w:rsidRPr="001B6E6B">
        <w:rPr>
          <w:rFonts w:eastAsia="Times New Roman"/>
          <w:b/>
        </w:rPr>
        <w:t>Results/Findings</w:t>
      </w:r>
    </w:p>
    <w:p w14:paraId="4845F9C8" w14:textId="18534660" w:rsidR="00725BDC" w:rsidRDefault="00F1161F">
      <w:r w:rsidRPr="001B6E6B">
        <w:rPr>
          <w:rFonts w:eastAsia="Times New Roman"/>
        </w:rPr>
        <w:t>A total of 29 undergraduate students participated in the tours; each completed the post-questionnair</w:t>
      </w:r>
      <w:r w:rsidR="007544EB" w:rsidRPr="001B6E6B">
        <w:rPr>
          <w:rFonts w:eastAsia="Times New Roman"/>
        </w:rPr>
        <w:t>e, yielding a 100% response rate</w:t>
      </w:r>
      <w:r w:rsidRPr="001B6E6B">
        <w:rPr>
          <w:rFonts w:eastAsia="Times New Roman"/>
        </w:rPr>
        <w:t xml:space="preserve">. A large majority (93%) of respondents attended one tour. All respondents </w:t>
      </w:r>
      <w:r w:rsidRPr="001B6E6B">
        <w:rPr>
          <w:rFonts w:eastAsia="Times New Roman"/>
          <w:i/>
        </w:rPr>
        <w:t>agreed</w:t>
      </w:r>
      <w:r w:rsidRPr="001B6E6B">
        <w:rPr>
          <w:rFonts w:eastAsia="Times New Roman"/>
        </w:rPr>
        <w:t xml:space="preserve"> or </w:t>
      </w:r>
      <w:r w:rsidRPr="001B6E6B">
        <w:rPr>
          <w:rFonts w:eastAsia="Times New Roman"/>
          <w:i/>
        </w:rPr>
        <w:t>strongly agreed</w:t>
      </w:r>
      <w:r w:rsidRPr="001B6E6B">
        <w:rPr>
          <w:rFonts w:eastAsia="Times New Roman"/>
        </w:rPr>
        <w:t xml:space="preserve"> that the tour</w:t>
      </w:r>
      <w:r>
        <w:rPr>
          <w:rFonts w:eastAsia="Times New Roman"/>
        </w:rPr>
        <w:t xml:space="preserve"> was educational. A vast majority of students also </w:t>
      </w:r>
      <w:r>
        <w:rPr>
          <w:rFonts w:eastAsia="Times New Roman"/>
          <w:i/>
        </w:rPr>
        <w:t>agreed</w:t>
      </w:r>
      <w:r>
        <w:rPr>
          <w:rFonts w:eastAsia="Times New Roman"/>
        </w:rPr>
        <w:t xml:space="preserve"> or </w:t>
      </w:r>
      <w:r>
        <w:rPr>
          <w:rFonts w:eastAsia="Times New Roman"/>
          <w:i/>
        </w:rPr>
        <w:t>strongly agreed</w:t>
      </w:r>
      <w:r>
        <w:rPr>
          <w:rFonts w:eastAsia="Times New Roman"/>
        </w:rPr>
        <w:t xml:space="preserve"> that the tour was a good investment of their time (97%), was relevant to their education (97%) and career plans (90%), and was engaging (87%). Three key themes emerged from students’ responses to open-ended questions: improved understanding of the </w:t>
      </w:r>
      <w:r>
        <w:rPr>
          <w:rFonts w:eastAsia="Times New Roman"/>
          <w:b/>
        </w:rPr>
        <w:t>diversity of agriculture</w:t>
      </w:r>
      <w:r>
        <w:rPr>
          <w:rFonts w:eastAsia="Times New Roman"/>
        </w:rPr>
        <w:t xml:space="preserve">, recognition of a </w:t>
      </w:r>
      <w:r>
        <w:rPr>
          <w:rFonts w:eastAsia="Times New Roman"/>
          <w:b/>
        </w:rPr>
        <w:t>common ground among agriculturists,</w:t>
      </w:r>
      <w:r>
        <w:rPr>
          <w:rFonts w:eastAsia="Times New Roman"/>
        </w:rPr>
        <w:t xml:space="preserve"> and reflection on </w:t>
      </w:r>
      <w:r>
        <w:rPr>
          <w:rFonts w:eastAsia="Times New Roman"/>
          <w:b/>
        </w:rPr>
        <w:t xml:space="preserve">their own cultural values and </w:t>
      </w:r>
      <w:bookmarkStart w:id="0" w:name="_GoBack"/>
      <w:bookmarkEnd w:id="0"/>
      <w:r>
        <w:rPr>
          <w:rFonts w:eastAsia="Times New Roman"/>
          <w:b/>
        </w:rPr>
        <w:t>perspectives.</w:t>
      </w:r>
      <w:r>
        <w:rPr>
          <w:rFonts w:eastAsia="Times New Roman"/>
        </w:rPr>
        <w:t xml:space="preserve"> </w:t>
      </w:r>
    </w:p>
    <w:p w14:paraId="3F8C36D3" w14:textId="77777777" w:rsidR="00725BDC" w:rsidRDefault="00725BDC"/>
    <w:p w14:paraId="012011A0" w14:textId="7140172C" w:rsidR="00725BDC" w:rsidRDefault="00F1161F">
      <w:r>
        <w:rPr>
          <w:rFonts w:eastAsia="Times New Roman"/>
          <w:b/>
          <w:i/>
        </w:rPr>
        <w:lastRenderedPageBreak/>
        <w:t xml:space="preserve">Diversity in agriculture. </w:t>
      </w:r>
      <w:r>
        <w:rPr>
          <w:rFonts w:eastAsia="Times New Roman"/>
        </w:rPr>
        <w:t>Although many students noted their definition of agriculture did not change, as it already encompassed all methods of producing food, the tour did expand their views on the breadth of farming practices, levels, types of commodities, locations of food production, and characteristics of farmers. For example, one student said, “There are many different forms of agriculture and each plays a role. The tour showed me different levels, types, and programs farms have to offer. Each lifestyle was different and each farm produced food for a different reason.” Some students came from production agriculture backgrounds but were less familiar other types of agriculture: “I have only been exposed to one type of farming and that was the conventional, rural type. I had no idea there could be so many different faces of farming that can represent agriculture.” This theme is nicely summarized by another student’s comment, “agriculture is made up of many different faces and people from different walks of life.”</w:t>
      </w:r>
    </w:p>
    <w:p w14:paraId="4650D9DA" w14:textId="77777777" w:rsidR="00725BDC" w:rsidRDefault="00725BDC"/>
    <w:p w14:paraId="26C258EA" w14:textId="42C5E028" w:rsidR="00725BDC" w:rsidRDefault="00F1161F">
      <w:r>
        <w:rPr>
          <w:rFonts w:eastAsia="Times New Roman"/>
          <w:b/>
          <w:i/>
        </w:rPr>
        <w:t>Common ground.</w:t>
      </w:r>
      <w:r>
        <w:rPr>
          <w:rFonts w:eastAsia="Times New Roman"/>
        </w:rPr>
        <w:t xml:space="preserve"> Although disagreement likely remains regarding the philosophies and mechanics of various farming techniques, students recognized that there was a shared passion, mission, and appreciation for agriculture among tour hosts. One student expressed appreciation for the opportunity “to connect with and learn more about farmers who shared a common passion with all of us students.” Another student said, “Regardless of our backgrounds, profession, creed, or other, all of us in agriculture are people feeding, clothing, and entertaining our families, large and small.” </w:t>
      </w:r>
    </w:p>
    <w:p w14:paraId="08D9CA59" w14:textId="77777777" w:rsidR="00725BDC" w:rsidRDefault="00725BDC"/>
    <w:p w14:paraId="26347ACC" w14:textId="367EC95D" w:rsidR="00725BDC" w:rsidRDefault="00F1161F">
      <w:r>
        <w:rPr>
          <w:rFonts w:eastAsia="Times New Roman"/>
          <w:b/>
          <w:i/>
        </w:rPr>
        <w:t>Self-reflection.</w:t>
      </w:r>
      <w:r>
        <w:rPr>
          <w:rFonts w:eastAsia="Times New Roman"/>
        </w:rPr>
        <w:t xml:space="preserve"> As students learned about diverse operations, they came to deeper understanding of their own cultural and personal biases related to agriculture. In some cases, students were simply aware: “I think I came into the tour a bit more biased than I ought to have.” Other students grappled more de</w:t>
      </w:r>
      <w:r w:rsidR="00E748B4">
        <w:rPr>
          <w:rFonts w:eastAsia="Times New Roman"/>
        </w:rPr>
        <w:t xml:space="preserve">eply. </w:t>
      </w:r>
      <w:r>
        <w:rPr>
          <w:rFonts w:eastAsia="Times New Roman"/>
        </w:rPr>
        <w:t xml:space="preserve">When asked what beliefs were challenged, one respondent </w:t>
      </w:r>
    </w:p>
    <w:p w14:paraId="46579C01" w14:textId="77777777" w:rsidR="00725BDC" w:rsidRDefault="00725BDC"/>
    <w:p w14:paraId="2A08BF89" w14:textId="467B43B3" w:rsidR="00725BDC" w:rsidRDefault="00F1161F">
      <w:pPr>
        <w:ind w:left="720" w:right="720"/>
        <w:jc w:val="both"/>
      </w:pPr>
      <w:r>
        <w:rPr>
          <w:rFonts w:eastAsia="Times New Roman"/>
        </w:rPr>
        <w:t>...</w:t>
      </w:r>
      <w:proofErr w:type="spellStart"/>
      <w:r>
        <w:rPr>
          <w:rFonts w:eastAsia="Times New Roman"/>
        </w:rPr>
        <w:t>realiz</w:t>
      </w:r>
      <w:proofErr w:type="spellEnd"/>
      <w:r>
        <w:rPr>
          <w:rFonts w:eastAsia="Times New Roman"/>
        </w:rPr>
        <w:t>[</w:t>
      </w:r>
      <w:proofErr w:type="spellStart"/>
      <w:r>
        <w:rPr>
          <w:rFonts w:eastAsia="Times New Roman"/>
        </w:rPr>
        <w:t>ed</w:t>
      </w:r>
      <w:proofErr w:type="spellEnd"/>
      <w:r>
        <w:rPr>
          <w:rFonts w:eastAsia="Times New Roman"/>
        </w:rPr>
        <w:t>] there is no one right</w:t>
      </w:r>
      <w:r w:rsidR="007544EB">
        <w:rPr>
          <w:rFonts w:eastAsia="Times New Roman"/>
        </w:rPr>
        <w:t xml:space="preserve"> way to operate a farm. [...] </w:t>
      </w:r>
      <w:r>
        <w:rPr>
          <w:rFonts w:eastAsia="Times New Roman"/>
        </w:rPr>
        <w:t>While I may think [...] doesn't make me right.  It just means I have a different opinion than others. [...] I didn't realize this change in belief until the next day when I was reflecting on the tour. [</w:t>
      </w:r>
      <w:r w:rsidR="007544EB">
        <w:rPr>
          <w:rFonts w:eastAsia="Times New Roman"/>
        </w:rPr>
        <w:t>.</w:t>
      </w:r>
      <w:r>
        <w:rPr>
          <w:rFonts w:eastAsia="Times New Roman"/>
        </w:rPr>
        <w:t>..] I now realize that the people who grow organic crops enjoy what they are doing just like I do when I am working on the farm.</w:t>
      </w:r>
    </w:p>
    <w:p w14:paraId="2CA8B733" w14:textId="77777777" w:rsidR="00725BDC" w:rsidRDefault="00725BDC"/>
    <w:p w14:paraId="5F88DD7E" w14:textId="77777777" w:rsidR="00725BDC" w:rsidRDefault="00F1161F">
      <w:pPr>
        <w:jc w:val="center"/>
      </w:pPr>
      <w:r>
        <w:rPr>
          <w:rFonts w:eastAsia="Times New Roman"/>
          <w:b/>
        </w:rPr>
        <w:t>Conclusions/Implications/Recommendations</w:t>
      </w:r>
    </w:p>
    <w:p w14:paraId="20A60CEF" w14:textId="4C5E3432" w:rsidR="00725BDC" w:rsidRDefault="00F1161F">
      <w:pPr>
        <w:spacing w:after="200"/>
      </w:pPr>
      <w:r>
        <w:rPr>
          <w:rFonts w:eastAsia="Times New Roman"/>
          <w:color w:val="1A1A1A"/>
        </w:rPr>
        <w:t xml:space="preserve">Students </w:t>
      </w:r>
      <w:r w:rsidR="006B0440">
        <w:rPr>
          <w:rFonts w:eastAsia="Times New Roman"/>
          <w:color w:val="1A1A1A"/>
        </w:rPr>
        <w:t>were</w:t>
      </w:r>
      <w:r>
        <w:rPr>
          <w:rFonts w:eastAsia="Times New Roman"/>
          <w:color w:val="1A1A1A"/>
        </w:rPr>
        <w:t xml:space="preserve"> aware that a variety of agricultural practices exist. Notably, even across philosophical and technical divides, students notice</w:t>
      </w:r>
      <w:r w:rsidR="006B0440">
        <w:rPr>
          <w:rFonts w:eastAsia="Times New Roman"/>
          <w:color w:val="1A1A1A"/>
        </w:rPr>
        <w:t>d</w:t>
      </w:r>
      <w:r>
        <w:rPr>
          <w:rFonts w:eastAsia="Times New Roman"/>
          <w:color w:val="1A1A1A"/>
        </w:rPr>
        <w:t xml:space="preserve"> an overarching and shared passion for agriculture. Some students </w:t>
      </w:r>
      <w:r w:rsidR="006B0440">
        <w:rPr>
          <w:rFonts w:eastAsia="Times New Roman"/>
          <w:color w:val="1A1A1A"/>
        </w:rPr>
        <w:t>were</w:t>
      </w:r>
      <w:r>
        <w:rPr>
          <w:rFonts w:eastAsia="Times New Roman"/>
          <w:color w:val="1A1A1A"/>
        </w:rPr>
        <w:t xml:space="preserve"> cognizant of their assumptions and biases</w:t>
      </w:r>
      <w:r w:rsidR="006B0440">
        <w:rPr>
          <w:rFonts w:eastAsia="Times New Roman"/>
          <w:color w:val="1A1A1A"/>
        </w:rPr>
        <w:t>. This wa</w:t>
      </w:r>
      <w:r>
        <w:rPr>
          <w:rFonts w:eastAsia="Times New Roman"/>
          <w:color w:val="1A1A1A"/>
        </w:rPr>
        <w:t>s particularly valuable, as the tour was part of a class that included other activities to explore self-awareness and cultural competence. Some students stated their knowledge and expectations were unchanged, though answers to open-ended questions suggest</w:t>
      </w:r>
      <w:r w:rsidR="006B0440">
        <w:rPr>
          <w:rFonts w:eastAsia="Times New Roman"/>
          <w:color w:val="1A1A1A"/>
        </w:rPr>
        <w:t>ed</w:t>
      </w:r>
      <w:r>
        <w:rPr>
          <w:rFonts w:eastAsia="Times New Roman"/>
          <w:color w:val="1A1A1A"/>
        </w:rPr>
        <w:t xml:space="preserve"> otherwise. Overall, the tour(s) helped students to further grapple with expectations and exposed them to new forms of agriculture. </w:t>
      </w:r>
      <w:r>
        <w:rPr>
          <w:rFonts w:eastAsia="Times New Roman"/>
        </w:rPr>
        <w:t xml:space="preserve">This was congruent with </w:t>
      </w:r>
      <w:proofErr w:type="spellStart"/>
      <w:r>
        <w:rPr>
          <w:rFonts w:eastAsia="Times New Roman"/>
        </w:rPr>
        <w:t>Knobloch’s</w:t>
      </w:r>
      <w:proofErr w:type="spellEnd"/>
      <w:r>
        <w:rPr>
          <w:rFonts w:eastAsia="Times New Roman"/>
        </w:rPr>
        <w:t xml:space="preserve"> (2003) and Specht et al.’s (201</w:t>
      </w:r>
      <w:r w:rsidR="004A1E6B">
        <w:rPr>
          <w:rFonts w:eastAsia="Times New Roman"/>
        </w:rPr>
        <w:t>4</w:t>
      </w:r>
      <w:r>
        <w:rPr>
          <w:rFonts w:eastAsia="Times New Roman"/>
        </w:rPr>
        <w:t xml:space="preserve">) views </w:t>
      </w:r>
      <w:r w:rsidR="00A1139A">
        <w:rPr>
          <w:rFonts w:eastAsia="Times New Roman"/>
        </w:rPr>
        <w:t>that</w:t>
      </w:r>
      <w:r>
        <w:rPr>
          <w:rFonts w:eastAsia="Times New Roman"/>
        </w:rPr>
        <w:t xml:space="preserve"> experiences increas</w:t>
      </w:r>
      <w:r w:rsidR="00A1139A">
        <w:rPr>
          <w:rFonts w:eastAsia="Times New Roman"/>
        </w:rPr>
        <w:t>e</w:t>
      </w:r>
      <w:r>
        <w:rPr>
          <w:rFonts w:eastAsia="Times New Roman"/>
        </w:rPr>
        <w:t xml:space="preserve"> understanding and reduc</w:t>
      </w:r>
      <w:r w:rsidR="00A1139A">
        <w:rPr>
          <w:rFonts w:eastAsia="Times New Roman"/>
        </w:rPr>
        <w:t>e</w:t>
      </w:r>
      <w:r>
        <w:rPr>
          <w:rFonts w:eastAsia="Times New Roman"/>
        </w:rPr>
        <w:t xml:space="preserve"> misconceptions. </w:t>
      </w:r>
    </w:p>
    <w:p w14:paraId="1D4ADE5B" w14:textId="55054957" w:rsidR="00725BDC" w:rsidRDefault="00F1161F">
      <w:pPr>
        <w:spacing w:after="200"/>
      </w:pPr>
      <w:r>
        <w:rPr>
          <w:rFonts w:eastAsia="Times New Roman"/>
          <w:color w:val="1A1A1A"/>
        </w:rPr>
        <w:t>Further research is necessary to see if changes in studen</w:t>
      </w:r>
      <w:r w:rsidR="004A1E6B">
        <w:rPr>
          <w:rFonts w:eastAsia="Times New Roman"/>
          <w:color w:val="1A1A1A"/>
        </w:rPr>
        <w:t>t</w:t>
      </w:r>
      <w:r w:rsidR="007131D1">
        <w:rPr>
          <w:rFonts w:eastAsia="Times New Roman"/>
          <w:color w:val="1A1A1A"/>
        </w:rPr>
        <w:t>s’</w:t>
      </w:r>
      <w:r w:rsidR="004A1E6B">
        <w:rPr>
          <w:rFonts w:eastAsia="Times New Roman"/>
          <w:color w:val="1A1A1A"/>
        </w:rPr>
        <w:t xml:space="preserve"> perspectives are </w:t>
      </w:r>
      <w:r w:rsidR="007131D1">
        <w:rPr>
          <w:rFonts w:eastAsia="Times New Roman"/>
          <w:color w:val="1A1A1A"/>
        </w:rPr>
        <w:t>long lasting</w:t>
      </w:r>
      <w:r w:rsidR="004A1E6B">
        <w:rPr>
          <w:rFonts w:eastAsia="Times New Roman"/>
          <w:color w:val="1A1A1A"/>
        </w:rPr>
        <w:t xml:space="preserve"> and </w:t>
      </w:r>
      <w:r w:rsidR="006B0440">
        <w:rPr>
          <w:rFonts w:eastAsia="Times New Roman"/>
          <w:color w:val="1A1A1A"/>
        </w:rPr>
        <w:t xml:space="preserve">truly </w:t>
      </w:r>
      <w:r w:rsidR="004A1E6B">
        <w:rPr>
          <w:rFonts w:eastAsia="Times New Roman"/>
          <w:color w:val="1A1A1A"/>
        </w:rPr>
        <w:t xml:space="preserve">impact </w:t>
      </w:r>
      <w:r>
        <w:rPr>
          <w:rFonts w:eastAsia="Times New Roman"/>
          <w:color w:val="1A1A1A"/>
        </w:rPr>
        <w:t xml:space="preserve">students’ behaviors. </w:t>
      </w:r>
      <w:r w:rsidR="007131D1">
        <w:rPr>
          <w:rFonts w:eastAsia="Times New Roman"/>
          <w:color w:val="1A1A1A"/>
        </w:rPr>
        <w:t>O</w:t>
      </w:r>
      <w:r>
        <w:rPr>
          <w:rFonts w:eastAsia="Times New Roman"/>
          <w:color w:val="1A1A1A"/>
        </w:rPr>
        <w:t>ne student mentioned renewed hope in becoming a farmer</w:t>
      </w:r>
      <w:r w:rsidR="007131D1">
        <w:rPr>
          <w:rFonts w:eastAsia="Times New Roman"/>
          <w:color w:val="1A1A1A"/>
        </w:rPr>
        <w:t xml:space="preserve"> due to the tour; i</w:t>
      </w:r>
      <w:r>
        <w:rPr>
          <w:rFonts w:eastAsia="Times New Roman"/>
          <w:color w:val="1A1A1A"/>
        </w:rPr>
        <w:t>t would be interesting t</w:t>
      </w:r>
      <w:r w:rsidR="007131D1">
        <w:rPr>
          <w:rFonts w:eastAsia="Times New Roman"/>
          <w:color w:val="1A1A1A"/>
        </w:rPr>
        <w:t xml:space="preserve">o learn if other students’ </w:t>
      </w:r>
      <w:r>
        <w:rPr>
          <w:rFonts w:eastAsia="Times New Roman"/>
          <w:color w:val="1A1A1A"/>
        </w:rPr>
        <w:t>career paths were impacted</w:t>
      </w:r>
      <w:r w:rsidR="007131D1">
        <w:rPr>
          <w:rFonts w:eastAsia="Times New Roman"/>
          <w:color w:val="1A1A1A"/>
        </w:rPr>
        <w:t xml:space="preserve"> too</w:t>
      </w:r>
      <w:r>
        <w:rPr>
          <w:rFonts w:eastAsia="Times New Roman"/>
          <w:color w:val="1A1A1A"/>
        </w:rPr>
        <w:t>. Future phases of this project will include focus groups to gain in-depth knowledge about the experience and its continued impact on student</w:t>
      </w:r>
      <w:r w:rsidR="007131D1">
        <w:rPr>
          <w:rFonts w:eastAsia="Times New Roman"/>
          <w:color w:val="1A1A1A"/>
        </w:rPr>
        <w:t>s’</w:t>
      </w:r>
      <w:r>
        <w:rPr>
          <w:rFonts w:eastAsia="Times New Roman"/>
          <w:color w:val="1A1A1A"/>
        </w:rPr>
        <w:t xml:space="preserve"> beliefs, behaviors, and educational or career choices.</w:t>
      </w:r>
    </w:p>
    <w:p w14:paraId="4246FBC0" w14:textId="59347258" w:rsidR="00725BDC" w:rsidRDefault="00F1161F" w:rsidP="006B0440">
      <w:pPr>
        <w:spacing w:after="200"/>
        <w:jc w:val="center"/>
      </w:pPr>
      <w:r>
        <w:rPr>
          <w:rFonts w:eastAsia="Times New Roman"/>
          <w:b/>
        </w:rPr>
        <w:lastRenderedPageBreak/>
        <w:t>References</w:t>
      </w:r>
    </w:p>
    <w:p w14:paraId="3834C6B9" w14:textId="77777777" w:rsidR="00725BDC" w:rsidRDefault="00F1161F">
      <w:pPr>
        <w:ind w:left="630" w:hanging="630"/>
        <w:rPr>
          <w:rFonts w:eastAsia="Times New Roman"/>
        </w:rPr>
      </w:pPr>
      <w:proofErr w:type="spellStart"/>
      <w:r>
        <w:rPr>
          <w:rFonts w:eastAsia="Times New Roman"/>
        </w:rPr>
        <w:t>Knobloch</w:t>
      </w:r>
      <w:proofErr w:type="spellEnd"/>
      <w:r>
        <w:rPr>
          <w:rFonts w:eastAsia="Times New Roman"/>
        </w:rPr>
        <w:t xml:space="preserve">, N. A. (2003). Is experiential learning authentic? </w:t>
      </w:r>
      <w:r>
        <w:rPr>
          <w:rFonts w:eastAsia="Times New Roman"/>
          <w:i/>
        </w:rPr>
        <w:t>Journal of Agricultural Education, 44</w:t>
      </w:r>
      <w:r>
        <w:rPr>
          <w:rFonts w:eastAsia="Times New Roman"/>
        </w:rPr>
        <w:t xml:space="preserve">(4), 22-34. </w:t>
      </w:r>
      <w:proofErr w:type="spellStart"/>
      <w:r>
        <w:rPr>
          <w:rFonts w:eastAsia="Times New Roman"/>
        </w:rPr>
        <w:t>doi</w:t>
      </w:r>
      <w:proofErr w:type="spellEnd"/>
      <w:r>
        <w:rPr>
          <w:rFonts w:eastAsia="Times New Roman"/>
        </w:rPr>
        <w:t>: 10.5032/jae.2003.04022</w:t>
      </w:r>
    </w:p>
    <w:p w14:paraId="4C138305" w14:textId="77777777" w:rsidR="006B0440" w:rsidRDefault="006B0440">
      <w:pPr>
        <w:ind w:left="630" w:hanging="630"/>
        <w:rPr>
          <w:rFonts w:eastAsia="Times New Roman"/>
        </w:rPr>
      </w:pPr>
    </w:p>
    <w:p w14:paraId="51E14534" w14:textId="77777777" w:rsidR="006B0440" w:rsidRDefault="006B0440" w:rsidP="006B0440">
      <w:pPr>
        <w:ind w:left="630" w:hanging="630"/>
      </w:pPr>
      <w:proofErr w:type="spellStart"/>
      <w:r>
        <w:rPr>
          <w:rFonts w:eastAsia="Times New Roman"/>
        </w:rPr>
        <w:t>Kovar</w:t>
      </w:r>
      <w:proofErr w:type="spellEnd"/>
      <w:r>
        <w:rPr>
          <w:rFonts w:eastAsia="Times New Roman"/>
        </w:rPr>
        <w:t xml:space="preserve">, K. A., &amp; Ball, A. L. (2013). Two decades of agricultural literacy research: A synthesis of the literature. </w:t>
      </w:r>
      <w:r>
        <w:rPr>
          <w:rFonts w:eastAsia="Times New Roman"/>
          <w:i/>
        </w:rPr>
        <w:t>Journal of Agricultural Education, 54</w:t>
      </w:r>
      <w:r>
        <w:rPr>
          <w:rFonts w:eastAsia="Times New Roman"/>
        </w:rPr>
        <w:t xml:space="preserve">(1), 167-178. </w:t>
      </w:r>
    </w:p>
    <w:p w14:paraId="2396239F" w14:textId="1AB8EB9A" w:rsidR="006B0440" w:rsidRDefault="006B0440" w:rsidP="006B0440">
      <w:pPr>
        <w:ind w:left="1350" w:hanging="630"/>
      </w:pPr>
      <w:proofErr w:type="spellStart"/>
      <w:r>
        <w:rPr>
          <w:rFonts w:eastAsia="Times New Roman"/>
        </w:rPr>
        <w:t>doi</w:t>
      </w:r>
      <w:proofErr w:type="spellEnd"/>
      <w:r>
        <w:rPr>
          <w:rFonts w:eastAsia="Times New Roman"/>
        </w:rPr>
        <w:t>: 10.5032/jae.2013.01167</w:t>
      </w:r>
    </w:p>
    <w:p w14:paraId="5BB8761B" w14:textId="77777777" w:rsidR="00725BDC" w:rsidRDefault="00725BDC">
      <w:pPr>
        <w:ind w:left="630" w:hanging="630"/>
      </w:pPr>
    </w:p>
    <w:p w14:paraId="4E97CDEA" w14:textId="77777777" w:rsidR="00725BDC" w:rsidRDefault="00F1161F">
      <w:pPr>
        <w:ind w:left="630" w:hanging="630"/>
      </w:pPr>
      <w:r>
        <w:rPr>
          <w:rFonts w:eastAsia="Times New Roman"/>
        </w:rPr>
        <w:t xml:space="preserve">National Research Council. (1988). </w:t>
      </w:r>
      <w:r>
        <w:rPr>
          <w:rFonts w:eastAsia="Times New Roman"/>
          <w:i/>
        </w:rPr>
        <w:t>Understanding agriculture: New directions for education.</w:t>
      </w:r>
      <w:r>
        <w:rPr>
          <w:rFonts w:eastAsia="Times New Roman"/>
        </w:rPr>
        <w:t xml:space="preserve"> Washington, DC: National Academy Press.</w:t>
      </w:r>
    </w:p>
    <w:p w14:paraId="30C35743" w14:textId="77777777" w:rsidR="00725BDC" w:rsidRDefault="00725BDC">
      <w:pPr>
        <w:ind w:left="630" w:hanging="630"/>
      </w:pPr>
    </w:p>
    <w:p w14:paraId="50F7633B" w14:textId="77777777" w:rsidR="00725BDC" w:rsidRDefault="00F1161F">
      <w:pPr>
        <w:ind w:left="630" w:hanging="630"/>
      </w:pPr>
      <w:r>
        <w:rPr>
          <w:rFonts w:eastAsia="Times New Roman"/>
        </w:rPr>
        <w:t xml:space="preserve">Parr, D. M., &amp; </w:t>
      </w:r>
      <w:proofErr w:type="spellStart"/>
      <w:r>
        <w:rPr>
          <w:rFonts w:eastAsia="Times New Roman"/>
        </w:rPr>
        <w:t>Trexler</w:t>
      </w:r>
      <w:proofErr w:type="spellEnd"/>
      <w:r>
        <w:rPr>
          <w:rFonts w:eastAsia="Times New Roman"/>
        </w:rPr>
        <w:t xml:space="preserve">, C. J. (2011). Students’ experiential learning and use of student farms in sustainable agriculture education. </w:t>
      </w:r>
      <w:r>
        <w:rPr>
          <w:rFonts w:eastAsia="Times New Roman"/>
          <w:i/>
        </w:rPr>
        <w:t>Journal of Natural Resources &amp; Life Science Education, 40</w:t>
      </w:r>
      <w:r>
        <w:rPr>
          <w:rFonts w:eastAsia="Times New Roman"/>
        </w:rPr>
        <w:t xml:space="preserve">, 172-180. </w:t>
      </w:r>
      <w:proofErr w:type="spellStart"/>
      <w:r>
        <w:rPr>
          <w:rFonts w:eastAsia="Times New Roman"/>
        </w:rPr>
        <w:t>doi</w:t>
      </w:r>
      <w:proofErr w:type="spellEnd"/>
      <w:r>
        <w:rPr>
          <w:rFonts w:eastAsia="Times New Roman"/>
        </w:rPr>
        <w:t>: 10.4195/jnrlse.2009.0047u</w:t>
      </w:r>
    </w:p>
    <w:p w14:paraId="3DA6A99F" w14:textId="77777777" w:rsidR="00725BDC" w:rsidRDefault="00725BDC">
      <w:pPr>
        <w:ind w:left="630" w:hanging="630"/>
      </w:pPr>
    </w:p>
    <w:p w14:paraId="3DC614C6" w14:textId="77777777" w:rsidR="00725BDC" w:rsidRDefault="00F1161F">
      <w:pPr>
        <w:ind w:left="630" w:hanging="630"/>
      </w:pPr>
      <w:r>
        <w:rPr>
          <w:rFonts w:eastAsia="Times New Roman"/>
        </w:rPr>
        <w:t xml:space="preserve">Roberts, T. G. (2006). A philosophical examination of experiential learning theory for agricultural educators. </w:t>
      </w:r>
      <w:r>
        <w:rPr>
          <w:rFonts w:eastAsia="Times New Roman"/>
          <w:i/>
        </w:rPr>
        <w:t>Journal of Agricultural Education, 47</w:t>
      </w:r>
      <w:r>
        <w:rPr>
          <w:rFonts w:eastAsia="Times New Roman"/>
        </w:rPr>
        <w:t xml:space="preserve">(1), 17-29. </w:t>
      </w:r>
    </w:p>
    <w:p w14:paraId="7317CBDD" w14:textId="77777777" w:rsidR="00725BDC" w:rsidRDefault="00F1161F">
      <w:pPr>
        <w:ind w:left="1350" w:hanging="630"/>
      </w:pPr>
      <w:proofErr w:type="spellStart"/>
      <w:r>
        <w:rPr>
          <w:rFonts w:eastAsia="Times New Roman"/>
        </w:rPr>
        <w:t>doi</w:t>
      </w:r>
      <w:proofErr w:type="spellEnd"/>
      <w:r>
        <w:rPr>
          <w:rFonts w:eastAsia="Times New Roman"/>
        </w:rPr>
        <w:t>: 10.5032/jae.2006.01017</w:t>
      </w:r>
    </w:p>
    <w:p w14:paraId="72F4D89D" w14:textId="77777777" w:rsidR="00725BDC" w:rsidRDefault="00725BDC">
      <w:pPr>
        <w:ind w:left="630" w:hanging="630"/>
      </w:pPr>
    </w:p>
    <w:p w14:paraId="3626FEA4" w14:textId="77777777" w:rsidR="00725BDC" w:rsidRDefault="00F1161F">
      <w:pPr>
        <w:ind w:left="630" w:hanging="630"/>
      </w:pPr>
      <w:r>
        <w:rPr>
          <w:rFonts w:eastAsia="Times New Roman"/>
        </w:rPr>
        <w:t xml:space="preserve">Specht, A. R., </w:t>
      </w:r>
      <w:proofErr w:type="spellStart"/>
      <w:r>
        <w:rPr>
          <w:rFonts w:eastAsia="Times New Roman"/>
        </w:rPr>
        <w:t>McKim</w:t>
      </w:r>
      <w:proofErr w:type="spellEnd"/>
      <w:r>
        <w:rPr>
          <w:rFonts w:eastAsia="Times New Roman"/>
        </w:rPr>
        <w:t xml:space="preserve">, B. R., &amp; Rutherford, T. (2014). A little learning is dangerous: The influence of agricultural literacy and experience on young people’s perceptions of agricultural imagery. </w:t>
      </w:r>
      <w:r>
        <w:rPr>
          <w:rFonts w:eastAsia="Times New Roman"/>
          <w:i/>
        </w:rPr>
        <w:t>Journal of Applied Communications, 98</w:t>
      </w:r>
      <w:r>
        <w:rPr>
          <w:rFonts w:eastAsia="Times New Roman"/>
        </w:rPr>
        <w:t>(3), 63-73. Retrieved from http://www.journalofappliedcommunications.org/images/stories/issues/2014/jac_v98_n3_article5.pdf</w:t>
      </w:r>
    </w:p>
    <w:p w14:paraId="110399F2" w14:textId="77777777" w:rsidR="00725BDC" w:rsidRDefault="00725BDC">
      <w:pPr>
        <w:ind w:left="630" w:hanging="630"/>
      </w:pPr>
    </w:p>
    <w:p w14:paraId="52358D83" w14:textId="77777777" w:rsidR="00725BDC" w:rsidRDefault="00F1161F">
      <w:pPr>
        <w:ind w:left="630" w:hanging="630"/>
      </w:pPr>
      <w:proofErr w:type="spellStart"/>
      <w:r>
        <w:rPr>
          <w:rFonts w:eastAsia="Times New Roman"/>
        </w:rPr>
        <w:t>Stebner</w:t>
      </w:r>
      <w:proofErr w:type="spellEnd"/>
      <w:r>
        <w:rPr>
          <w:rFonts w:eastAsia="Times New Roman"/>
        </w:rPr>
        <w:t xml:space="preserve">, S., Ray, J., Becker, J., &amp; Baker, L. M. (2015). Totally transparent: A qualitative study about the impact of farm tours on bloggers. </w:t>
      </w:r>
      <w:r>
        <w:rPr>
          <w:rFonts w:eastAsia="Times New Roman"/>
          <w:i/>
        </w:rPr>
        <w:t>Journal of Applied Communications, 99</w:t>
      </w:r>
      <w:r>
        <w:rPr>
          <w:rFonts w:eastAsia="Times New Roman"/>
        </w:rPr>
        <w:t>(4), 48-61. Retrieved from http://www.journalofappliedcommunications.org/images/stories/issues/2015/jac_v99_n4_article4.pdf</w:t>
      </w:r>
    </w:p>
    <w:p w14:paraId="6B82C80F" w14:textId="77777777" w:rsidR="00725BDC" w:rsidRDefault="00725BDC">
      <w:pPr>
        <w:ind w:left="630" w:hanging="630"/>
      </w:pPr>
    </w:p>
    <w:p w14:paraId="76D3F164" w14:textId="46DB6D04" w:rsidR="00A1139A" w:rsidRPr="00A1139A" w:rsidRDefault="00A1139A" w:rsidP="00A1139A">
      <w:pPr>
        <w:ind w:left="630" w:hanging="630"/>
      </w:pPr>
      <w:r w:rsidRPr="00A1139A">
        <w:rPr>
          <w:rFonts w:eastAsia="Times New Roman"/>
          <w:highlight w:val="white"/>
        </w:rPr>
        <w:t xml:space="preserve">Strauss, A., &amp; Corbin, J. (1998). </w:t>
      </w:r>
      <w:r w:rsidRPr="00A1139A">
        <w:rPr>
          <w:rFonts w:eastAsia="Times New Roman"/>
          <w:i/>
          <w:highlight w:val="white"/>
        </w:rPr>
        <w:t>Basics of qualitative research: Techniques and procedures for developing grounded theory.</w:t>
      </w:r>
      <w:r w:rsidR="006B0440">
        <w:rPr>
          <w:rFonts w:eastAsia="Times New Roman"/>
          <w:i/>
          <w:highlight w:val="white"/>
        </w:rPr>
        <w:t xml:space="preserve"> </w:t>
      </w:r>
      <w:r w:rsidRPr="00A1139A">
        <w:rPr>
          <w:rFonts w:eastAsia="Times New Roman"/>
          <w:highlight w:val="white"/>
        </w:rPr>
        <w:t xml:space="preserve">Thousand Oaks, CA: Sage. </w:t>
      </w:r>
    </w:p>
    <w:p w14:paraId="57D3E3B8" w14:textId="77777777" w:rsidR="00A1139A" w:rsidRDefault="00A1139A">
      <w:pPr>
        <w:ind w:left="630" w:hanging="630"/>
      </w:pPr>
    </w:p>
    <w:p w14:paraId="1341CFC1" w14:textId="77777777" w:rsidR="00725BDC" w:rsidRDefault="00725BDC"/>
    <w:sectPr w:rsidR="00725BDC" w:rsidSect="00926379">
      <w:headerReference w:type="default" r:id="rId7"/>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B1A14" w14:textId="77777777" w:rsidR="00225AFF" w:rsidRDefault="00225AFF">
      <w:r>
        <w:separator/>
      </w:r>
    </w:p>
  </w:endnote>
  <w:endnote w:type="continuationSeparator" w:id="0">
    <w:p w14:paraId="7F1C4C2F" w14:textId="77777777" w:rsidR="00225AFF" w:rsidRDefault="0022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72262" w14:textId="77777777" w:rsidR="00225AFF" w:rsidRDefault="00225AFF">
      <w:r>
        <w:separator/>
      </w:r>
    </w:p>
  </w:footnote>
  <w:footnote w:type="continuationSeparator" w:id="0">
    <w:p w14:paraId="1D42F45D" w14:textId="77777777" w:rsidR="00225AFF" w:rsidRDefault="00225AF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E2F47" w14:textId="77777777" w:rsidR="00725BDC" w:rsidRDefault="00725BDC">
    <w:pPr>
      <w:jc w:val="right"/>
    </w:pPr>
  </w:p>
  <w:p w14:paraId="28289ECC" w14:textId="4FE23A8C" w:rsidR="00725BDC" w:rsidRDefault="00725BDC">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
  <w:rsids>
    <w:rsidRoot w:val="00725BDC"/>
    <w:rsid w:val="00083048"/>
    <w:rsid w:val="001B6E6B"/>
    <w:rsid w:val="00225AFF"/>
    <w:rsid w:val="002A5C45"/>
    <w:rsid w:val="004A1E6B"/>
    <w:rsid w:val="00662C2D"/>
    <w:rsid w:val="006B0440"/>
    <w:rsid w:val="007131D1"/>
    <w:rsid w:val="00725BDC"/>
    <w:rsid w:val="007544EB"/>
    <w:rsid w:val="00926379"/>
    <w:rsid w:val="00A1139A"/>
    <w:rsid w:val="00E04635"/>
    <w:rsid w:val="00E748B4"/>
    <w:rsid w:val="00F1161F"/>
    <w:rsid w:val="00F9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E121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4EB"/>
    <w:pPr>
      <w:spacing w:line="240" w:lineRule="auto"/>
    </w:pPr>
    <w:rPr>
      <w:rFonts w:ascii="Times New Roman" w:hAnsi="Times New Roman" w:cs="Times New Roman"/>
      <w:color w:val="auto"/>
      <w:sz w:val="24"/>
      <w:szCs w:val="24"/>
    </w:rPr>
  </w:style>
  <w:style w:type="paragraph" w:styleId="Heading1">
    <w:name w:val="heading 1"/>
    <w:basedOn w:val="Normal"/>
    <w:next w:val="Normal"/>
    <w:pPr>
      <w:keepNext/>
      <w:keepLines/>
      <w:spacing w:before="200" w:line="276" w:lineRule="auto"/>
      <w:outlineLvl w:val="0"/>
    </w:pPr>
    <w:rPr>
      <w:rFonts w:ascii="Trebuchet MS" w:eastAsia="Trebuchet MS" w:hAnsi="Trebuchet MS" w:cs="Trebuchet MS"/>
      <w:color w:val="000000"/>
      <w:sz w:val="32"/>
      <w:szCs w:val="32"/>
    </w:rPr>
  </w:style>
  <w:style w:type="paragraph" w:styleId="Heading2">
    <w:name w:val="heading 2"/>
    <w:basedOn w:val="Normal"/>
    <w:next w:val="Normal"/>
    <w:pPr>
      <w:keepNext/>
      <w:keepLines/>
      <w:spacing w:before="200" w:line="276" w:lineRule="auto"/>
      <w:outlineLvl w:val="1"/>
    </w:pPr>
    <w:rPr>
      <w:rFonts w:ascii="Trebuchet MS" w:eastAsia="Trebuchet MS" w:hAnsi="Trebuchet MS" w:cs="Trebuchet MS"/>
      <w:b/>
      <w:color w:val="000000"/>
      <w:sz w:val="26"/>
      <w:szCs w:val="26"/>
    </w:rPr>
  </w:style>
  <w:style w:type="paragraph" w:styleId="Heading3">
    <w:name w:val="heading 3"/>
    <w:basedOn w:val="Normal"/>
    <w:next w:val="Normal"/>
    <w:pPr>
      <w:keepNext/>
      <w:keepLines/>
      <w:spacing w:before="160" w:line="276" w:lineRule="auto"/>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line="276" w:lineRule="auto"/>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line="276" w:lineRule="auto"/>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line="276" w:lineRule="auto"/>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76" w:lineRule="auto"/>
    </w:pPr>
    <w:rPr>
      <w:rFonts w:ascii="Trebuchet MS" w:eastAsia="Trebuchet MS" w:hAnsi="Trebuchet MS" w:cs="Trebuchet MS"/>
      <w:color w:val="000000"/>
      <w:sz w:val="42"/>
      <w:szCs w:val="42"/>
    </w:rPr>
  </w:style>
  <w:style w:type="paragraph" w:styleId="Subtitle">
    <w:name w:val="Subtitle"/>
    <w:basedOn w:val="Normal"/>
    <w:next w:val="Normal"/>
    <w:pPr>
      <w:keepNext/>
      <w:keepLines/>
      <w:spacing w:after="200" w:line="276" w:lineRule="auto"/>
    </w:pPr>
    <w:rPr>
      <w:rFonts w:ascii="Trebuchet MS" w:eastAsia="Trebuchet MS" w:hAnsi="Trebuchet MS" w:cs="Trebuchet MS"/>
      <w:i/>
      <w:color w:val="666666"/>
      <w:sz w:val="26"/>
      <w:szCs w:val="26"/>
    </w:rPr>
  </w:style>
  <w:style w:type="character" w:styleId="CommentReference">
    <w:name w:val="annotation reference"/>
    <w:basedOn w:val="DefaultParagraphFont"/>
    <w:uiPriority w:val="99"/>
    <w:semiHidden/>
    <w:unhideWhenUsed/>
    <w:rsid w:val="00E748B4"/>
    <w:rPr>
      <w:sz w:val="16"/>
      <w:szCs w:val="16"/>
    </w:rPr>
  </w:style>
  <w:style w:type="paragraph" w:styleId="CommentText">
    <w:name w:val="annotation text"/>
    <w:basedOn w:val="Normal"/>
    <w:link w:val="CommentTextChar"/>
    <w:uiPriority w:val="99"/>
    <w:semiHidden/>
    <w:unhideWhenUsed/>
    <w:rsid w:val="00E748B4"/>
    <w:rPr>
      <w:rFonts w:ascii="Arial" w:hAnsi="Arial" w:cs="Arial"/>
      <w:color w:val="000000"/>
      <w:sz w:val="20"/>
      <w:szCs w:val="20"/>
    </w:rPr>
  </w:style>
  <w:style w:type="character" w:customStyle="1" w:styleId="CommentTextChar">
    <w:name w:val="Comment Text Char"/>
    <w:basedOn w:val="DefaultParagraphFont"/>
    <w:link w:val="CommentText"/>
    <w:uiPriority w:val="99"/>
    <w:semiHidden/>
    <w:rsid w:val="00E748B4"/>
    <w:rPr>
      <w:sz w:val="20"/>
      <w:szCs w:val="20"/>
    </w:rPr>
  </w:style>
  <w:style w:type="paragraph" w:styleId="CommentSubject">
    <w:name w:val="annotation subject"/>
    <w:basedOn w:val="CommentText"/>
    <w:next w:val="CommentText"/>
    <w:link w:val="CommentSubjectChar"/>
    <w:uiPriority w:val="99"/>
    <w:semiHidden/>
    <w:unhideWhenUsed/>
    <w:rsid w:val="00E748B4"/>
    <w:rPr>
      <w:b/>
      <w:bCs/>
    </w:rPr>
  </w:style>
  <w:style w:type="character" w:customStyle="1" w:styleId="CommentSubjectChar">
    <w:name w:val="Comment Subject Char"/>
    <w:basedOn w:val="CommentTextChar"/>
    <w:link w:val="CommentSubject"/>
    <w:uiPriority w:val="99"/>
    <w:semiHidden/>
    <w:rsid w:val="00E748B4"/>
    <w:rPr>
      <w:b/>
      <w:bCs/>
      <w:sz w:val="20"/>
      <w:szCs w:val="20"/>
    </w:rPr>
  </w:style>
  <w:style w:type="paragraph" w:styleId="BalloonText">
    <w:name w:val="Balloon Text"/>
    <w:basedOn w:val="Normal"/>
    <w:link w:val="BalloonTextChar"/>
    <w:uiPriority w:val="99"/>
    <w:semiHidden/>
    <w:unhideWhenUsed/>
    <w:rsid w:val="00E748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8B4"/>
    <w:rPr>
      <w:rFonts w:ascii="Segoe UI" w:hAnsi="Segoe UI" w:cs="Segoe UI"/>
      <w:sz w:val="18"/>
      <w:szCs w:val="18"/>
    </w:rPr>
  </w:style>
  <w:style w:type="character" w:styleId="Hyperlink">
    <w:name w:val="Hyperlink"/>
    <w:basedOn w:val="DefaultParagraphFont"/>
    <w:uiPriority w:val="99"/>
    <w:unhideWhenUsed/>
    <w:rsid w:val="007544EB"/>
    <w:rPr>
      <w:color w:val="0563C1" w:themeColor="hyperlink"/>
      <w:u w:val="single"/>
    </w:rPr>
  </w:style>
  <w:style w:type="character" w:customStyle="1" w:styleId="il">
    <w:name w:val="il"/>
    <w:basedOn w:val="DefaultParagraphFont"/>
    <w:rsid w:val="007544EB"/>
  </w:style>
  <w:style w:type="paragraph" w:styleId="Header">
    <w:name w:val="header"/>
    <w:basedOn w:val="Normal"/>
    <w:link w:val="HeaderChar"/>
    <w:uiPriority w:val="99"/>
    <w:unhideWhenUsed/>
    <w:rsid w:val="00662C2D"/>
    <w:pPr>
      <w:tabs>
        <w:tab w:val="center" w:pos="4680"/>
        <w:tab w:val="right" w:pos="9360"/>
      </w:tabs>
    </w:pPr>
  </w:style>
  <w:style w:type="character" w:customStyle="1" w:styleId="HeaderChar">
    <w:name w:val="Header Char"/>
    <w:basedOn w:val="DefaultParagraphFont"/>
    <w:link w:val="Header"/>
    <w:uiPriority w:val="99"/>
    <w:rsid w:val="00662C2D"/>
    <w:rPr>
      <w:rFonts w:ascii="Times New Roman" w:hAnsi="Times New Roman" w:cs="Times New Roman"/>
      <w:color w:val="auto"/>
      <w:sz w:val="24"/>
      <w:szCs w:val="24"/>
    </w:rPr>
  </w:style>
  <w:style w:type="paragraph" w:styleId="Footer">
    <w:name w:val="footer"/>
    <w:basedOn w:val="Normal"/>
    <w:link w:val="FooterChar"/>
    <w:uiPriority w:val="99"/>
    <w:unhideWhenUsed/>
    <w:rsid w:val="00662C2D"/>
    <w:pPr>
      <w:tabs>
        <w:tab w:val="center" w:pos="4680"/>
        <w:tab w:val="right" w:pos="9360"/>
      </w:tabs>
    </w:pPr>
  </w:style>
  <w:style w:type="character" w:customStyle="1" w:styleId="FooterChar">
    <w:name w:val="Footer Char"/>
    <w:basedOn w:val="DefaultParagraphFont"/>
    <w:link w:val="Footer"/>
    <w:uiPriority w:val="99"/>
    <w:rsid w:val="00662C2D"/>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53424">
      <w:bodyDiv w:val="1"/>
      <w:marLeft w:val="0"/>
      <w:marRight w:val="0"/>
      <w:marTop w:val="0"/>
      <w:marBottom w:val="0"/>
      <w:divBdr>
        <w:top w:val="none" w:sz="0" w:space="0" w:color="auto"/>
        <w:left w:val="none" w:sz="0" w:space="0" w:color="auto"/>
        <w:bottom w:val="none" w:sz="0" w:space="0" w:color="auto"/>
        <w:right w:val="none" w:sz="0" w:space="0" w:color="auto"/>
      </w:divBdr>
    </w:div>
    <w:div w:id="702099254">
      <w:bodyDiv w:val="1"/>
      <w:marLeft w:val="0"/>
      <w:marRight w:val="0"/>
      <w:marTop w:val="0"/>
      <w:marBottom w:val="0"/>
      <w:divBdr>
        <w:top w:val="none" w:sz="0" w:space="0" w:color="auto"/>
        <w:left w:val="none" w:sz="0" w:space="0" w:color="auto"/>
        <w:bottom w:val="none" w:sz="0" w:space="0" w:color="auto"/>
        <w:right w:val="none" w:sz="0" w:space="0" w:color="auto"/>
      </w:divBdr>
      <w:divsChild>
        <w:div w:id="1147666516">
          <w:marLeft w:val="0"/>
          <w:marRight w:val="0"/>
          <w:marTop w:val="0"/>
          <w:marBottom w:val="0"/>
          <w:divBdr>
            <w:top w:val="none" w:sz="0" w:space="0" w:color="auto"/>
            <w:left w:val="none" w:sz="0" w:space="0" w:color="auto"/>
            <w:bottom w:val="none" w:sz="0" w:space="0" w:color="auto"/>
            <w:right w:val="none" w:sz="0" w:space="0" w:color="auto"/>
          </w:divBdr>
        </w:div>
        <w:div w:id="353069890">
          <w:marLeft w:val="0"/>
          <w:marRight w:val="0"/>
          <w:marTop w:val="0"/>
          <w:marBottom w:val="0"/>
          <w:divBdr>
            <w:top w:val="none" w:sz="0" w:space="0" w:color="auto"/>
            <w:left w:val="none" w:sz="0" w:space="0" w:color="auto"/>
            <w:bottom w:val="none" w:sz="0" w:space="0" w:color="auto"/>
            <w:right w:val="none" w:sz="0" w:space="0" w:color="auto"/>
          </w:divBdr>
        </w:div>
        <w:div w:id="1684504439">
          <w:marLeft w:val="0"/>
          <w:marRight w:val="0"/>
          <w:marTop w:val="0"/>
          <w:marBottom w:val="0"/>
          <w:divBdr>
            <w:top w:val="none" w:sz="0" w:space="0" w:color="auto"/>
            <w:left w:val="none" w:sz="0" w:space="0" w:color="auto"/>
            <w:bottom w:val="none" w:sz="0" w:space="0" w:color="auto"/>
            <w:right w:val="none" w:sz="0" w:space="0" w:color="auto"/>
          </w:divBdr>
        </w:div>
        <w:div w:id="378363902">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B140E-875B-654E-8C88-D8389E4AA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1379</Words>
  <Characters>7866</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Perticara</dc:creator>
  <cp:lastModifiedBy>Microsoft Office User</cp:lastModifiedBy>
  <cp:revision>4</cp:revision>
  <dcterms:created xsi:type="dcterms:W3CDTF">2016-04-12T15:08:00Z</dcterms:created>
  <dcterms:modified xsi:type="dcterms:W3CDTF">2016-04-12T15:33:00Z</dcterms:modified>
</cp:coreProperties>
</file>