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0500921" w14:textId="77777777" w:rsidR="004A168A" w:rsidRDefault="002523C2">
      <w:pPr>
        <w:jc w:val="center"/>
        <w:rPr>
          <w:b/>
        </w:rPr>
      </w:pPr>
      <w:r>
        <w:rPr>
          <w:b/>
        </w:rPr>
        <w:t xml:space="preserve">Exploring the Outcomes of Using Problem-Based Learning in an Agribusiness Sales Course </w:t>
      </w:r>
    </w:p>
    <w:p w14:paraId="497B207D" w14:textId="77777777" w:rsidR="004A168A" w:rsidRDefault="004A168A">
      <w:pPr>
        <w:jc w:val="center"/>
        <w:rPr>
          <w:b/>
        </w:rPr>
      </w:pPr>
    </w:p>
    <w:p w14:paraId="139A2BA9" w14:textId="77777777" w:rsidR="004A168A" w:rsidRDefault="002523C2">
      <w:pPr>
        <w:jc w:val="center"/>
        <w:rPr>
          <w:b/>
        </w:rPr>
      </w:pPr>
      <w:r>
        <w:rPr>
          <w:b/>
        </w:rPr>
        <w:t>Introduction/Need for Research</w:t>
      </w:r>
    </w:p>
    <w:p w14:paraId="1C89BA7A" w14:textId="77777777" w:rsidR="004A168A" w:rsidRDefault="002523C2">
      <w:r>
        <w:t>An average of 26,700 annual job openings will be available between 2015 and 2020 in the food and agriculture industries, including positions as marketing specialists and sales representatives (</w:t>
      </w:r>
      <w:proofErr w:type="spellStart"/>
      <w:r>
        <w:t>Goecker</w:t>
      </w:r>
      <w:proofErr w:type="spellEnd"/>
      <w:r>
        <w:t>, Smith, Marcos Fernandez, Ali, &amp; Goetz, 2015). Employer</w:t>
      </w:r>
      <w:r>
        <w:t xml:space="preserve">s want knowledge and </w:t>
      </w:r>
      <w:r>
        <w:t>transferable</w:t>
      </w:r>
      <w:r>
        <w:t xml:space="preserve"> competencies including skills in critical thinking, problem solving, and communication (National Research Council, 2012). Research Priority 4 of the AAAE National Research Agenda encourages agricultural education programs </w:t>
      </w:r>
      <w:r>
        <w:t xml:space="preserve">to engage learners to solve problems whereby learners reconcile new knowledge with existing knowledge and transfer what is learned to future experiences (Edgar, </w:t>
      </w:r>
      <w:proofErr w:type="spellStart"/>
      <w:r>
        <w:t>Retallick</w:t>
      </w:r>
      <w:proofErr w:type="spellEnd"/>
      <w:r>
        <w:t>, &amp; Jones, 2016). Problem-based learning (PBL) is one instructional approach in classr</w:t>
      </w:r>
      <w:r>
        <w:t>ooms, yet less research</w:t>
      </w:r>
      <w:r>
        <w:rPr>
          <w:color w:val="262424"/>
        </w:rPr>
        <w:t xml:space="preserve"> exists about students’ perceptions of learning outcomes from PBL </w:t>
      </w:r>
      <w:r>
        <w:t>(</w:t>
      </w:r>
      <w:proofErr w:type="spellStart"/>
      <w:r>
        <w:t>McMay</w:t>
      </w:r>
      <w:proofErr w:type="spellEnd"/>
      <w:r>
        <w:t xml:space="preserve">, </w:t>
      </w:r>
      <w:proofErr w:type="spellStart"/>
      <w:r>
        <w:t>Gradel</w:t>
      </w:r>
      <w:proofErr w:type="spellEnd"/>
      <w:r>
        <w:t xml:space="preserve">, &amp; Scott, 2013; </w:t>
      </w:r>
      <w:proofErr w:type="spellStart"/>
      <w:r>
        <w:t>Sulaiman</w:t>
      </w:r>
      <w:proofErr w:type="spellEnd"/>
      <w:r>
        <w:t>, 2010)</w:t>
      </w:r>
      <w:r>
        <w:rPr>
          <w:color w:val="262424"/>
        </w:rPr>
        <w:t xml:space="preserve">. </w:t>
      </w:r>
      <w:r>
        <w:rPr>
          <w:color w:val="262424"/>
        </w:rPr>
        <w:t xml:space="preserve">Knowing these perceptions is </w:t>
      </w:r>
      <w:r>
        <w:t>important because instructors can use PBL to connect course content to transferable compet</w:t>
      </w:r>
      <w:r>
        <w:t xml:space="preserve">encies. </w:t>
      </w:r>
      <w:r>
        <w:rPr>
          <w:color w:val="262424"/>
        </w:rPr>
        <w:t xml:space="preserve">The study’s purpose </w:t>
      </w:r>
      <w:r>
        <w:t xml:space="preserve">was to explore the outcomes of using PBL in an agribusiness sales course. </w:t>
      </w:r>
      <w:proofErr w:type="gramStart"/>
      <w:r>
        <w:t>This abstract addresses</w:t>
      </w:r>
      <w:proofErr w:type="gramEnd"/>
      <w:r>
        <w:t xml:space="preserve"> one research objective of the study: identify students’ perceptions of learning outcomes as a result of the Ready, Set, Sell (RSS)</w:t>
      </w:r>
      <w:r>
        <w:t xml:space="preserve"> project.</w:t>
      </w:r>
    </w:p>
    <w:p w14:paraId="6AC3AA1E" w14:textId="77777777" w:rsidR="004A168A" w:rsidRDefault="004A168A">
      <w:pPr>
        <w:rPr>
          <w:color w:val="262424"/>
        </w:rPr>
      </w:pPr>
    </w:p>
    <w:p w14:paraId="6F622BE5" w14:textId="77777777" w:rsidR="004A168A" w:rsidRDefault="002523C2">
      <w:pPr>
        <w:jc w:val="center"/>
        <w:rPr>
          <w:b/>
        </w:rPr>
      </w:pPr>
      <w:r>
        <w:rPr>
          <w:b/>
        </w:rPr>
        <w:t>Theoretical Framework</w:t>
      </w:r>
    </w:p>
    <w:p w14:paraId="243AD8B8" w14:textId="77777777" w:rsidR="004A168A" w:rsidRDefault="002523C2">
      <w:pPr>
        <w:widowControl w:val="0"/>
      </w:pPr>
      <w:r>
        <w:t xml:space="preserve">PBL allows students to own their learning by solving real-life problems and engaging in course content to understand their discipline’s concepts or practices (Barrows &amp; Tamblyn, 1983; </w:t>
      </w:r>
      <w:proofErr w:type="spellStart"/>
      <w:r>
        <w:t>Jonassen</w:t>
      </w:r>
      <w:proofErr w:type="spellEnd"/>
      <w:r>
        <w:t xml:space="preserve">, 1997; </w:t>
      </w:r>
      <w:proofErr w:type="spellStart"/>
      <w:r>
        <w:t>McMay</w:t>
      </w:r>
      <w:proofErr w:type="spellEnd"/>
      <w:r>
        <w:t xml:space="preserve"> et al., 2013). Ad</w:t>
      </w:r>
      <w:r>
        <w:t>ditionally</w:t>
      </w:r>
      <w:r>
        <w:t>, PBL allows self-assessment during completion of work, letting students reflect on their own perceptions and contributions (</w:t>
      </w:r>
      <w:proofErr w:type="spellStart"/>
      <w:r>
        <w:t>McMay</w:t>
      </w:r>
      <w:proofErr w:type="spellEnd"/>
      <w:r>
        <w:t xml:space="preserve"> et al., 2013). This is important as these perceptions can allow for further understanding of how </w:t>
      </w:r>
      <w:proofErr w:type="spellStart"/>
      <w:r>
        <w:t>students</w:t>
      </w:r>
      <w:proofErr w:type="spellEnd"/>
      <w:r>
        <w:t xml:space="preserve"> progress </w:t>
      </w:r>
      <w:r>
        <w:t xml:space="preserve">in learning (De Wet &amp; Walker, 2013; </w:t>
      </w:r>
      <w:proofErr w:type="spellStart"/>
      <w:r>
        <w:t>McMay</w:t>
      </w:r>
      <w:proofErr w:type="spellEnd"/>
      <w:r>
        <w:t xml:space="preserve"> et al., 2013). The development and application of problem-solving skills is the fundamental goal of PBL (Barrows &amp; Tamblyn, 1983). Knowing whether or not students developed and applied skills by using PLB may be cr</w:t>
      </w:r>
      <w:r>
        <w:t xml:space="preserve">itical for understanding the effectiveness of the PBL teaching method and allows the instructor to further improve the curriculum and assignments (De Wet &amp; Walker, 2013). </w:t>
      </w:r>
    </w:p>
    <w:p w14:paraId="0098CD4F" w14:textId="77777777" w:rsidR="004A168A" w:rsidRDefault="004A168A">
      <w:pPr>
        <w:widowControl w:val="0"/>
        <w:rPr>
          <w:highlight w:val="yellow"/>
        </w:rPr>
      </w:pPr>
    </w:p>
    <w:p w14:paraId="0109079A" w14:textId="77777777" w:rsidR="004A168A" w:rsidRDefault="002523C2">
      <w:pPr>
        <w:jc w:val="center"/>
        <w:rPr>
          <w:b/>
        </w:rPr>
      </w:pPr>
      <w:r>
        <w:rPr>
          <w:b/>
        </w:rPr>
        <w:t>Methodology</w:t>
      </w:r>
    </w:p>
    <w:p w14:paraId="52753F64" w14:textId="77777777" w:rsidR="004A168A" w:rsidRDefault="002523C2">
      <w:r>
        <w:t xml:space="preserve">An agribusiness sales course at </w:t>
      </w:r>
      <w:r w:rsidR="00E927ED">
        <w:t>Utah State University</w:t>
      </w:r>
      <w:r>
        <w:t xml:space="preserve"> used PBL to engage student</w:t>
      </w:r>
      <w:r>
        <w:t>s in solving a company’s sales problem with a product (agricultural equipment, feed or feed supplements, calf feeders, water trough, etc.). Students worked in teams of four to complete RSS, a semester-long PBL project that required a sales call plan, 20-mi</w:t>
      </w:r>
      <w:r>
        <w:t>nute sales call to sell their product to a prospective customer, and a self-reflection paper about the experience.</w:t>
      </w:r>
      <w:r>
        <w:rPr>
          <w:color w:val="262424"/>
        </w:rPr>
        <w:t xml:space="preserve"> </w:t>
      </w:r>
      <w:r>
        <w:t>During the last week of class, a paper survey was administered to the 36 undergraduate students enrolled in the course during fall 2015. Base</w:t>
      </w:r>
      <w:r>
        <w:t>d on previous literature, the</w:t>
      </w:r>
      <w:r>
        <w:t xml:space="preserve"> instrument asked </w:t>
      </w:r>
      <w:r>
        <w:t>students’ preferences for using PBL over other teaching methods in the course and learning outcomes from the RSS project (</w:t>
      </w:r>
      <w:proofErr w:type="spellStart"/>
      <w:r>
        <w:t>McMay</w:t>
      </w:r>
      <w:proofErr w:type="spellEnd"/>
      <w:r>
        <w:t xml:space="preserve"> et al., 2013, </w:t>
      </w:r>
      <w:proofErr w:type="spellStart"/>
      <w:r>
        <w:t>Sulaiman</w:t>
      </w:r>
      <w:proofErr w:type="spellEnd"/>
      <w:r>
        <w:t xml:space="preserve">, 2010). Likert-scale questions asked students to indicate </w:t>
      </w:r>
      <w:r>
        <w:t>their perceptions of the RSS project on a scale of 1 (</w:t>
      </w:r>
      <w:r>
        <w:rPr>
          <w:i/>
        </w:rPr>
        <w:t>strongly disagree</w:t>
      </w:r>
      <w:r>
        <w:t>) to 5 (</w:t>
      </w:r>
      <w:r>
        <w:rPr>
          <w:i/>
        </w:rPr>
        <w:t>strongly agree</w:t>
      </w:r>
      <w:r>
        <w:t xml:space="preserve">). Post-hoc Cronbach’s alpha was .93 for the learning outcomes construct. SPSS statistical software was used to analyze data. </w:t>
      </w:r>
    </w:p>
    <w:p w14:paraId="770DB740" w14:textId="77777777" w:rsidR="004A168A" w:rsidRDefault="004A168A"/>
    <w:p w14:paraId="643C14A0" w14:textId="77777777" w:rsidR="004A168A" w:rsidRDefault="004A168A">
      <w:pPr>
        <w:jc w:val="center"/>
        <w:rPr>
          <w:b/>
        </w:rPr>
      </w:pPr>
    </w:p>
    <w:p w14:paraId="6FF01A0F" w14:textId="77777777" w:rsidR="004A168A" w:rsidRDefault="002523C2">
      <w:pPr>
        <w:jc w:val="center"/>
        <w:rPr>
          <w:b/>
        </w:rPr>
      </w:pPr>
      <w:r>
        <w:rPr>
          <w:b/>
        </w:rPr>
        <w:lastRenderedPageBreak/>
        <w:t>Results</w:t>
      </w:r>
    </w:p>
    <w:p w14:paraId="6924ACC7" w14:textId="77777777" w:rsidR="004A168A" w:rsidRDefault="002523C2">
      <w:r>
        <w:t>Academic ranks represented</w:t>
      </w:r>
      <w:r>
        <w:t xml:space="preserve"> senior (</w:t>
      </w:r>
      <w:r>
        <w:rPr>
          <w:i/>
        </w:rPr>
        <w:t>n</w:t>
      </w:r>
      <w:r>
        <w:t xml:space="preserve"> = 6, 17.1%), junior (</w:t>
      </w:r>
      <w:r>
        <w:rPr>
          <w:i/>
        </w:rPr>
        <w:t>n</w:t>
      </w:r>
      <w:r>
        <w:t xml:space="preserve"> = 16, 45.7%), sophomore (</w:t>
      </w:r>
      <w:r>
        <w:rPr>
          <w:i/>
        </w:rPr>
        <w:t>n</w:t>
      </w:r>
      <w:r>
        <w:t xml:space="preserve"> = 11, 31.4%), and freshman (</w:t>
      </w:r>
      <w:r>
        <w:rPr>
          <w:i/>
        </w:rPr>
        <w:t>n</w:t>
      </w:r>
      <w:r>
        <w:t xml:space="preserve"> = 2, 5.7%). Academic majors ranged from agricultural education (</w:t>
      </w:r>
      <w:r>
        <w:rPr>
          <w:i/>
        </w:rPr>
        <w:t>n</w:t>
      </w:r>
      <w:r>
        <w:t xml:space="preserve"> = 12, 33.3%), animal science (</w:t>
      </w:r>
      <w:r>
        <w:rPr>
          <w:i/>
        </w:rPr>
        <w:t>n =</w:t>
      </w:r>
      <w:r>
        <w:t xml:space="preserve"> 7, 19.4%), agricultural systems technology (</w:t>
      </w:r>
      <w:r>
        <w:rPr>
          <w:i/>
        </w:rPr>
        <w:t>n =</w:t>
      </w:r>
      <w:r>
        <w:t xml:space="preserve"> 6, 16.7%), agricu</w:t>
      </w:r>
      <w:r>
        <w:t>ltural communications (</w:t>
      </w:r>
      <w:r>
        <w:rPr>
          <w:i/>
        </w:rPr>
        <w:t>n</w:t>
      </w:r>
      <w:r>
        <w:t xml:space="preserve"> = 3, 8.3%), agribusiness (</w:t>
      </w:r>
      <w:r>
        <w:rPr>
          <w:i/>
        </w:rPr>
        <w:t>n</w:t>
      </w:r>
      <w:r>
        <w:t xml:space="preserve"> = 3, 8.3%), and other (</w:t>
      </w:r>
      <w:r>
        <w:rPr>
          <w:i/>
        </w:rPr>
        <w:t>n =</w:t>
      </w:r>
      <w:r>
        <w:t xml:space="preserve"> 5, 13.8%). Thirty-six students agreed the RSS project made the subject matter realistic (</w:t>
      </w:r>
      <w:r>
        <w:rPr>
          <w:i/>
        </w:rPr>
        <w:t>M =</w:t>
      </w:r>
      <w:r>
        <w:t xml:space="preserve"> 4.22, </w:t>
      </w:r>
      <w:r>
        <w:rPr>
          <w:i/>
        </w:rPr>
        <w:t>SD =</w:t>
      </w:r>
      <w:r>
        <w:t xml:space="preserve"> 0.72). Scores revealed 28 students (70%) received an A, 4 students recei</w:t>
      </w:r>
      <w:r>
        <w:t>ved a B (10%), and 4 students received a C (10%) on the final RSS project. As seen in Table 1, the RSS project promoted critical thinking by letting student formulate a sales strategy for a prospect’s problem.</w:t>
      </w:r>
    </w:p>
    <w:p w14:paraId="3F054DE5" w14:textId="77777777" w:rsidR="004A168A" w:rsidRDefault="004A168A"/>
    <w:tbl>
      <w:tblPr>
        <w:tblStyle w:val="a"/>
        <w:tblW w:w="9738" w:type="dxa"/>
        <w:tblInd w:w="-115" w:type="dxa"/>
        <w:tblBorders>
          <w:top w:val="single" w:sz="4" w:space="0" w:color="000000"/>
          <w:left w:val="nil"/>
          <w:bottom w:val="single" w:sz="4" w:space="0" w:color="000000"/>
          <w:right w:val="nil"/>
          <w:insideH w:val="single" w:sz="4" w:space="0" w:color="000000"/>
          <w:insideV w:val="nil"/>
        </w:tblBorders>
        <w:tblLayout w:type="fixed"/>
        <w:tblLook w:val="0400" w:firstRow="0" w:lastRow="0" w:firstColumn="0" w:lastColumn="0" w:noHBand="0" w:noVBand="1"/>
      </w:tblPr>
      <w:tblGrid>
        <w:gridCol w:w="8298"/>
        <w:gridCol w:w="720"/>
        <w:gridCol w:w="720"/>
      </w:tblGrid>
      <w:tr w:rsidR="004A168A" w14:paraId="42E57A75" w14:textId="77777777">
        <w:tc>
          <w:tcPr>
            <w:tcW w:w="9738" w:type="dxa"/>
            <w:gridSpan w:val="3"/>
            <w:tcBorders>
              <w:top w:val="nil"/>
            </w:tcBorders>
          </w:tcPr>
          <w:p w14:paraId="498A30D8" w14:textId="77777777" w:rsidR="004A168A" w:rsidRDefault="002523C2">
            <w:pPr>
              <w:rPr>
                <w:sz w:val="24"/>
                <w:szCs w:val="24"/>
              </w:rPr>
            </w:pPr>
            <w:r>
              <w:rPr>
                <w:sz w:val="24"/>
                <w:szCs w:val="24"/>
              </w:rPr>
              <w:t>Table 1</w:t>
            </w:r>
          </w:p>
          <w:p w14:paraId="5580A276" w14:textId="77777777" w:rsidR="004A168A" w:rsidRDefault="002523C2">
            <w:pPr>
              <w:rPr>
                <w:i/>
                <w:sz w:val="24"/>
                <w:szCs w:val="24"/>
              </w:rPr>
            </w:pPr>
            <w:r>
              <w:rPr>
                <w:i/>
                <w:sz w:val="24"/>
                <w:szCs w:val="24"/>
              </w:rPr>
              <w:t>Student Perceptions of Learning Outcomes as Result of the Ready, Set, Sell (RSS) Project (n = 36)</w:t>
            </w:r>
          </w:p>
        </w:tc>
      </w:tr>
      <w:tr w:rsidR="004A168A" w14:paraId="66A12741" w14:textId="77777777">
        <w:trPr>
          <w:trHeight w:val="320"/>
        </w:trPr>
        <w:tc>
          <w:tcPr>
            <w:tcW w:w="8298" w:type="dxa"/>
            <w:tcBorders>
              <w:bottom w:val="single" w:sz="4" w:space="0" w:color="000000"/>
            </w:tcBorders>
          </w:tcPr>
          <w:p w14:paraId="7897C26D" w14:textId="77777777" w:rsidR="004A168A" w:rsidRDefault="002523C2">
            <w:pPr>
              <w:rPr>
                <w:sz w:val="24"/>
                <w:szCs w:val="24"/>
              </w:rPr>
            </w:pPr>
            <w:r>
              <w:rPr>
                <w:sz w:val="24"/>
                <w:szCs w:val="24"/>
              </w:rPr>
              <w:t>Perception</w:t>
            </w:r>
          </w:p>
        </w:tc>
        <w:tc>
          <w:tcPr>
            <w:tcW w:w="720" w:type="dxa"/>
            <w:tcBorders>
              <w:bottom w:val="single" w:sz="4" w:space="0" w:color="000000"/>
            </w:tcBorders>
          </w:tcPr>
          <w:p w14:paraId="710ACD53" w14:textId="77777777" w:rsidR="004A168A" w:rsidRDefault="002523C2">
            <w:pPr>
              <w:jc w:val="center"/>
              <w:rPr>
                <w:i/>
                <w:sz w:val="24"/>
                <w:szCs w:val="24"/>
              </w:rPr>
            </w:pPr>
            <w:r>
              <w:rPr>
                <w:i/>
                <w:sz w:val="24"/>
                <w:szCs w:val="24"/>
              </w:rPr>
              <w:t>M</w:t>
            </w:r>
          </w:p>
        </w:tc>
        <w:tc>
          <w:tcPr>
            <w:tcW w:w="720" w:type="dxa"/>
            <w:tcBorders>
              <w:bottom w:val="single" w:sz="4" w:space="0" w:color="000000"/>
            </w:tcBorders>
          </w:tcPr>
          <w:p w14:paraId="4673E190" w14:textId="77777777" w:rsidR="004A168A" w:rsidRDefault="002523C2">
            <w:pPr>
              <w:jc w:val="center"/>
              <w:rPr>
                <w:i/>
                <w:sz w:val="24"/>
                <w:szCs w:val="24"/>
              </w:rPr>
            </w:pPr>
            <w:r>
              <w:rPr>
                <w:i/>
                <w:sz w:val="24"/>
                <w:szCs w:val="24"/>
              </w:rPr>
              <w:t>SD</w:t>
            </w:r>
          </w:p>
        </w:tc>
      </w:tr>
      <w:tr w:rsidR="004A168A" w14:paraId="09F97B5B" w14:textId="77777777">
        <w:tc>
          <w:tcPr>
            <w:tcW w:w="8298" w:type="dxa"/>
            <w:tcBorders>
              <w:top w:val="nil"/>
              <w:bottom w:val="nil"/>
            </w:tcBorders>
          </w:tcPr>
          <w:p w14:paraId="4F6BCF90" w14:textId="77777777" w:rsidR="004A168A" w:rsidRDefault="002523C2">
            <w:pPr>
              <w:rPr>
                <w:sz w:val="24"/>
                <w:szCs w:val="24"/>
              </w:rPr>
            </w:pPr>
            <w:r>
              <w:rPr>
                <w:sz w:val="24"/>
                <w:szCs w:val="24"/>
              </w:rPr>
              <w:t>Promoted critical thinking by letting me formulate a sales strategy for a prospect’s problem.</w:t>
            </w:r>
          </w:p>
        </w:tc>
        <w:tc>
          <w:tcPr>
            <w:tcW w:w="720" w:type="dxa"/>
            <w:tcBorders>
              <w:top w:val="nil"/>
              <w:bottom w:val="nil"/>
            </w:tcBorders>
          </w:tcPr>
          <w:p w14:paraId="7606B72D" w14:textId="77777777" w:rsidR="004A168A" w:rsidRDefault="002523C2">
            <w:pPr>
              <w:rPr>
                <w:sz w:val="24"/>
                <w:szCs w:val="24"/>
              </w:rPr>
            </w:pPr>
            <w:r>
              <w:rPr>
                <w:sz w:val="24"/>
                <w:szCs w:val="24"/>
              </w:rPr>
              <w:t>4.14</w:t>
            </w:r>
          </w:p>
        </w:tc>
        <w:tc>
          <w:tcPr>
            <w:tcW w:w="720" w:type="dxa"/>
            <w:tcBorders>
              <w:top w:val="nil"/>
              <w:bottom w:val="nil"/>
            </w:tcBorders>
          </w:tcPr>
          <w:p w14:paraId="7AAE40D1" w14:textId="77777777" w:rsidR="004A168A" w:rsidRDefault="002523C2">
            <w:pPr>
              <w:jc w:val="center"/>
              <w:rPr>
                <w:sz w:val="24"/>
                <w:szCs w:val="24"/>
              </w:rPr>
            </w:pPr>
            <w:r>
              <w:rPr>
                <w:sz w:val="24"/>
                <w:szCs w:val="24"/>
              </w:rPr>
              <w:t>0.59</w:t>
            </w:r>
          </w:p>
        </w:tc>
      </w:tr>
      <w:tr w:rsidR="004A168A" w14:paraId="3FCC72AB" w14:textId="77777777">
        <w:tc>
          <w:tcPr>
            <w:tcW w:w="8298" w:type="dxa"/>
            <w:tcBorders>
              <w:top w:val="nil"/>
              <w:bottom w:val="nil"/>
            </w:tcBorders>
          </w:tcPr>
          <w:p w14:paraId="42FDF50D" w14:textId="77777777" w:rsidR="004A168A" w:rsidRDefault="002523C2">
            <w:pPr>
              <w:rPr>
                <w:sz w:val="24"/>
                <w:szCs w:val="24"/>
              </w:rPr>
            </w:pPr>
            <w:r>
              <w:rPr>
                <w:sz w:val="24"/>
                <w:szCs w:val="24"/>
              </w:rPr>
              <w:t>Helped me understand a prospect’s response to selling approaches.</w:t>
            </w:r>
          </w:p>
        </w:tc>
        <w:tc>
          <w:tcPr>
            <w:tcW w:w="720" w:type="dxa"/>
            <w:tcBorders>
              <w:top w:val="nil"/>
              <w:bottom w:val="nil"/>
            </w:tcBorders>
          </w:tcPr>
          <w:p w14:paraId="23AEC6E5" w14:textId="77777777" w:rsidR="004A168A" w:rsidRDefault="002523C2">
            <w:pPr>
              <w:rPr>
                <w:sz w:val="24"/>
                <w:szCs w:val="24"/>
              </w:rPr>
            </w:pPr>
            <w:r>
              <w:rPr>
                <w:sz w:val="24"/>
                <w:szCs w:val="24"/>
              </w:rPr>
              <w:t>4.14</w:t>
            </w:r>
          </w:p>
        </w:tc>
        <w:tc>
          <w:tcPr>
            <w:tcW w:w="720" w:type="dxa"/>
            <w:tcBorders>
              <w:top w:val="nil"/>
              <w:bottom w:val="nil"/>
            </w:tcBorders>
          </w:tcPr>
          <w:p w14:paraId="03110A80" w14:textId="77777777" w:rsidR="004A168A" w:rsidRDefault="002523C2">
            <w:pPr>
              <w:jc w:val="center"/>
              <w:rPr>
                <w:sz w:val="24"/>
                <w:szCs w:val="24"/>
              </w:rPr>
            </w:pPr>
            <w:r>
              <w:rPr>
                <w:sz w:val="24"/>
                <w:szCs w:val="24"/>
              </w:rPr>
              <w:t>0.83</w:t>
            </w:r>
          </w:p>
        </w:tc>
      </w:tr>
      <w:tr w:rsidR="004A168A" w14:paraId="2EF449FF" w14:textId="77777777">
        <w:tc>
          <w:tcPr>
            <w:tcW w:w="8298" w:type="dxa"/>
            <w:tcBorders>
              <w:top w:val="nil"/>
              <w:bottom w:val="nil"/>
            </w:tcBorders>
          </w:tcPr>
          <w:p w14:paraId="2157DD5F" w14:textId="77777777" w:rsidR="004A168A" w:rsidRDefault="002523C2">
            <w:pPr>
              <w:rPr>
                <w:sz w:val="24"/>
                <w:szCs w:val="24"/>
              </w:rPr>
            </w:pPr>
            <w:r>
              <w:rPr>
                <w:sz w:val="24"/>
                <w:szCs w:val="24"/>
              </w:rPr>
              <w:t>Illustrated practical problems within agricultural sales.</w:t>
            </w:r>
          </w:p>
        </w:tc>
        <w:tc>
          <w:tcPr>
            <w:tcW w:w="720" w:type="dxa"/>
            <w:tcBorders>
              <w:top w:val="nil"/>
              <w:bottom w:val="nil"/>
            </w:tcBorders>
          </w:tcPr>
          <w:p w14:paraId="42D4486C" w14:textId="77777777" w:rsidR="004A168A" w:rsidRDefault="002523C2">
            <w:pPr>
              <w:rPr>
                <w:sz w:val="24"/>
                <w:szCs w:val="24"/>
              </w:rPr>
            </w:pPr>
            <w:r>
              <w:rPr>
                <w:sz w:val="24"/>
                <w:szCs w:val="24"/>
              </w:rPr>
              <w:t>4.08</w:t>
            </w:r>
          </w:p>
        </w:tc>
        <w:tc>
          <w:tcPr>
            <w:tcW w:w="720" w:type="dxa"/>
            <w:tcBorders>
              <w:top w:val="nil"/>
              <w:bottom w:val="nil"/>
            </w:tcBorders>
          </w:tcPr>
          <w:p w14:paraId="64EB38F0" w14:textId="77777777" w:rsidR="004A168A" w:rsidRDefault="002523C2">
            <w:pPr>
              <w:jc w:val="center"/>
              <w:rPr>
                <w:sz w:val="24"/>
                <w:szCs w:val="24"/>
              </w:rPr>
            </w:pPr>
            <w:r>
              <w:rPr>
                <w:sz w:val="24"/>
                <w:szCs w:val="24"/>
              </w:rPr>
              <w:t>0.84</w:t>
            </w:r>
          </w:p>
        </w:tc>
      </w:tr>
      <w:tr w:rsidR="004A168A" w14:paraId="6300A8A4" w14:textId="77777777">
        <w:trPr>
          <w:trHeight w:val="260"/>
        </w:trPr>
        <w:tc>
          <w:tcPr>
            <w:tcW w:w="8298" w:type="dxa"/>
            <w:tcBorders>
              <w:top w:val="nil"/>
              <w:bottom w:val="nil"/>
            </w:tcBorders>
          </w:tcPr>
          <w:p w14:paraId="6CC78A4F" w14:textId="77777777" w:rsidR="004A168A" w:rsidRDefault="002523C2">
            <w:pPr>
              <w:rPr>
                <w:sz w:val="24"/>
                <w:szCs w:val="24"/>
              </w:rPr>
            </w:pPr>
            <w:r>
              <w:rPr>
                <w:sz w:val="24"/>
                <w:szCs w:val="24"/>
              </w:rPr>
              <w:t>Helped me understand the course material better.</w:t>
            </w:r>
          </w:p>
        </w:tc>
        <w:tc>
          <w:tcPr>
            <w:tcW w:w="720" w:type="dxa"/>
            <w:tcBorders>
              <w:top w:val="nil"/>
              <w:bottom w:val="nil"/>
            </w:tcBorders>
          </w:tcPr>
          <w:p w14:paraId="3E11EE43" w14:textId="77777777" w:rsidR="004A168A" w:rsidRDefault="002523C2">
            <w:pPr>
              <w:rPr>
                <w:sz w:val="24"/>
                <w:szCs w:val="24"/>
              </w:rPr>
            </w:pPr>
            <w:r>
              <w:rPr>
                <w:sz w:val="24"/>
                <w:szCs w:val="24"/>
              </w:rPr>
              <w:t>4.06</w:t>
            </w:r>
          </w:p>
        </w:tc>
        <w:tc>
          <w:tcPr>
            <w:tcW w:w="720" w:type="dxa"/>
            <w:tcBorders>
              <w:top w:val="nil"/>
              <w:bottom w:val="nil"/>
            </w:tcBorders>
          </w:tcPr>
          <w:p w14:paraId="50EE5A07" w14:textId="77777777" w:rsidR="004A168A" w:rsidRDefault="002523C2">
            <w:pPr>
              <w:jc w:val="center"/>
              <w:rPr>
                <w:sz w:val="24"/>
                <w:szCs w:val="24"/>
              </w:rPr>
            </w:pPr>
            <w:r>
              <w:rPr>
                <w:sz w:val="24"/>
                <w:szCs w:val="24"/>
              </w:rPr>
              <w:t>0.58</w:t>
            </w:r>
          </w:p>
        </w:tc>
      </w:tr>
      <w:tr w:rsidR="004A168A" w14:paraId="3CB6B3C7" w14:textId="77777777">
        <w:tc>
          <w:tcPr>
            <w:tcW w:w="8298" w:type="dxa"/>
            <w:tcBorders>
              <w:top w:val="nil"/>
              <w:bottom w:val="nil"/>
            </w:tcBorders>
          </w:tcPr>
          <w:p w14:paraId="2B527D36" w14:textId="77777777" w:rsidR="004A168A" w:rsidRDefault="002523C2">
            <w:pPr>
              <w:rPr>
                <w:sz w:val="24"/>
                <w:szCs w:val="24"/>
              </w:rPr>
            </w:pPr>
            <w:r>
              <w:rPr>
                <w:sz w:val="24"/>
                <w:szCs w:val="24"/>
              </w:rPr>
              <w:t>Promoted critical thinking by letting me evaluate solutions to a prospect’s problem.</w:t>
            </w:r>
          </w:p>
        </w:tc>
        <w:tc>
          <w:tcPr>
            <w:tcW w:w="720" w:type="dxa"/>
            <w:tcBorders>
              <w:top w:val="nil"/>
              <w:bottom w:val="nil"/>
            </w:tcBorders>
          </w:tcPr>
          <w:p w14:paraId="169A4E19" w14:textId="77777777" w:rsidR="004A168A" w:rsidRDefault="002523C2">
            <w:pPr>
              <w:rPr>
                <w:sz w:val="24"/>
                <w:szCs w:val="24"/>
              </w:rPr>
            </w:pPr>
            <w:r>
              <w:rPr>
                <w:sz w:val="24"/>
                <w:szCs w:val="24"/>
              </w:rPr>
              <w:t>3.94</w:t>
            </w:r>
          </w:p>
        </w:tc>
        <w:tc>
          <w:tcPr>
            <w:tcW w:w="720" w:type="dxa"/>
            <w:tcBorders>
              <w:top w:val="nil"/>
              <w:bottom w:val="nil"/>
            </w:tcBorders>
          </w:tcPr>
          <w:p w14:paraId="38B2C184" w14:textId="77777777" w:rsidR="004A168A" w:rsidRDefault="002523C2">
            <w:pPr>
              <w:jc w:val="center"/>
              <w:rPr>
                <w:sz w:val="24"/>
                <w:szCs w:val="24"/>
              </w:rPr>
            </w:pPr>
            <w:r>
              <w:rPr>
                <w:sz w:val="24"/>
                <w:szCs w:val="24"/>
              </w:rPr>
              <w:t>0.67</w:t>
            </w:r>
          </w:p>
        </w:tc>
      </w:tr>
      <w:tr w:rsidR="004A168A" w14:paraId="30CE1430" w14:textId="77777777">
        <w:trPr>
          <w:trHeight w:val="220"/>
        </w:trPr>
        <w:tc>
          <w:tcPr>
            <w:tcW w:w="8298" w:type="dxa"/>
            <w:tcBorders>
              <w:top w:val="nil"/>
              <w:bottom w:val="nil"/>
            </w:tcBorders>
          </w:tcPr>
          <w:p w14:paraId="481BB66E" w14:textId="77777777" w:rsidR="004A168A" w:rsidRDefault="002523C2">
            <w:pPr>
              <w:rPr>
                <w:sz w:val="24"/>
                <w:szCs w:val="24"/>
              </w:rPr>
            </w:pPr>
            <w:r>
              <w:rPr>
                <w:sz w:val="24"/>
                <w:szCs w:val="24"/>
              </w:rPr>
              <w:t>Assumed greater responsibility in independently learning material used for the RSS project.</w:t>
            </w:r>
          </w:p>
        </w:tc>
        <w:tc>
          <w:tcPr>
            <w:tcW w:w="720" w:type="dxa"/>
            <w:tcBorders>
              <w:top w:val="nil"/>
              <w:bottom w:val="nil"/>
            </w:tcBorders>
          </w:tcPr>
          <w:p w14:paraId="6A326B55" w14:textId="77777777" w:rsidR="004A168A" w:rsidRDefault="002523C2">
            <w:pPr>
              <w:rPr>
                <w:sz w:val="24"/>
                <w:szCs w:val="24"/>
              </w:rPr>
            </w:pPr>
            <w:r>
              <w:rPr>
                <w:sz w:val="24"/>
                <w:szCs w:val="24"/>
              </w:rPr>
              <w:t>3.89</w:t>
            </w:r>
          </w:p>
        </w:tc>
        <w:tc>
          <w:tcPr>
            <w:tcW w:w="720" w:type="dxa"/>
            <w:tcBorders>
              <w:top w:val="nil"/>
              <w:bottom w:val="nil"/>
            </w:tcBorders>
          </w:tcPr>
          <w:p w14:paraId="2B4C7FC3" w14:textId="77777777" w:rsidR="004A168A" w:rsidRDefault="002523C2">
            <w:pPr>
              <w:jc w:val="center"/>
              <w:rPr>
                <w:sz w:val="24"/>
                <w:szCs w:val="24"/>
              </w:rPr>
            </w:pPr>
            <w:r>
              <w:rPr>
                <w:sz w:val="24"/>
                <w:szCs w:val="24"/>
              </w:rPr>
              <w:t>0.71</w:t>
            </w:r>
          </w:p>
        </w:tc>
      </w:tr>
      <w:tr w:rsidR="004A168A" w14:paraId="3A34D58E" w14:textId="77777777" w:rsidTr="00607AEA">
        <w:tc>
          <w:tcPr>
            <w:tcW w:w="8298" w:type="dxa"/>
            <w:tcBorders>
              <w:top w:val="nil"/>
              <w:bottom w:val="nil"/>
            </w:tcBorders>
          </w:tcPr>
          <w:p w14:paraId="6CE93FB0" w14:textId="77777777" w:rsidR="004A168A" w:rsidRDefault="002523C2">
            <w:pPr>
              <w:rPr>
                <w:sz w:val="24"/>
                <w:szCs w:val="24"/>
              </w:rPr>
            </w:pPr>
            <w:r>
              <w:rPr>
                <w:sz w:val="24"/>
                <w:szCs w:val="24"/>
              </w:rPr>
              <w:t>Helped me learn how to obtain information from a variety of sources.</w:t>
            </w:r>
          </w:p>
        </w:tc>
        <w:tc>
          <w:tcPr>
            <w:tcW w:w="720" w:type="dxa"/>
            <w:tcBorders>
              <w:top w:val="nil"/>
              <w:bottom w:val="nil"/>
            </w:tcBorders>
          </w:tcPr>
          <w:p w14:paraId="4B3D435D" w14:textId="77777777" w:rsidR="004A168A" w:rsidRDefault="002523C2">
            <w:pPr>
              <w:rPr>
                <w:sz w:val="24"/>
                <w:szCs w:val="24"/>
              </w:rPr>
            </w:pPr>
            <w:r>
              <w:rPr>
                <w:sz w:val="24"/>
                <w:szCs w:val="24"/>
              </w:rPr>
              <w:t>3.67</w:t>
            </w:r>
          </w:p>
        </w:tc>
        <w:tc>
          <w:tcPr>
            <w:tcW w:w="720" w:type="dxa"/>
            <w:tcBorders>
              <w:top w:val="nil"/>
              <w:bottom w:val="nil"/>
            </w:tcBorders>
          </w:tcPr>
          <w:p w14:paraId="084E2D84" w14:textId="77777777" w:rsidR="004A168A" w:rsidRDefault="002523C2">
            <w:pPr>
              <w:jc w:val="center"/>
              <w:rPr>
                <w:sz w:val="24"/>
                <w:szCs w:val="24"/>
              </w:rPr>
            </w:pPr>
            <w:r>
              <w:rPr>
                <w:sz w:val="24"/>
                <w:szCs w:val="24"/>
              </w:rPr>
              <w:t>0.79</w:t>
            </w:r>
          </w:p>
        </w:tc>
      </w:tr>
      <w:tr w:rsidR="004A168A" w14:paraId="5F1A9D09" w14:textId="77777777" w:rsidTr="00607AEA">
        <w:tc>
          <w:tcPr>
            <w:tcW w:w="8298" w:type="dxa"/>
            <w:tcBorders>
              <w:top w:val="nil"/>
              <w:bottom w:val="single" w:sz="4" w:space="0" w:color="auto"/>
            </w:tcBorders>
          </w:tcPr>
          <w:p w14:paraId="17F16FB2" w14:textId="77777777" w:rsidR="004A168A" w:rsidRDefault="002523C2">
            <w:pPr>
              <w:rPr>
                <w:sz w:val="24"/>
                <w:szCs w:val="24"/>
              </w:rPr>
            </w:pPr>
            <w:r>
              <w:rPr>
                <w:sz w:val="24"/>
                <w:szCs w:val="24"/>
              </w:rPr>
              <w:t>Overall Scale</w:t>
            </w:r>
          </w:p>
        </w:tc>
        <w:tc>
          <w:tcPr>
            <w:tcW w:w="720" w:type="dxa"/>
            <w:tcBorders>
              <w:top w:val="nil"/>
              <w:bottom w:val="single" w:sz="4" w:space="0" w:color="auto"/>
            </w:tcBorders>
          </w:tcPr>
          <w:p w14:paraId="2456C19A" w14:textId="77777777" w:rsidR="004A168A" w:rsidRDefault="002523C2">
            <w:pPr>
              <w:rPr>
                <w:sz w:val="24"/>
                <w:szCs w:val="24"/>
              </w:rPr>
            </w:pPr>
            <w:r>
              <w:rPr>
                <w:sz w:val="24"/>
                <w:szCs w:val="24"/>
              </w:rPr>
              <w:t>3.95</w:t>
            </w:r>
          </w:p>
        </w:tc>
        <w:tc>
          <w:tcPr>
            <w:tcW w:w="720" w:type="dxa"/>
            <w:tcBorders>
              <w:top w:val="nil"/>
              <w:bottom w:val="single" w:sz="4" w:space="0" w:color="auto"/>
            </w:tcBorders>
          </w:tcPr>
          <w:p w14:paraId="2F4E04CB" w14:textId="77777777" w:rsidR="004A168A" w:rsidRDefault="002523C2">
            <w:pPr>
              <w:jc w:val="center"/>
              <w:rPr>
                <w:sz w:val="24"/>
                <w:szCs w:val="24"/>
              </w:rPr>
            </w:pPr>
            <w:r>
              <w:rPr>
                <w:sz w:val="24"/>
                <w:szCs w:val="24"/>
              </w:rPr>
              <w:t>0.52</w:t>
            </w:r>
          </w:p>
        </w:tc>
      </w:tr>
      <w:tr w:rsidR="004A168A" w14:paraId="02F2694F" w14:textId="77777777" w:rsidTr="00607AEA">
        <w:tc>
          <w:tcPr>
            <w:tcW w:w="9738" w:type="dxa"/>
            <w:gridSpan w:val="3"/>
            <w:tcBorders>
              <w:top w:val="single" w:sz="4" w:space="0" w:color="auto"/>
              <w:bottom w:val="nil"/>
            </w:tcBorders>
          </w:tcPr>
          <w:p w14:paraId="1B075271" w14:textId="77777777" w:rsidR="004A168A" w:rsidRDefault="002523C2">
            <w:pPr>
              <w:rPr>
                <w:sz w:val="24"/>
                <w:szCs w:val="24"/>
              </w:rPr>
            </w:pPr>
            <w:r>
              <w:rPr>
                <w:i/>
                <w:sz w:val="24"/>
                <w:szCs w:val="24"/>
              </w:rPr>
              <w:t>Note.</w:t>
            </w:r>
            <w:r>
              <w:rPr>
                <w:sz w:val="24"/>
                <w:szCs w:val="24"/>
              </w:rPr>
              <w:t xml:space="preserve"> Scale: 1 = Strongly Disagree, 2 = Disagree, 3 = Neither Disagree or Agree, 4 = Agree, 5 = Strongly Agree</w:t>
            </w:r>
          </w:p>
        </w:tc>
      </w:tr>
    </w:tbl>
    <w:p w14:paraId="28BEAE47" w14:textId="77777777" w:rsidR="004A168A" w:rsidRDefault="004A168A"/>
    <w:p w14:paraId="3630A493" w14:textId="77777777" w:rsidR="004A168A" w:rsidRDefault="002523C2">
      <w:pPr>
        <w:jc w:val="center"/>
        <w:rPr>
          <w:b/>
        </w:rPr>
      </w:pPr>
      <w:r>
        <w:rPr>
          <w:b/>
        </w:rPr>
        <w:t>Conclusions</w:t>
      </w:r>
    </w:p>
    <w:p w14:paraId="03267086" w14:textId="77777777" w:rsidR="00607AEA" w:rsidRPr="00607AEA" w:rsidRDefault="00607AEA" w:rsidP="00607AEA">
      <w:pPr>
        <w:pStyle w:val="p1"/>
        <w:rPr>
          <w:sz w:val="24"/>
          <w:szCs w:val="24"/>
        </w:rPr>
      </w:pPr>
      <w:bookmarkStart w:id="0" w:name="_gjdgxs" w:colFirst="0" w:colLast="0"/>
      <w:bookmarkEnd w:id="0"/>
      <w:r w:rsidRPr="00607AEA">
        <w:rPr>
          <w:sz w:val="24"/>
          <w:szCs w:val="24"/>
        </w:rPr>
        <w:t>Problem based learning engaged the students to think critically by creating a sales strategy that</w:t>
      </w:r>
    </w:p>
    <w:p w14:paraId="74B78557" w14:textId="77777777" w:rsidR="00607AEA" w:rsidRPr="00607AEA" w:rsidRDefault="00607AEA" w:rsidP="00607AEA">
      <w:pPr>
        <w:pStyle w:val="p2"/>
        <w:rPr>
          <w:sz w:val="24"/>
          <w:szCs w:val="24"/>
        </w:rPr>
      </w:pPr>
      <w:r w:rsidRPr="00607AEA">
        <w:rPr>
          <w:sz w:val="24"/>
          <w:szCs w:val="24"/>
        </w:rPr>
        <w:t xml:space="preserve">helped solve their prospects’ problems and understand how their prospect might respond to their selling approach, which are goals of professional selling in agriculture (Downey, Downey, Jackson, &amp; Downey, 2011). One challenge to implementing PLB is the reluctance of students to engage in a new way of learning where the focus is on them independently using information about their product/service and prospect to create their RSS project rather than being told how to do the sales call. Similar to </w:t>
      </w:r>
      <w:proofErr w:type="spellStart"/>
      <w:r w:rsidRPr="00607AEA">
        <w:rPr>
          <w:sz w:val="24"/>
          <w:szCs w:val="24"/>
        </w:rPr>
        <w:t>McMay</w:t>
      </w:r>
      <w:proofErr w:type="spellEnd"/>
      <w:r w:rsidRPr="00607AEA">
        <w:rPr>
          <w:sz w:val="24"/>
          <w:szCs w:val="24"/>
        </w:rPr>
        <w:t xml:space="preserve"> et al. (2013), agriculture students reported a neutral attitude toward obtaining information from various sources. The RSS project’s reliance on a company’s product and marketing information could make it difficult to find a variety of sources to use to</w:t>
      </w:r>
    </w:p>
    <w:p w14:paraId="3F835172" w14:textId="77777777" w:rsidR="00607AEA" w:rsidRPr="00607AEA" w:rsidRDefault="00607AEA" w:rsidP="00607AEA">
      <w:pPr>
        <w:pStyle w:val="p1"/>
        <w:rPr>
          <w:sz w:val="24"/>
          <w:szCs w:val="24"/>
        </w:rPr>
      </w:pPr>
      <w:r w:rsidRPr="00607AEA">
        <w:rPr>
          <w:sz w:val="24"/>
          <w:szCs w:val="24"/>
        </w:rPr>
        <w:t>write the sales call plan.</w:t>
      </w:r>
    </w:p>
    <w:p w14:paraId="2BD8501E" w14:textId="77777777" w:rsidR="004A168A" w:rsidRDefault="004A168A">
      <w:pPr>
        <w:rPr>
          <w:b/>
        </w:rPr>
      </w:pPr>
    </w:p>
    <w:p w14:paraId="2486503D" w14:textId="77777777" w:rsidR="004A168A" w:rsidRDefault="002523C2">
      <w:pPr>
        <w:jc w:val="center"/>
      </w:pPr>
      <w:r>
        <w:rPr>
          <w:b/>
        </w:rPr>
        <w:t>Recommendations</w:t>
      </w:r>
    </w:p>
    <w:p w14:paraId="4FC0F69F" w14:textId="77777777" w:rsidR="004A168A" w:rsidRDefault="002523C2">
      <w:r>
        <w:t xml:space="preserve">Future PBL research should compare students’ learning style as a factor for how well they learned in the class from various instructional techniques, including PBL, lecture, discussion, and shadowing. Further research is warranted using quasi-experimental </w:t>
      </w:r>
      <w:r>
        <w:t>or experimental designs to determine if PBL is more effective than other teaching methods used in similar classes. The application of these competencies to agribusiness sales positions should also be assessed for the benefit of students pursuing careers in</w:t>
      </w:r>
      <w:r>
        <w:t xml:space="preserve"> this field. </w:t>
      </w:r>
    </w:p>
    <w:p w14:paraId="38C21006" w14:textId="77777777" w:rsidR="00607AEA" w:rsidRDefault="00607AEA">
      <w:pPr>
        <w:jc w:val="center"/>
        <w:rPr>
          <w:b/>
        </w:rPr>
      </w:pPr>
    </w:p>
    <w:p w14:paraId="07ED7CFE" w14:textId="77777777" w:rsidR="004A168A" w:rsidRDefault="002523C2">
      <w:pPr>
        <w:jc w:val="center"/>
        <w:rPr>
          <w:b/>
        </w:rPr>
      </w:pPr>
      <w:r>
        <w:rPr>
          <w:b/>
        </w:rPr>
        <w:lastRenderedPageBreak/>
        <w:t>References</w:t>
      </w:r>
    </w:p>
    <w:p w14:paraId="3CE0C256" w14:textId="77777777" w:rsidR="004A168A" w:rsidRDefault="004A168A">
      <w:pPr>
        <w:widowControl w:val="0"/>
      </w:pPr>
    </w:p>
    <w:p w14:paraId="158C4193" w14:textId="77777777" w:rsidR="004A168A" w:rsidRDefault="002523C2">
      <w:pPr>
        <w:widowControl w:val="0"/>
        <w:ind w:left="720" w:hanging="720"/>
      </w:pPr>
      <w:r>
        <w:t xml:space="preserve">Barrows, H. S. &amp; Tamblyn, R. M. (1983). </w:t>
      </w:r>
      <w:r>
        <w:rPr>
          <w:i/>
        </w:rPr>
        <w:t>Problem-based learning: An approach to medical education</w:t>
      </w:r>
      <w:r>
        <w:t>. Springer Publishing Company, NY.</w:t>
      </w:r>
    </w:p>
    <w:p w14:paraId="40BC6032" w14:textId="77777777" w:rsidR="004A168A" w:rsidRDefault="004A168A">
      <w:pPr>
        <w:ind w:hanging="720"/>
      </w:pPr>
    </w:p>
    <w:p w14:paraId="15C3360F" w14:textId="77777777" w:rsidR="004A168A" w:rsidRDefault="002523C2">
      <w:pPr>
        <w:ind w:left="720" w:hanging="720"/>
      </w:pPr>
      <w:r>
        <w:t>De Wet, L., &amp;</w:t>
      </w:r>
      <w:r>
        <w:t xml:space="preserve"> Walker, S. (2013). Student perceptions of problem-based learning: A case study of undergraduate applied </w:t>
      </w:r>
      <w:proofErr w:type="spellStart"/>
      <w:r>
        <w:t>agrometeorology</w:t>
      </w:r>
      <w:proofErr w:type="spellEnd"/>
      <w:r>
        <w:t xml:space="preserve">. </w:t>
      </w:r>
      <w:r>
        <w:rPr>
          <w:i/>
        </w:rPr>
        <w:t xml:space="preserve">ISRN Education, 2013, 1-9. Retrieved from </w:t>
      </w:r>
      <w:r>
        <w:t>http://dx.doi.org/10.1155/2013/982942</w:t>
      </w:r>
    </w:p>
    <w:p w14:paraId="7CFD9365" w14:textId="77777777" w:rsidR="004A168A" w:rsidRDefault="002523C2">
      <w:pPr>
        <w:ind w:left="720" w:hanging="720"/>
        <w:rPr>
          <w:i/>
        </w:rPr>
      </w:pPr>
      <w:r>
        <w:rPr>
          <w:i/>
        </w:rPr>
        <w:t xml:space="preserve"> </w:t>
      </w:r>
    </w:p>
    <w:p w14:paraId="270C8181" w14:textId="77777777" w:rsidR="004A168A" w:rsidRDefault="002523C2">
      <w:pPr>
        <w:ind w:left="720" w:hanging="720"/>
      </w:pPr>
      <w:r>
        <w:t xml:space="preserve">Edgar, D. W., </w:t>
      </w:r>
      <w:proofErr w:type="spellStart"/>
      <w:r>
        <w:t>Retallick</w:t>
      </w:r>
      <w:proofErr w:type="spellEnd"/>
      <w:r>
        <w:t xml:space="preserve">, M. S., &amp; Jones, D. (2016). </w:t>
      </w:r>
      <w:r>
        <w:t xml:space="preserve">Research priority 4: Meaningful, engaged learning in all environments. In T. G. </w:t>
      </w:r>
      <w:r>
        <w:rPr>
          <w:color w:val="211D1E"/>
        </w:rPr>
        <w:t xml:space="preserve">Roberts, A. Harder, &amp; M. T. </w:t>
      </w:r>
      <w:proofErr w:type="spellStart"/>
      <w:r>
        <w:rPr>
          <w:color w:val="211D1E"/>
        </w:rPr>
        <w:t>Brashears</w:t>
      </w:r>
      <w:proofErr w:type="spellEnd"/>
      <w:r>
        <w:rPr>
          <w:color w:val="211D1E"/>
        </w:rPr>
        <w:t xml:space="preserve"> (Eds.), </w:t>
      </w:r>
      <w:r>
        <w:rPr>
          <w:i/>
          <w:color w:val="211D1E"/>
        </w:rPr>
        <w:t xml:space="preserve">American Association for Agricultural Education national research agenda: 2016-2020 (37-40). </w:t>
      </w:r>
      <w:r>
        <w:rPr>
          <w:color w:val="211D1E"/>
        </w:rPr>
        <w:t>Gainesville, FL: Department of Agricu</w:t>
      </w:r>
      <w:r>
        <w:rPr>
          <w:color w:val="211D1E"/>
        </w:rPr>
        <w:t>ltural Education and Communication.</w:t>
      </w:r>
      <w:r>
        <w:t xml:space="preserve">  </w:t>
      </w:r>
    </w:p>
    <w:p w14:paraId="25D0F66D" w14:textId="77777777" w:rsidR="004A168A" w:rsidRDefault="004A168A">
      <w:pPr>
        <w:ind w:hanging="720"/>
      </w:pPr>
    </w:p>
    <w:p w14:paraId="5C8A6ECA" w14:textId="77777777" w:rsidR="004A168A" w:rsidRDefault="002523C2">
      <w:pPr>
        <w:ind w:left="720" w:hanging="720"/>
        <w:rPr>
          <w:color w:val="211D1E"/>
        </w:rPr>
      </w:pPr>
      <w:proofErr w:type="spellStart"/>
      <w:r>
        <w:rPr>
          <w:color w:val="211D1E"/>
        </w:rPr>
        <w:t>Goecker</w:t>
      </w:r>
      <w:proofErr w:type="spellEnd"/>
      <w:r>
        <w:rPr>
          <w:color w:val="211D1E"/>
        </w:rPr>
        <w:t xml:space="preserve">, A. D., Smith, E., Fernandez, J. M., Ali, R., &amp; </w:t>
      </w:r>
      <w:proofErr w:type="spellStart"/>
      <w:r>
        <w:rPr>
          <w:color w:val="211D1E"/>
        </w:rPr>
        <w:t>Theller</w:t>
      </w:r>
      <w:proofErr w:type="spellEnd"/>
      <w:r>
        <w:rPr>
          <w:color w:val="211D1E"/>
        </w:rPr>
        <w:t xml:space="preserve">, R. G. (2015). </w:t>
      </w:r>
      <w:r>
        <w:rPr>
          <w:i/>
          <w:color w:val="211D1E"/>
        </w:rPr>
        <w:t xml:space="preserve">Employment opportunities for college graduates in food, agriculture, renewable natural resources, and the environment. </w:t>
      </w:r>
      <w:r>
        <w:rPr>
          <w:color w:val="211D1E"/>
        </w:rPr>
        <w:t xml:space="preserve">Retrieved from </w:t>
      </w:r>
      <w:r>
        <w:t>http</w:t>
      </w:r>
      <w:r>
        <w:t>s://www.purdue.edu/usda/employment/</w:t>
      </w:r>
    </w:p>
    <w:p w14:paraId="45C92841" w14:textId="77777777" w:rsidR="004A168A" w:rsidRDefault="004A168A">
      <w:pPr>
        <w:ind w:left="720" w:hanging="720"/>
      </w:pPr>
    </w:p>
    <w:p w14:paraId="511A1C88" w14:textId="77777777" w:rsidR="004A168A" w:rsidRDefault="002523C2">
      <w:pPr>
        <w:ind w:left="720" w:hanging="720"/>
      </w:pPr>
      <w:proofErr w:type="spellStart"/>
      <w:r>
        <w:t>Jonassen</w:t>
      </w:r>
      <w:proofErr w:type="spellEnd"/>
      <w:r>
        <w:t xml:space="preserve">, D. H. (1997). Instructional design models for well-structured and ill-structured problem-solving learning outcomes. </w:t>
      </w:r>
      <w:r>
        <w:rPr>
          <w:i/>
        </w:rPr>
        <w:t>Educational Technology: Research and Development</w:t>
      </w:r>
      <w:r>
        <w:t xml:space="preserve">, 45(1), 65-95. </w:t>
      </w:r>
    </w:p>
    <w:p w14:paraId="71C55BDA" w14:textId="77777777" w:rsidR="004A168A" w:rsidRDefault="004A168A">
      <w:pPr>
        <w:ind w:left="720" w:hanging="720"/>
      </w:pPr>
    </w:p>
    <w:p w14:paraId="3B61C137" w14:textId="77777777" w:rsidR="004A168A" w:rsidRDefault="002523C2">
      <w:pPr>
        <w:ind w:left="720" w:hanging="720"/>
      </w:pPr>
      <w:proofErr w:type="spellStart"/>
      <w:r>
        <w:t>McMay</w:t>
      </w:r>
      <w:proofErr w:type="spellEnd"/>
      <w:r>
        <w:t xml:space="preserve">, D. V., </w:t>
      </w:r>
      <w:proofErr w:type="spellStart"/>
      <w:r>
        <w:t>Gradel</w:t>
      </w:r>
      <w:proofErr w:type="spellEnd"/>
      <w:r>
        <w:t>, K., &amp;</w:t>
      </w:r>
      <w:r>
        <w:t xml:space="preserve"> Scot</w:t>
      </w:r>
      <w:bookmarkStart w:id="1" w:name="_GoBack"/>
      <w:bookmarkEnd w:id="1"/>
      <w:r>
        <w:t xml:space="preserve">t, C. (2013). Using problem based learning to develop class projects in upper level social science courses: A case study with recommendations. </w:t>
      </w:r>
      <w:r>
        <w:rPr>
          <w:i/>
        </w:rPr>
        <w:t>Creative Education</w:t>
      </w:r>
      <w:r>
        <w:t xml:space="preserve">, 4(1), 62-70. </w:t>
      </w:r>
      <w:proofErr w:type="spellStart"/>
      <w:r>
        <w:t>doi</w:t>
      </w:r>
      <w:proofErr w:type="spellEnd"/>
      <w:r>
        <w:t xml:space="preserve">: </w:t>
      </w:r>
      <w:r>
        <w:rPr>
          <w:highlight w:val="white"/>
        </w:rPr>
        <w:t>10.4236/ce.2013.41009</w:t>
      </w:r>
    </w:p>
    <w:p w14:paraId="303E411C" w14:textId="77777777" w:rsidR="004A168A" w:rsidRDefault="004A168A"/>
    <w:p w14:paraId="5F5498C0" w14:textId="77777777" w:rsidR="004A168A" w:rsidRDefault="002523C2">
      <w:pPr>
        <w:ind w:left="720" w:hanging="720"/>
        <w:rPr>
          <w:color w:val="211D1E"/>
        </w:rPr>
      </w:pPr>
      <w:r>
        <w:rPr>
          <w:color w:val="211D1E"/>
        </w:rPr>
        <w:t xml:space="preserve">National Research Council. (2012). </w:t>
      </w:r>
      <w:r>
        <w:rPr>
          <w:i/>
          <w:color w:val="211D1E"/>
        </w:rPr>
        <w:t>Education fo</w:t>
      </w:r>
      <w:r>
        <w:rPr>
          <w:i/>
          <w:color w:val="211D1E"/>
        </w:rPr>
        <w:t>r life and work: Developing transferable knowledge and skills in the 21st century</w:t>
      </w:r>
      <w:r>
        <w:rPr>
          <w:color w:val="211D1E"/>
        </w:rPr>
        <w:t>. Washington, DC: The National Academy Press.</w:t>
      </w:r>
    </w:p>
    <w:p w14:paraId="4B74E5D3" w14:textId="77777777" w:rsidR="004A168A" w:rsidRDefault="004A168A">
      <w:pPr>
        <w:ind w:left="720" w:hanging="720"/>
      </w:pPr>
    </w:p>
    <w:p w14:paraId="5EA1B4F4" w14:textId="77777777" w:rsidR="004A168A" w:rsidRDefault="002523C2">
      <w:pPr>
        <w:ind w:left="720" w:hanging="720"/>
      </w:pPr>
      <w:proofErr w:type="spellStart"/>
      <w:r>
        <w:t>Sulaiman</w:t>
      </w:r>
      <w:proofErr w:type="spellEnd"/>
      <w:r>
        <w:t xml:space="preserve">, F. (2010). Students’ perceptions of implementing problem-based learning in a physics course. </w:t>
      </w:r>
      <w:r>
        <w:rPr>
          <w:i/>
        </w:rPr>
        <w:t>Procedia Social and Behav</w:t>
      </w:r>
      <w:r>
        <w:rPr>
          <w:i/>
        </w:rPr>
        <w:t>ioral Sciences, 7</w:t>
      </w:r>
      <w:r>
        <w:t xml:space="preserve">(C), 355-362. </w:t>
      </w:r>
      <w:proofErr w:type="spellStart"/>
      <w:r>
        <w:t>doi</w:t>
      </w:r>
      <w:proofErr w:type="spellEnd"/>
      <w:r>
        <w:t>: 10.1016/j.sbspro.2010.10.048</w:t>
      </w:r>
    </w:p>
    <w:sectPr w:rsidR="004A168A">
      <w:headerReference w:type="first" r:id="rId6"/>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1737C" w14:textId="77777777" w:rsidR="002523C2" w:rsidRDefault="002523C2">
      <w:r>
        <w:separator/>
      </w:r>
    </w:p>
  </w:endnote>
  <w:endnote w:type="continuationSeparator" w:id="0">
    <w:p w14:paraId="0965F5DD" w14:textId="77777777" w:rsidR="002523C2" w:rsidRDefault="00252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AB1E7" w14:textId="77777777" w:rsidR="002523C2" w:rsidRDefault="002523C2">
      <w:r>
        <w:separator/>
      </w:r>
    </w:p>
  </w:footnote>
  <w:footnote w:type="continuationSeparator" w:id="0">
    <w:p w14:paraId="4C347552" w14:textId="77777777" w:rsidR="002523C2" w:rsidRDefault="002523C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D6B61" w14:textId="77777777" w:rsidR="004A168A" w:rsidRDefault="002523C2">
    <w:pPr>
      <w:tabs>
        <w:tab w:val="center" w:pos="4680"/>
        <w:tab w:val="right" w:pos="9360"/>
      </w:tabs>
      <w:spacing w:before="720"/>
    </w:pPr>
    <w:r>
      <w:rPr>
        <w:rFonts w:ascii="Calibri" w:eastAsia="Calibri" w:hAnsi="Calibri" w:cs="Calibri"/>
        <w:sz w:val="22"/>
        <w:szCs w:val="22"/>
      </w:rPr>
      <w:tab/>
    </w:r>
    <w:r>
      <w:rPr>
        <w:rFonts w:ascii="Calibri" w:eastAsia="Calibri" w:hAnsi="Calibri" w:cs="Calibri"/>
        <w:sz w:val="22"/>
        <w:szCs w:val="22"/>
      </w:rPr>
      <w:tab/>
      <w:t xml:space="preserve">  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A168A"/>
    <w:rsid w:val="002523C2"/>
    <w:rsid w:val="004A168A"/>
    <w:rsid w:val="00607AEA"/>
    <w:rsid w:val="00E927E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3F6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rPr>
      <w:sz w:val="20"/>
      <w:szCs w:val="20"/>
    </w:rPr>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927ED"/>
    <w:rPr>
      <w:sz w:val="18"/>
      <w:szCs w:val="18"/>
    </w:rPr>
  </w:style>
  <w:style w:type="character" w:customStyle="1" w:styleId="BalloonTextChar">
    <w:name w:val="Balloon Text Char"/>
    <w:basedOn w:val="DefaultParagraphFont"/>
    <w:link w:val="BalloonText"/>
    <w:uiPriority w:val="99"/>
    <w:semiHidden/>
    <w:rsid w:val="00E927ED"/>
    <w:rPr>
      <w:sz w:val="18"/>
      <w:szCs w:val="18"/>
    </w:rPr>
  </w:style>
  <w:style w:type="paragraph" w:customStyle="1" w:styleId="p1">
    <w:name w:val="p1"/>
    <w:basedOn w:val="Normal"/>
    <w:rsid w:val="00607AEA"/>
    <w:pPr>
      <w:spacing w:line="194" w:lineRule="atLeast"/>
      <w:ind w:left="29"/>
    </w:pPr>
    <w:rPr>
      <w:color w:val="auto"/>
      <w:sz w:val="18"/>
      <w:szCs w:val="18"/>
    </w:rPr>
  </w:style>
  <w:style w:type="paragraph" w:customStyle="1" w:styleId="p2">
    <w:name w:val="p2"/>
    <w:basedOn w:val="Normal"/>
    <w:rsid w:val="00607AEA"/>
    <w:pPr>
      <w:ind w:left="29"/>
    </w:pPr>
    <w:rPr>
      <w:color w:val="au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26322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1228</Words>
  <Characters>7002</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2017-04-25T21:24:00Z</dcterms:created>
  <dcterms:modified xsi:type="dcterms:W3CDTF">2017-04-25T21:24:00Z</dcterms:modified>
</cp:coreProperties>
</file>