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2A36" w:rsidRPr="00DE7BE2" w:rsidRDefault="00052A36" w:rsidP="00052A36">
      <w:pPr>
        <w:spacing w:line="240" w:lineRule="auto"/>
        <w:jc w:val="center"/>
        <w:rPr>
          <w:b/>
        </w:rPr>
      </w:pPr>
      <w:r w:rsidRPr="00DE7BE2">
        <w:rPr>
          <w:b/>
        </w:rPr>
        <w:t>Utilizing Industry Standards to Assess Secondary Agricultural Education Students</w:t>
      </w:r>
    </w:p>
    <w:p w:rsidR="00052A36" w:rsidRDefault="00052A36">
      <w:pPr>
        <w:rPr>
          <w:b/>
        </w:rPr>
      </w:pPr>
    </w:p>
    <w:p w:rsidR="00052A36" w:rsidRDefault="00052A36">
      <w:pPr>
        <w:rPr>
          <w:b/>
        </w:rPr>
      </w:pPr>
    </w:p>
    <w:p w:rsidR="00052A36" w:rsidRDefault="00052A36">
      <w:pPr>
        <w:rPr>
          <w:b/>
        </w:rPr>
      </w:pPr>
    </w:p>
    <w:p w:rsidR="00052A36" w:rsidRDefault="00052A36" w:rsidP="00052A36">
      <w:pPr>
        <w:spacing w:after="0"/>
        <w:jc w:val="center"/>
      </w:pPr>
      <w:r w:rsidRPr="00052A36">
        <w:t>A. Preston Byrd</w:t>
      </w:r>
    </w:p>
    <w:p w:rsidR="00052A36" w:rsidRDefault="00052A36" w:rsidP="00052A36">
      <w:pPr>
        <w:spacing w:after="0"/>
        <w:jc w:val="center"/>
      </w:pPr>
      <w:r>
        <w:t>Clemson University</w:t>
      </w:r>
    </w:p>
    <w:p w:rsidR="00052A36" w:rsidRDefault="00052A36" w:rsidP="00052A36">
      <w:pPr>
        <w:spacing w:after="0"/>
        <w:jc w:val="center"/>
      </w:pPr>
      <w:r>
        <w:t>253 McAdams Hall</w:t>
      </w:r>
    </w:p>
    <w:p w:rsidR="00052A36" w:rsidRDefault="00052A36" w:rsidP="00052A36">
      <w:pPr>
        <w:spacing w:after="0"/>
        <w:jc w:val="center"/>
      </w:pPr>
      <w:r>
        <w:t>Clemson, SC 29634</w:t>
      </w:r>
    </w:p>
    <w:p w:rsidR="00052A36" w:rsidRDefault="00052A36" w:rsidP="00052A36">
      <w:pPr>
        <w:spacing w:after="0"/>
        <w:jc w:val="center"/>
      </w:pPr>
      <w:r>
        <w:t>864-656-5675</w:t>
      </w:r>
    </w:p>
    <w:p w:rsidR="00052A36" w:rsidRDefault="00052A36" w:rsidP="00052A36">
      <w:pPr>
        <w:spacing w:after="0"/>
        <w:jc w:val="center"/>
      </w:pPr>
      <w:r>
        <w:t>apbyrd@clemson.edu</w:t>
      </w:r>
    </w:p>
    <w:p w:rsidR="00052A36" w:rsidRDefault="00052A36" w:rsidP="00052A36">
      <w:pPr>
        <w:spacing w:after="0"/>
        <w:jc w:val="center"/>
      </w:pPr>
    </w:p>
    <w:p w:rsidR="00052A36" w:rsidRDefault="00052A36" w:rsidP="00052A36">
      <w:pPr>
        <w:spacing w:after="0"/>
        <w:jc w:val="center"/>
      </w:pPr>
      <w:r>
        <w:t>Stacy K. Vincent</w:t>
      </w:r>
    </w:p>
    <w:p w:rsidR="00052A36" w:rsidRDefault="00052A36" w:rsidP="00052A36">
      <w:pPr>
        <w:spacing w:after="0"/>
        <w:jc w:val="center"/>
      </w:pPr>
      <w:r>
        <w:t>University of Kentucky</w:t>
      </w:r>
    </w:p>
    <w:p w:rsidR="00052A36" w:rsidRDefault="00052A36" w:rsidP="00052A36">
      <w:pPr>
        <w:spacing w:after="0"/>
        <w:jc w:val="center"/>
      </w:pPr>
      <w:r>
        <w:t xml:space="preserve">505 </w:t>
      </w:r>
      <w:proofErr w:type="spellStart"/>
      <w:r>
        <w:t>Garrigus</w:t>
      </w:r>
      <w:proofErr w:type="spellEnd"/>
      <w:r>
        <w:t xml:space="preserve"> Building</w:t>
      </w:r>
    </w:p>
    <w:p w:rsidR="00052A36" w:rsidRDefault="00052A36" w:rsidP="00052A36">
      <w:pPr>
        <w:spacing w:after="0"/>
        <w:jc w:val="center"/>
      </w:pPr>
      <w:r>
        <w:t>Lexington, KY 40546</w:t>
      </w:r>
    </w:p>
    <w:p w:rsidR="00052A36" w:rsidRDefault="00052A36" w:rsidP="00052A36">
      <w:pPr>
        <w:spacing w:after="0"/>
        <w:jc w:val="center"/>
      </w:pPr>
      <w:r>
        <w:t>859-257-7588</w:t>
      </w:r>
    </w:p>
    <w:p w:rsidR="00052A36" w:rsidRDefault="00052A36" w:rsidP="00052A36">
      <w:pPr>
        <w:spacing w:after="0"/>
        <w:jc w:val="center"/>
      </w:pPr>
      <w:r w:rsidRPr="00052A36">
        <w:t>stacy.vincent@uky.edu</w:t>
      </w:r>
    </w:p>
    <w:p w:rsidR="00052A36" w:rsidRDefault="00052A36" w:rsidP="00052A36">
      <w:pPr>
        <w:spacing w:after="0"/>
        <w:jc w:val="center"/>
      </w:pPr>
    </w:p>
    <w:p w:rsidR="00052A36" w:rsidRDefault="00052A36" w:rsidP="00052A36">
      <w:pPr>
        <w:spacing w:after="0"/>
        <w:jc w:val="center"/>
      </w:pPr>
      <w:r>
        <w:t>Joan M. Mazur</w:t>
      </w:r>
    </w:p>
    <w:p w:rsidR="00052A36" w:rsidRDefault="00052A36" w:rsidP="00052A36">
      <w:pPr>
        <w:spacing w:after="0"/>
        <w:jc w:val="center"/>
      </w:pPr>
      <w:r>
        <w:t>University of Kentucky</w:t>
      </w:r>
    </w:p>
    <w:p w:rsidR="00052A36" w:rsidRDefault="00052A36" w:rsidP="00052A36">
      <w:pPr>
        <w:spacing w:after="0"/>
        <w:jc w:val="center"/>
      </w:pPr>
      <w:r>
        <w:t>345 Dickey Hall</w:t>
      </w:r>
    </w:p>
    <w:p w:rsidR="00052A36" w:rsidRDefault="00052A36" w:rsidP="00052A36">
      <w:pPr>
        <w:spacing w:after="0"/>
        <w:jc w:val="center"/>
      </w:pPr>
      <w:r>
        <w:t>Lexington, KY 40546</w:t>
      </w:r>
    </w:p>
    <w:p w:rsidR="00052A36" w:rsidRDefault="00052A36" w:rsidP="00052A36">
      <w:pPr>
        <w:spacing w:after="0"/>
        <w:jc w:val="center"/>
      </w:pPr>
      <w:r>
        <w:t>859-257-4896</w:t>
      </w:r>
    </w:p>
    <w:p w:rsidR="00052A36" w:rsidRDefault="00052A36" w:rsidP="00052A36">
      <w:pPr>
        <w:spacing w:after="0"/>
        <w:jc w:val="center"/>
      </w:pPr>
      <w:r>
        <w:t xml:space="preserve">jmazur@uky.edu </w:t>
      </w:r>
      <w:bookmarkStart w:id="0" w:name="_GoBack"/>
      <w:bookmarkEnd w:id="0"/>
    </w:p>
    <w:p w:rsidR="00052A36" w:rsidRPr="00052A36" w:rsidRDefault="00052A36" w:rsidP="00052A36">
      <w:pPr>
        <w:spacing w:after="0"/>
        <w:jc w:val="center"/>
      </w:pPr>
      <w:r w:rsidRPr="00052A36">
        <w:br w:type="page"/>
      </w:r>
    </w:p>
    <w:p w:rsidR="00DE7BE2" w:rsidRPr="00DE7BE2" w:rsidRDefault="009A764F" w:rsidP="00C4060C">
      <w:pPr>
        <w:spacing w:line="240" w:lineRule="auto"/>
        <w:jc w:val="center"/>
        <w:rPr>
          <w:b/>
        </w:rPr>
      </w:pPr>
      <w:r w:rsidRPr="00DE7BE2">
        <w:rPr>
          <w:b/>
        </w:rPr>
        <w:lastRenderedPageBreak/>
        <w:t>Utilizing Industry Standards to Assess Secondary Agricultural Education Students</w:t>
      </w:r>
    </w:p>
    <w:p w:rsidR="009A764F" w:rsidRDefault="009A764F" w:rsidP="00C4060C">
      <w:pPr>
        <w:spacing w:line="240" w:lineRule="auto"/>
        <w:jc w:val="center"/>
      </w:pPr>
      <w:r>
        <w:rPr>
          <w:b/>
        </w:rPr>
        <w:t>Introduction</w:t>
      </w:r>
    </w:p>
    <w:p w:rsidR="009A764F" w:rsidRDefault="009A764F" w:rsidP="00C4060C">
      <w:pPr>
        <w:spacing w:line="240" w:lineRule="auto"/>
      </w:pPr>
      <w:r>
        <w:tab/>
      </w:r>
      <w:r w:rsidR="00F23349">
        <w:t xml:space="preserve">Once a student graduates and enters the workforce are they </w:t>
      </w:r>
      <w:r w:rsidR="00FC6160">
        <w:t xml:space="preserve">ready for the daily requirements of a job? </w:t>
      </w:r>
      <w:r w:rsidR="00EB70F7">
        <w:t xml:space="preserve">Educational institutions have always strived to provide academic, technical, and employable skills to </w:t>
      </w:r>
      <w:r w:rsidR="00F23349">
        <w:t xml:space="preserve">prepare students for careers after secondary education </w:t>
      </w:r>
      <w:r w:rsidR="00EB70F7">
        <w:t>(</w:t>
      </w:r>
      <w:proofErr w:type="spellStart"/>
      <w:r w:rsidR="00EB70F7">
        <w:t>Dibenedetto</w:t>
      </w:r>
      <w:proofErr w:type="spellEnd"/>
      <w:r w:rsidR="00EB70F7">
        <w:t xml:space="preserve">, 2016). The expectation of every student is to either enter the workforce or college, but how successful are the students once there? Per Lynch </w:t>
      </w:r>
      <w:r w:rsidR="00EB70F7" w:rsidRPr="00A24031">
        <w:t>(2000</w:t>
      </w:r>
      <w:r w:rsidR="00EB70F7">
        <w:t>), 50% of students in college fail to obtain a degree. Furthermore, students are entering the workforce with insufficient knowledge and skills needed to be productive workers (</w:t>
      </w:r>
      <w:r w:rsidR="00DE7BE2">
        <w:t xml:space="preserve">Gardner &amp; Liu, 1997); thus leading to </w:t>
      </w:r>
      <w:r w:rsidR="00DD5B17">
        <w:t>collaborative work of industry leaders, educators, and policy makers to correct this unpreparedness of graduating students (</w:t>
      </w:r>
      <w:proofErr w:type="spellStart"/>
      <w:r w:rsidR="00DD5B17">
        <w:t>Dibenedetto</w:t>
      </w:r>
      <w:proofErr w:type="spellEnd"/>
      <w:r w:rsidR="00DD5B17">
        <w:t>, 2016).</w:t>
      </w:r>
    </w:p>
    <w:p w:rsidR="009A764F" w:rsidRDefault="00DD5B17" w:rsidP="00C4060C">
      <w:pPr>
        <w:spacing w:line="240" w:lineRule="auto"/>
      </w:pPr>
      <w:r>
        <w:tab/>
        <w:t xml:space="preserve">One method that has become more popular in the last decade has been the inclusion of industry-based certifications (IBCs) in career and technical education (CTE) (Wilcox, 2006). </w:t>
      </w:r>
      <w:r w:rsidR="008D6ECE">
        <w:t>T</w:t>
      </w:r>
      <w:r w:rsidR="00DE7BE2">
        <w:t>he premise behind IBCs is to</w:t>
      </w:r>
      <w:r>
        <w:t xml:space="preserve"> ensure students have been adequately prepared for the current workforce. IBCs also utilizes an outside evaluation system to determine the level of skill and kno</w:t>
      </w:r>
      <w:r w:rsidR="008D6ECE">
        <w:t xml:space="preserve">wledge acquired according to the </w:t>
      </w:r>
      <w:r w:rsidR="00DE7BE2">
        <w:t>standardized skill and known</w:t>
      </w:r>
      <w:r w:rsidR="008D6ECE">
        <w:t xml:space="preserve"> objectives (Wilcox, 2006). </w:t>
      </w:r>
      <w:r w:rsidR="00DA0D21">
        <w:t xml:space="preserve">The IBCs helps educators create students that can meet an entry level industry standard upon graduation that can give students an edge in the job market. </w:t>
      </w:r>
    </w:p>
    <w:p w:rsidR="008D6ECE" w:rsidRDefault="008D6ECE" w:rsidP="00C4060C">
      <w:pPr>
        <w:spacing w:line="240" w:lineRule="auto"/>
        <w:jc w:val="center"/>
      </w:pPr>
      <w:r>
        <w:rPr>
          <w:b/>
        </w:rPr>
        <w:t>Theoretical Framework</w:t>
      </w:r>
    </w:p>
    <w:p w:rsidR="008D6ECE" w:rsidRDefault="008D6ECE" w:rsidP="00C4060C">
      <w:pPr>
        <w:spacing w:line="240" w:lineRule="auto"/>
        <w:rPr>
          <w:rFonts w:cs="Times New Roman"/>
        </w:rPr>
      </w:pPr>
      <w:r>
        <w:tab/>
        <w:t xml:space="preserve"> </w:t>
      </w:r>
      <w:r w:rsidR="00C4060C">
        <w:rPr>
          <w:rFonts w:cs="Times New Roman"/>
        </w:rPr>
        <w:t>Over the last decade, industries and school infrastructures have pushed to use data-driven decision making to influence decisions within their respective institutions. Using data to drive decisions provides a quantifiable trail for decision makers to follow; An understanding of progress or regression in their fields. Data-driven decision making (DDDM) pertains to the systematic collection, analysis, examination, and interpretation of data to inform practice and policy in educational settings (</w:t>
      </w:r>
      <w:proofErr w:type="spellStart"/>
      <w:r w:rsidR="00C4060C">
        <w:rPr>
          <w:rFonts w:cs="Times New Roman"/>
        </w:rPr>
        <w:t>Mandinach</w:t>
      </w:r>
      <w:proofErr w:type="spellEnd"/>
      <w:r w:rsidR="00C4060C">
        <w:rPr>
          <w:rFonts w:cs="Times New Roman"/>
        </w:rPr>
        <w:t xml:space="preserve">, 2012). </w:t>
      </w:r>
      <w:proofErr w:type="spellStart"/>
      <w:r w:rsidR="00C4060C">
        <w:rPr>
          <w:rFonts w:cs="Times New Roman"/>
        </w:rPr>
        <w:t>Mandinach</w:t>
      </w:r>
      <w:proofErr w:type="spellEnd"/>
      <w:r w:rsidR="00C4060C">
        <w:rPr>
          <w:rFonts w:cs="Times New Roman"/>
        </w:rPr>
        <w:t xml:space="preserve"> also states that, “It is no longer acceptable to simply use anecdotes, gut feelings, or opinions as the basis for decisions” (2012</w:t>
      </w:r>
      <w:r w:rsidR="00724EF6">
        <w:rPr>
          <w:rFonts w:cs="Times New Roman"/>
        </w:rPr>
        <w:t>, p. 71</w:t>
      </w:r>
      <w:r w:rsidR="00C4060C">
        <w:rPr>
          <w:rFonts w:cs="Times New Roman"/>
        </w:rPr>
        <w:t>). In our case, DDDM provides educators the opportunity to synthesize information provided by students in one form or another to improve classroom instruction and ultimately the educational performance of students (</w:t>
      </w:r>
      <w:proofErr w:type="spellStart"/>
      <w:r w:rsidR="00C4060C">
        <w:rPr>
          <w:rFonts w:cs="Times New Roman"/>
        </w:rPr>
        <w:t>Wohlstetter</w:t>
      </w:r>
      <w:proofErr w:type="spellEnd"/>
      <w:r w:rsidR="00C4060C">
        <w:rPr>
          <w:rFonts w:cs="Times New Roman"/>
        </w:rPr>
        <w:t xml:space="preserve">, </w:t>
      </w:r>
      <w:proofErr w:type="spellStart"/>
      <w:r w:rsidR="00C4060C">
        <w:rPr>
          <w:rFonts w:cs="Times New Roman"/>
        </w:rPr>
        <w:t>Datnow</w:t>
      </w:r>
      <w:proofErr w:type="spellEnd"/>
      <w:r w:rsidR="00C4060C">
        <w:rPr>
          <w:rFonts w:cs="Times New Roman"/>
        </w:rPr>
        <w:t>, &amp; Park, 2008).</w:t>
      </w:r>
    </w:p>
    <w:p w:rsidR="00C4060C" w:rsidRDefault="00C4060C" w:rsidP="00C4060C">
      <w:pPr>
        <w:spacing w:line="240" w:lineRule="auto"/>
        <w:jc w:val="center"/>
        <w:rPr>
          <w:rFonts w:cs="Times New Roman"/>
        </w:rPr>
      </w:pPr>
      <w:r>
        <w:rPr>
          <w:rFonts w:cs="Times New Roman"/>
          <w:b/>
        </w:rPr>
        <w:t>Methodology</w:t>
      </w:r>
    </w:p>
    <w:p w:rsidR="00C4060C" w:rsidRDefault="00C4060C" w:rsidP="00C4060C">
      <w:pPr>
        <w:spacing w:line="240" w:lineRule="auto"/>
        <w:rPr>
          <w:rFonts w:cs="Times New Roman"/>
        </w:rPr>
      </w:pPr>
      <w:r>
        <w:rPr>
          <w:rFonts w:cs="Times New Roman"/>
        </w:rPr>
        <w:tab/>
        <w:t xml:space="preserve">The context in which students were assessed was through the process of fabricating a Cost-effective Roll-Over Protective Structure (CROPS) to be placed on a tractor. Secondary agricultural education programs in </w:t>
      </w:r>
      <w:r w:rsidR="00724EF6">
        <w:rPr>
          <w:rFonts w:cs="Times New Roman"/>
        </w:rPr>
        <w:t xml:space="preserve">three </w:t>
      </w:r>
      <w:r>
        <w:rPr>
          <w:rFonts w:cs="Times New Roman"/>
        </w:rPr>
        <w:t>rural</w:t>
      </w:r>
      <w:r w:rsidR="00724EF6">
        <w:rPr>
          <w:rFonts w:cs="Times New Roman"/>
        </w:rPr>
        <w:t xml:space="preserve"> </w:t>
      </w:r>
      <w:r>
        <w:rPr>
          <w:rFonts w:cs="Times New Roman"/>
        </w:rPr>
        <w:t>Appalachia</w:t>
      </w:r>
      <w:r w:rsidR="00F05159">
        <w:rPr>
          <w:rFonts w:cs="Times New Roman"/>
        </w:rPr>
        <w:t>n states</w:t>
      </w:r>
      <w:r>
        <w:rPr>
          <w:rFonts w:cs="Times New Roman"/>
        </w:rPr>
        <w:t xml:space="preserve"> were selected </w:t>
      </w:r>
      <w:r w:rsidR="00DE7BE2">
        <w:rPr>
          <w:rFonts w:cs="Times New Roman"/>
        </w:rPr>
        <w:t xml:space="preserve">due to the number of continued </w:t>
      </w:r>
      <w:r>
        <w:rPr>
          <w:rFonts w:cs="Times New Roman"/>
        </w:rPr>
        <w:t>roll-over accidents</w:t>
      </w:r>
      <w:r w:rsidR="00724EF6">
        <w:rPr>
          <w:rFonts w:cs="Times New Roman"/>
        </w:rPr>
        <w:t xml:space="preserve"> with a total of 1</w:t>
      </w:r>
      <w:r w:rsidR="00577FF5">
        <w:rPr>
          <w:rFonts w:cs="Times New Roman"/>
        </w:rPr>
        <w:t>0</w:t>
      </w:r>
      <w:r w:rsidR="00724EF6">
        <w:rPr>
          <w:rFonts w:cs="Times New Roman"/>
        </w:rPr>
        <w:t xml:space="preserve"> schools participating</w:t>
      </w:r>
      <w:r>
        <w:rPr>
          <w:rFonts w:cs="Times New Roman"/>
        </w:rPr>
        <w:t>. Agricultural educators were brought in for a three-day training where they learned how to fabricate a CROPS. Teachers were given all the materials needed to fabricate a CROPS within their agricultural mechanics classes. The industry standard that was used was the CROPS blueprints created by engineers from the N</w:t>
      </w:r>
      <w:r w:rsidR="00DE7BE2">
        <w:rPr>
          <w:rFonts w:cs="Times New Roman"/>
        </w:rPr>
        <w:t xml:space="preserve">ational </w:t>
      </w:r>
      <w:r>
        <w:rPr>
          <w:rFonts w:cs="Times New Roman"/>
        </w:rPr>
        <w:t>I</w:t>
      </w:r>
      <w:r w:rsidR="00DE7BE2">
        <w:rPr>
          <w:rFonts w:cs="Times New Roman"/>
        </w:rPr>
        <w:t xml:space="preserve">nstitute for </w:t>
      </w:r>
      <w:r>
        <w:rPr>
          <w:rFonts w:cs="Times New Roman"/>
        </w:rPr>
        <w:t>O</w:t>
      </w:r>
      <w:r w:rsidR="00DE7BE2">
        <w:rPr>
          <w:rFonts w:cs="Times New Roman"/>
        </w:rPr>
        <w:t xml:space="preserve">ccupational </w:t>
      </w:r>
      <w:r>
        <w:rPr>
          <w:rFonts w:cs="Times New Roman"/>
        </w:rPr>
        <w:t>S</w:t>
      </w:r>
      <w:r w:rsidR="00DE7BE2">
        <w:rPr>
          <w:rFonts w:cs="Times New Roman"/>
        </w:rPr>
        <w:t xml:space="preserve">afety and </w:t>
      </w:r>
      <w:r>
        <w:rPr>
          <w:rFonts w:cs="Times New Roman"/>
        </w:rPr>
        <w:t>H</w:t>
      </w:r>
      <w:r w:rsidR="00DE7BE2">
        <w:rPr>
          <w:rFonts w:cs="Times New Roman"/>
        </w:rPr>
        <w:t>ealth</w:t>
      </w:r>
      <w:r>
        <w:rPr>
          <w:rFonts w:cs="Times New Roman"/>
        </w:rPr>
        <w:t xml:space="preserve"> </w:t>
      </w:r>
      <w:r w:rsidR="00DE7BE2">
        <w:rPr>
          <w:rFonts w:cs="Times New Roman"/>
        </w:rPr>
        <w:t xml:space="preserve">(NIOSH) </w:t>
      </w:r>
      <w:r>
        <w:rPr>
          <w:rFonts w:cs="Times New Roman"/>
        </w:rPr>
        <w:t>Division of Safety Research and Protective Technology Branch</w:t>
      </w:r>
      <w:r w:rsidR="00724EF6">
        <w:rPr>
          <w:rFonts w:cs="Times New Roman"/>
        </w:rPr>
        <w:t xml:space="preserve"> (</w:t>
      </w:r>
      <w:r w:rsidR="00577FF5">
        <w:rPr>
          <w:rFonts w:cs="Times New Roman"/>
        </w:rPr>
        <w:t>NIOSH, 2016</w:t>
      </w:r>
      <w:r w:rsidR="00724EF6">
        <w:rPr>
          <w:rFonts w:cs="Times New Roman"/>
        </w:rPr>
        <w:t>)</w:t>
      </w:r>
      <w:r>
        <w:rPr>
          <w:rFonts w:cs="Times New Roman"/>
        </w:rPr>
        <w:t>. The blueprints are in accordance with the Society of Automobile Engineers (SAE) industry standard performance test SAE J2194.</w:t>
      </w:r>
      <w:r>
        <w:rPr>
          <w:rFonts w:cs="Times New Roman"/>
        </w:rPr>
        <w:tab/>
        <w:t xml:space="preserve">The assessment of the students’ abilities to perform at an entry level industry standard was </w:t>
      </w:r>
      <w:r w:rsidR="006252FE">
        <w:rPr>
          <w:rFonts w:cs="Times New Roman"/>
        </w:rPr>
        <w:t>conducted</w:t>
      </w:r>
      <w:r>
        <w:rPr>
          <w:rFonts w:cs="Times New Roman"/>
        </w:rPr>
        <w:t xml:space="preserve"> by an outside evaluator. The </w:t>
      </w:r>
      <w:r w:rsidR="006252FE">
        <w:rPr>
          <w:rFonts w:cs="Times New Roman"/>
        </w:rPr>
        <w:t xml:space="preserve">evaluator utilized the CROPS blueprints to </w:t>
      </w:r>
      <w:r w:rsidR="006252FE">
        <w:rPr>
          <w:rFonts w:cs="Times New Roman"/>
        </w:rPr>
        <w:lastRenderedPageBreak/>
        <w:t xml:space="preserve">create a checklist of factors which evaluated the students’ abilities to create the pieces of the CROPS in accordance to the blueprints. The factors included correct overall measurement of the piece being fabricated, correct place of drilled holes, correct placement of a welded bracket, visual inspection of welds, and correct torque applied to mounting bolts. The checklist was broken down by 1/16” increments from </w:t>
      </w:r>
      <w:r w:rsidR="00F05159">
        <w:rPr>
          <w:rFonts w:cs="Times New Roman"/>
        </w:rPr>
        <w:t>&gt;1/4, &gt;3/16” &lt;1/4”, &gt;1/8” &lt;3/16”,</w:t>
      </w:r>
      <w:r w:rsidR="006252FE">
        <w:rPr>
          <w:rFonts w:cs="Times New Roman"/>
        </w:rPr>
        <w:t xml:space="preserve"> &gt;1/16</w:t>
      </w:r>
      <w:r w:rsidR="00701EEA">
        <w:rPr>
          <w:rFonts w:cs="Times New Roman"/>
        </w:rPr>
        <w:t xml:space="preserve">” </w:t>
      </w:r>
      <w:r w:rsidR="006252FE">
        <w:rPr>
          <w:rFonts w:cs="Times New Roman"/>
        </w:rPr>
        <w:t xml:space="preserve">&lt;1/8”, </w:t>
      </w:r>
      <w:r w:rsidR="00F05159">
        <w:rPr>
          <w:rFonts w:cs="Times New Roman"/>
        </w:rPr>
        <w:t>&lt;1’16”</w:t>
      </w:r>
      <w:r w:rsidR="006252FE">
        <w:rPr>
          <w:rFonts w:cs="Times New Roman"/>
        </w:rPr>
        <w:t>to evaluate the overall measurement of the CROPS pieces, placement of drilled holes, and the welded bracket. Visual inspection of the weld looked for any discontinuities and utilizing a fillet gauge to measure leg length and face fill. The bolt torque was check an appropriate torque wrench.</w:t>
      </w:r>
    </w:p>
    <w:p w:rsidR="006252FE" w:rsidRDefault="006252FE" w:rsidP="006252FE">
      <w:pPr>
        <w:spacing w:line="240" w:lineRule="auto"/>
        <w:jc w:val="center"/>
        <w:rPr>
          <w:rFonts w:cs="Times New Roman"/>
        </w:rPr>
      </w:pPr>
      <w:r>
        <w:rPr>
          <w:rFonts w:cs="Times New Roman"/>
          <w:b/>
        </w:rPr>
        <w:t>Results</w:t>
      </w:r>
    </w:p>
    <w:p w:rsidR="009D5FE7" w:rsidRDefault="00D23711" w:rsidP="006252FE">
      <w:pPr>
        <w:spacing w:line="240" w:lineRule="auto"/>
      </w:pPr>
      <w:r>
        <w:tab/>
        <w:t xml:space="preserve">The entire CROPS project is made up of </w:t>
      </w:r>
      <w:r w:rsidR="009D5FE7">
        <w:t xml:space="preserve">17 parts </w:t>
      </w:r>
      <w:r w:rsidR="00D576D3">
        <w:t>all that</w:t>
      </w:r>
      <w:r w:rsidR="009D5FE7">
        <w:t xml:space="preserve"> were measured for overall dimensions </w:t>
      </w:r>
      <w:r w:rsidR="00D576D3">
        <w:t>and placement of drilled holes.</w:t>
      </w:r>
      <w:r w:rsidR="009D5FE7">
        <w:t xml:space="preserve"> Out of the 17 parts</w:t>
      </w:r>
      <w:r w:rsidR="00D576D3">
        <w:t>,</w:t>
      </w:r>
      <w:r w:rsidR="009D5FE7">
        <w:t xml:space="preserve"> four pieces were found to be more difficult for students to get fabricated correctly. The four parts were the top and bottom axel brackets for the left and right sides of the tractor. These four parts are the most critical components of the system because it is the method of attachment for this structure to the tractor. Table 1 shows the frequencies of the four axel brackets and how far off the overall dimensions and drilled holes were.</w:t>
      </w:r>
      <w:r w:rsidR="00C631D1">
        <w:t xml:space="preserve"> The students fabricated </w:t>
      </w:r>
      <w:r w:rsidR="00C64E19">
        <w:t>most</w:t>
      </w:r>
      <w:r w:rsidR="00C631D1">
        <w:t xml:space="preserve"> the other 13 parts within 1/8” of accuracy.</w:t>
      </w:r>
      <w:r w:rsidR="00C64E19" w:rsidRPr="00C64E19">
        <w:t xml:space="preserve"> </w:t>
      </w:r>
      <w:r w:rsidR="00C64E19">
        <w:t>The welds on the CROPS were within 1/8” on most</w:t>
      </w:r>
      <w:r w:rsidR="00943D71">
        <w:t xml:space="preserve"> the projects in respect to full length of piece and weld leg size. Five projects exhibited short beads and lack of fusion due to a lack of heat during the welding process.</w:t>
      </w:r>
    </w:p>
    <w:tbl>
      <w:tblPr>
        <w:tblStyle w:val="TableGrid"/>
        <w:tblW w:w="9617"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879"/>
        <w:gridCol w:w="1576"/>
        <w:gridCol w:w="1566"/>
        <w:gridCol w:w="1421"/>
        <w:gridCol w:w="1295"/>
      </w:tblGrid>
      <w:tr w:rsidR="009D5FE7" w:rsidTr="008959CE">
        <w:tc>
          <w:tcPr>
            <w:tcW w:w="9616" w:type="dxa"/>
            <w:gridSpan w:val="6"/>
          </w:tcPr>
          <w:p w:rsidR="009D5FE7" w:rsidRDefault="009D5FE7" w:rsidP="00D576D3">
            <w:r>
              <w:t>Table 1</w:t>
            </w:r>
          </w:p>
          <w:p w:rsidR="009D5FE7" w:rsidRPr="00D576D3" w:rsidRDefault="00D576D3" w:rsidP="00C631D1">
            <w:r>
              <w:t>Student Accuracy to Industry Safety Standards (</w:t>
            </w:r>
            <w:r>
              <w:rPr>
                <w:i/>
              </w:rPr>
              <w:t xml:space="preserve">N </w:t>
            </w:r>
            <w:r>
              <w:t xml:space="preserve">= </w:t>
            </w:r>
            <w:r w:rsidR="00577FF5">
              <w:t>10</w:t>
            </w:r>
            <w:r>
              <w:t>)</w:t>
            </w:r>
          </w:p>
        </w:tc>
      </w:tr>
      <w:tr w:rsidR="00D576D3" w:rsidTr="008959CE">
        <w:tc>
          <w:tcPr>
            <w:tcW w:w="2880" w:type="dxa"/>
            <w:tcBorders>
              <w:top w:val="single" w:sz="4" w:space="0" w:color="auto"/>
            </w:tcBorders>
          </w:tcPr>
          <w:p w:rsidR="00D576D3" w:rsidRPr="00C631D1" w:rsidRDefault="00D576D3" w:rsidP="00F05159">
            <w:pPr>
              <w:rPr>
                <w:u w:val="single"/>
              </w:rPr>
            </w:pPr>
            <w:r>
              <w:rPr>
                <w:u w:val="single"/>
              </w:rPr>
              <w:t xml:space="preserve">Industry-set Identifiers </w:t>
            </w:r>
          </w:p>
        </w:tc>
        <w:tc>
          <w:tcPr>
            <w:tcW w:w="879" w:type="dxa"/>
            <w:tcBorders>
              <w:top w:val="single" w:sz="4" w:space="0" w:color="auto"/>
            </w:tcBorders>
          </w:tcPr>
          <w:p w:rsidR="00D576D3" w:rsidRDefault="00D576D3" w:rsidP="00C631D1">
            <w:pPr>
              <w:jc w:val="center"/>
            </w:pPr>
            <w:r>
              <w:t>&gt; 1/4"</w:t>
            </w:r>
          </w:p>
        </w:tc>
        <w:tc>
          <w:tcPr>
            <w:tcW w:w="1576" w:type="dxa"/>
            <w:tcBorders>
              <w:top w:val="single" w:sz="4" w:space="0" w:color="auto"/>
            </w:tcBorders>
          </w:tcPr>
          <w:p w:rsidR="00D576D3" w:rsidRDefault="00D576D3" w:rsidP="00C631D1">
            <w:pPr>
              <w:jc w:val="center"/>
            </w:pPr>
            <w:r>
              <w:t>&gt;3/16” &lt; 1/4"</w:t>
            </w:r>
          </w:p>
        </w:tc>
        <w:tc>
          <w:tcPr>
            <w:tcW w:w="1566" w:type="dxa"/>
            <w:tcBorders>
              <w:top w:val="single" w:sz="4" w:space="0" w:color="auto"/>
            </w:tcBorders>
          </w:tcPr>
          <w:p w:rsidR="00D576D3" w:rsidRDefault="00D576D3" w:rsidP="00C631D1">
            <w:pPr>
              <w:jc w:val="center"/>
            </w:pPr>
            <w:r>
              <w:t>&gt;1/8” &lt; 3/16”</w:t>
            </w:r>
          </w:p>
        </w:tc>
        <w:tc>
          <w:tcPr>
            <w:tcW w:w="1421" w:type="dxa"/>
            <w:tcBorders>
              <w:top w:val="single" w:sz="4" w:space="0" w:color="auto"/>
            </w:tcBorders>
          </w:tcPr>
          <w:p w:rsidR="00D576D3" w:rsidRDefault="00D576D3" w:rsidP="00C631D1">
            <w:pPr>
              <w:jc w:val="center"/>
            </w:pPr>
            <w:r>
              <w:t>&gt;1/6” &lt;1/8”</w:t>
            </w:r>
          </w:p>
        </w:tc>
        <w:tc>
          <w:tcPr>
            <w:tcW w:w="1295" w:type="dxa"/>
            <w:tcBorders>
              <w:top w:val="single" w:sz="4" w:space="0" w:color="auto"/>
            </w:tcBorders>
          </w:tcPr>
          <w:p w:rsidR="00D576D3" w:rsidRDefault="00D576D3" w:rsidP="00C631D1">
            <w:pPr>
              <w:jc w:val="center"/>
            </w:pPr>
            <w:r>
              <w:t>&lt;1/16”</w:t>
            </w:r>
          </w:p>
        </w:tc>
      </w:tr>
      <w:tr w:rsidR="00D576D3" w:rsidTr="008959CE">
        <w:tc>
          <w:tcPr>
            <w:tcW w:w="2880" w:type="dxa"/>
            <w:tcBorders>
              <w:top w:val="single" w:sz="4" w:space="0" w:color="auto"/>
            </w:tcBorders>
          </w:tcPr>
          <w:p w:rsidR="00D576D3" w:rsidRPr="00C631D1" w:rsidRDefault="00D576D3" w:rsidP="00C631D1">
            <w:pPr>
              <w:jc w:val="center"/>
              <w:rPr>
                <w:u w:val="single"/>
              </w:rPr>
            </w:pPr>
            <w:r w:rsidRPr="00C631D1">
              <w:rPr>
                <w:u w:val="single"/>
              </w:rPr>
              <w:t>Part Dimension</w:t>
            </w:r>
          </w:p>
        </w:tc>
        <w:tc>
          <w:tcPr>
            <w:tcW w:w="879" w:type="dxa"/>
            <w:tcBorders>
              <w:top w:val="single" w:sz="4" w:space="0" w:color="auto"/>
            </w:tcBorders>
          </w:tcPr>
          <w:p w:rsidR="00D576D3" w:rsidRDefault="00D576D3" w:rsidP="00C631D1">
            <w:pPr>
              <w:jc w:val="center"/>
            </w:pPr>
            <w:r>
              <w:rPr>
                <w:i/>
              </w:rPr>
              <w:t xml:space="preserve">f </w:t>
            </w:r>
            <w:r>
              <w:t>/ %</w:t>
            </w:r>
          </w:p>
        </w:tc>
        <w:tc>
          <w:tcPr>
            <w:tcW w:w="1576" w:type="dxa"/>
            <w:tcBorders>
              <w:top w:val="single" w:sz="4" w:space="0" w:color="auto"/>
            </w:tcBorders>
          </w:tcPr>
          <w:p w:rsidR="00D576D3" w:rsidRDefault="00D576D3" w:rsidP="00C631D1">
            <w:pPr>
              <w:jc w:val="center"/>
            </w:pPr>
            <w:r>
              <w:rPr>
                <w:i/>
              </w:rPr>
              <w:t xml:space="preserve">f </w:t>
            </w:r>
            <w:r>
              <w:t>/ %</w:t>
            </w:r>
          </w:p>
        </w:tc>
        <w:tc>
          <w:tcPr>
            <w:tcW w:w="1566" w:type="dxa"/>
            <w:tcBorders>
              <w:top w:val="single" w:sz="4" w:space="0" w:color="auto"/>
            </w:tcBorders>
          </w:tcPr>
          <w:p w:rsidR="00D576D3" w:rsidRDefault="00D576D3" w:rsidP="00C631D1">
            <w:pPr>
              <w:jc w:val="center"/>
            </w:pPr>
            <w:r>
              <w:rPr>
                <w:i/>
              </w:rPr>
              <w:t xml:space="preserve">f </w:t>
            </w:r>
            <w:r>
              <w:t>/ %</w:t>
            </w:r>
          </w:p>
        </w:tc>
        <w:tc>
          <w:tcPr>
            <w:tcW w:w="1421" w:type="dxa"/>
            <w:tcBorders>
              <w:top w:val="single" w:sz="4" w:space="0" w:color="auto"/>
            </w:tcBorders>
          </w:tcPr>
          <w:p w:rsidR="00D576D3" w:rsidRDefault="00D576D3" w:rsidP="00C631D1">
            <w:pPr>
              <w:jc w:val="center"/>
            </w:pPr>
            <w:r>
              <w:rPr>
                <w:i/>
              </w:rPr>
              <w:t xml:space="preserve">f </w:t>
            </w:r>
            <w:r>
              <w:t>/ %</w:t>
            </w:r>
          </w:p>
        </w:tc>
        <w:tc>
          <w:tcPr>
            <w:tcW w:w="1295" w:type="dxa"/>
            <w:tcBorders>
              <w:top w:val="single" w:sz="4" w:space="0" w:color="auto"/>
            </w:tcBorders>
          </w:tcPr>
          <w:p w:rsidR="00D576D3" w:rsidRDefault="00D576D3" w:rsidP="00C631D1">
            <w:pPr>
              <w:jc w:val="center"/>
            </w:pPr>
            <w:r>
              <w:rPr>
                <w:i/>
              </w:rPr>
              <w:t xml:space="preserve">f </w:t>
            </w:r>
            <w:r>
              <w:t>/ %</w:t>
            </w:r>
          </w:p>
        </w:tc>
      </w:tr>
      <w:tr w:rsidR="00D576D3" w:rsidTr="008959CE">
        <w:tc>
          <w:tcPr>
            <w:tcW w:w="2880" w:type="dxa"/>
          </w:tcPr>
          <w:p w:rsidR="00D576D3" w:rsidRDefault="00D576D3" w:rsidP="006252FE">
            <w:r>
              <w:t>Top Right Axel Bracket</w:t>
            </w:r>
          </w:p>
        </w:tc>
        <w:tc>
          <w:tcPr>
            <w:tcW w:w="879" w:type="dxa"/>
          </w:tcPr>
          <w:p w:rsidR="00D576D3" w:rsidRDefault="00D576D3" w:rsidP="00C631D1">
            <w:pPr>
              <w:jc w:val="center"/>
            </w:pPr>
            <w:r>
              <w:t>1</w:t>
            </w:r>
            <w:r w:rsidR="00577FF5">
              <w:t>/10%</w:t>
            </w:r>
          </w:p>
        </w:tc>
        <w:tc>
          <w:tcPr>
            <w:tcW w:w="1576" w:type="dxa"/>
          </w:tcPr>
          <w:p w:rsidR="00D576D3" w:rsidRDefault="00D576D3" w:rsidP="00C631D1">
            <w:pPr>
              <w:jc w:val="center"/>
            </w:pPr>
            <w:r>
              <w:t>1</w:t>
            </w:r>
            <w:r w:rsidR="00577FF5">
              <w:t>/10%</w:t>
            </w:r>
          </w:p>
        </w:tc>
        <w:tc>
          <w:tcPr>
            <w:tcW w:w="1566" w:type="dxa"/>
          </w:tcPr>
          <w:p w:rsidR="00D576D3" w:rsidRDefault="00D576D3" w:rsidP="00C631D1">
            <w:pPr>
              <w:jc w:val="center"/>
            </w:pPr>
            <w:r>
              <w:t>2</w:t>
            </w:r>
            <w:r w:rsidR="00577FF5">
              <w:t>/20%</w:t>
            </w:r>
          </w:p>
        </w:tc>
        <w:tc>
          <w:tcPr>
            <w:tcW w:w="1421" w:type="dxa"/>
          </w:tcPr>
          <w:p w:rsidR="00D576D3" w:rsidRDefault="00D576D3" w:rsidP="00C631D1">
            <w:pPr>
              <w:jc w:val="center"/>
            </w:pPr>
            <w:r>
              <w:t>0/0%</w:t>
            </w:r>
          </w:p>
        </w:tc>
        <w:tc>
          <w:tcPr>
            <w:tcW w:w="1295" w:type="dxa"/>
          </w:tcPr>
          <w:p w:rsidR="00D576D3" w:rsidRDefault="00D576D3" w:rsidP="00C631D1">
            <w:pPr>
              <w:jc w:val="center"/>
            </w:pPr>
            <w:r>
              <w:t>6</w:t>
            </w:r>
            <w:r w:rsidR="00577FF5">
              <w:t>/60%</w:t>
            </w:r>
          </w:p>
        </w:tc>
      </w:tr>
      <w:tr w:rsidR="00D576D3" w:rsidTr="008959CE">
        <w:tc>
          <w:tcPr>
            <w:tcW w:w="2880" w:type="dxa"/>
          </w:tcPr>
          <w:p w:rsidR="00D576D3" w:rsidRDefault="00D576D3" w:rsidP="006252FE">
            <w:r>
              <w:t>Bottom Right Axel Bracket</w:t>
            </w:r>
          </w:p>
        </w:tc>
        <w:tc>
          <w:tcPr>
            <w:tcW w:w="879" w:type="dxa"/>
          </w:tcPr>
          <w:p w:rsidR="00D576D3" w:rsidRDefault="00D576D3" w:rsidP="00C631D1">
            <w:pPr>
              <w:jc w:val="center"/>
            </w:pPr>
            <w:r>
              <w:t>0</w:t>
            </w:r>
            <w:r w:rsidR="00577FF5">
              <w:t>/0%</w:t>
            </w:r>
          </w:p>
        </w:tc>
        <w:tc>
          <w:tcPr>
            <w:tcW w:w="1576" w:type="dxa"/>
          </w:tcPr>
          <w:p w:rsidR="00D576D3" w:rsidRDefault="00D576D3" w:rsidP="00C631D1">
            <w:pPr>
              <w:jc w:val="center"/>
            </w:pPr>
            <w:r>
              <w:t>1</w:t>
            </w:r>
            <w:r w:rsidR="00577FF5">
              <w:t>/1</w:t>
            </w:r>
            <w:r w:rsidR="00332500">
              <w:t>1</w:t>
            </w:r>
            <w:r w:rsidR="00577FF5">
              <w:t>%</w:t>
            </w:r>
          </w:p>
        </w:tc>
        <w:tc>
          <w:tcPr>
            <w:tcW w:w="1566" w:type="dxa"/>
          </w:tcPr>
          <w:p w:rsidR="00D576D3" w:rsidRDefault="00D576D3" w:rsidP="00C631D1">
            <w:pPr>
              <w:jc w:val="center"/>
            </w:pPr>
            <w:r>
              <w:t>3</w:t>
            </w:r>
            <w:r w:rsidR="00577FF5">
              <w:t>/3</w:t>
            </w:r>
            <w:r w:rsidR="00332500">
              <w:t>3</w:t>
            </w:r>
            <w:r w:rsidR="00577FF5">
              <w:t>%</w:t>
            </w:r>
          </w:p>
        </w:tc>
        <w:tc>
          <w:tcPr>
            <w:tcW w:w="1421" w:type="dxa"/>
          </w:tcPr>
          <w:p w:rsidR="00D576D3" w:rsidRDefault="00D576D3" w:rsidP="00C631D1">
            <w:pPr>
              <w:jc w:val="center"/>
            </w:pPr>
            <w:r>
              <w:t>0</w:t>
            </w:r>
            <w:r w:rsidR="00577FF5">
              <w:t>/0%</w:t>
            </w:r>
          </w:p>
        </w:tc>
        <w:tc>
          <w:tcPr>
            <w:tcW w:w="1295" w:type="dxa"/>
          </w:tcPr>
          <w:p w:rsidR="00D576D3" w:rsidRDefault="00D576D3" w:rsidP="00C631D1">
            <w:pPr>
              <w:jc w:val="center"/>
            </w:pPr>
            <w:r>
              <w:t>5</w:t>
            </w:r>
            <w:r w:rsidR="00577FF5" w:rsidRPr="00577FF5">
              <w:t>/</w:t>
            </w:r>
            <w:r w:rsidR="00577FF5">
              <w:t>5</w:t>
            </w:r>
            <w:r w:rsidR="00332500">
              <w:t>6</w:t>
            </w:r>
            <w:r w:rsidR="00577FF5" w:rsidRPr="00577FF5">
              <w:t>%</w:t>
            </w:r>
          </w:p>
        </w:tc>
      </w:tr>
      <w:tr w:rsidR="00D576D3" w:rsidTr="008959CE">
        <w:tc>
          <w:tcPr>
            <w:tcW w:w="2880" w:type="dxa"/>
          </w:tcPr>
          <w:p w:rsidR="00D576D3" w:rsidRDefault="00D576D3" w:rsidP="006252FE">
            <w:r>
              <w:t>Top Left Axel Bracket</w:t>
            </w:r>
          </w:p>
        </w:tc>
        <w:tc>
          <w:tcPr>
            <w:tcW w:w="879" w:type="dxa"/>
          </w:tcPr>
          <w:p w:rsidR="00D576D3" w:rsidRDefault="00D576D3" w:rsidP="00C631D1">
            <w:pPr>
              <w:jc w:val="center"/>
            </w:pPr>
            <w:r>
              <w:t>2</w:t>
            </w:r>
            <w:r w:rsidR="00577FF5">
              <w:t>/20%</w:t>
            </w:r>
          </w:p>
        </w:tc>
        <w:tc>
          <w:tcPr>
            <w:tcW w:w="1576" w:type="dxa"/>
          </w:tcPr>
          <w:p w:rsidR="00D576D3" w:rsidRDefault="00D576D3" w:rsidP="00C631D1">
            <w:pPr>
              <w:jc w:val="center"/>
            </w:pPr>
            <w:r>
              <w:t>0</w:t>
            </w:r>
            <w:r w:rsidR="00577FF5">
              <w:t>/0%</w:t>
            </w:r>
          </w:p>
        </w:tc>
        <w:tc>
          <w:tcPr>
            <w:tcW w:w="1566" w:type="dxa"/>
          </w:tcPr>
          <w:p w:rsidR="00D576D3" w:rsidRDefault="00D576D3" w:rsidP="00C631D1">
            <w:pPr>
              <w:jc w:val="center"/>
            </w:pPr>
            <w:r>
              <w:t>1</w:t>
            </w:r>
            <w:r w:rsidR="00577FF5">
              <w:t>/10%</w:t>
            </w:r>
          </w:p>
        </w:tc>
        <w:tc>
          <w:tcPr>
            <w:tcW w:w="1421" w:type="dxa"/>
          </w:tcPr>
          <w:p w:rsidR="00D576D3" w:rsidRDefault="00D576D3" w:rsidP="00C631D1">
            <w:pPr>
              <w:jc w:val="center"/>
            </w:pPr>
            <w:r>
              <w:t>1</w:t>
            </w:r>
            <w:r w:rsidR="00577FF5">
              <w:t>/10%</w:t>
            </w:r>
          </w:p>
        </w:tc>
        <w:tc>
          <w:tcPr>
            <w:tcW w:w="1295" w:type="dxa"/>
          </w:tcPr>
          <w:p w:rsidR="00D576D3" w:rsidRDefault="00D576D3" w:rsidP="00C631D1">
            <w:pPr>
              <w:jc w:val="center"/>
            </w:pPr>
            <w:r>
              <w:t>6</w:t>
            </w:r>
            <w:r w:rsidR="00577FF5">
              <w:t>/60%</w:t>
            </w:r>
          </w:p>
        </w:tc>
      </w:tr>
      <w:tr w:rsidR="00D576D3" w:rsidTr="008959CE">
        <w:tc>
          <w:tcPr>
            <w:tcW w:w="2880" w:type="dxa"/>
          </w:tcPr>
          <w:p w:rsidR="00D576D3" w:rsidRDefault="00D576D3" w:rsidP="006252FE">
            <w:r>
              <w:t>Bottom Left Axel Bracket</w:t>
            </w:r>
          </w:p>
        </w:tc>
        <w:tc>
          <w:tcPr>
            <w:tcW w:w="879" w:type="dxa"/>
          </w:tcPr>
          <w:p w:rsidR="00D576D3" w:rsidRDefault="00D576D3" w:rsidP="00C631D1">
            <w:pPr>
              <w:jc w:val="center"/>
            </w:pPr>
            <w:r>
              <w:t>2</w:t>
            </w:r>
            <w:r w:rsidR="00577FF5">
              <w:t>/20%</w:t>
            </w:r>
          </w:p>
        </w:tc>
        <w:tc>
          <w:tcPr>
            <w:tcW w:w="1576" w:type="dxa"/>
          </w:tcPr>
          <w:p w:rsidR="00D576D3" w:rsidRDefault="00D576D3" w:rsidP="00C631D1">
            <w:pPr>
              <w:jc w:val="center"/>
            </w:pPr>
            <w:r>
              <w:t>0</w:t>
            </w:r>
            <w:r w:rsidR="00577FF5">
              <w:t>/0%</w:t>
            </w:r>
          </w:p>
        </w:tc>
        <w:tc>
          <w:tcPr>
            <w:tcW w:w="1566" w:type="dxa"/>
          </w:tcPr>
          <w:p w:rsidR="00D576D3" w:rsidRDefault="00D576D3" w:rsidP="00C631D1">
            <w:pPr>
              <w:jc w:val="center"/>
            </w:pPr>
            <w:r>
              <w:t>3</w:t>
            </w:r>
            <w:r w:rsidR="00577FF5">
              <w:t>/30%</w:t>
            </w:r>
          </w:p>
        </w:tc>
        <w:tc>
          <w:tcPr>
            <w:tcW w:w="1421" w:type="dxa"/>
          </w:tcPr>
          <w:p w:rsidR="00D576D3" w:rsidRDefault="00D576D3" w:rsidP="00C631D1">
            <w:pPr>
              <w:jc w:val="center"/>
            </w:pPr>
            <w:r>
              <w:t>1</w:t>
            </w:r>
            <w:r w:rsidR="00577FF5">
              <w:t>/10%</w:t>
            </w:r>
          </w:p>
        </w:tc>
        <w:tc>
          <w:tcPr>
            <w:tcW w:w="1295" w:type="dxa"/>
          </w:tcPr>
          <w:p w:rsidR="00D576D3" w:rsidRDefault="00D576D3" w:rsidP="00C631D1">
            <w:pPr>
              <w:jc w:val="center"/>
            </w:pPr>
            <w:r>
              <w:t>4</w:t>
            </w:r>
            <w:r w:rsidR="00577FF5">
              <w:t>/40%</w:t>
            </w:r>
          </w:p>
        </w:tc>
      </w:tr>
      <w:tr w:rsidR="00D576D3" w:rsidTr="008959CE">
        <w:tc>
          <w:tcPr>
            <w:tcW w:w="2880" w:type="dxa"/>
          </w:tcPr>
          <w:p w:rsidR="00D576D3" w:rsidRPr="00C631D1" w:rsidRDefault="00D576D3" w:rsidP="00C631D1">
            <w:pPr>
              <w:jc w:val="center"/>
              <w:rPr>
                <w:u w:val="single"/>
              </w:rPr>
            </w:pPr>
            <w:r w:rsidRPr="00C631D1">
              <w:rPr>
                <w:u w:val="single"/>
              </w:rPr>
              <w:t>Drilled Hole Location</w:t>
            </w:r>
          </w:p>
        </w:tc>
        <w:tc>
          <w:tcPr>
            <w:tcW w:w="879" w:type="dxa"/>
          </w:tcPr>
          <w:p w:rsidR="00D576D3" w:rsidRDefault="00D576D3" w:rsidP="00C631D1">
            <w:pPr>
              <w:jc w:val="center"/>
            </w:pPr>
          </w:p>
        </w:tc>
        <w:tc>
          <w:tcPr>
            <w:tcW w:w="1576" w:type="dxa"/>
          </w:tcPr>
          <w:p w:rsidR="00D576D3" w:rsidRDefault="00D576D3" w:rsidP="00C631D1">
            <w:pPr>
              <w:jc w:val="center"/>
            </w:pPr>
          </w:p>
        </w:tc>
        <w:tc>
          <w:tcPr>
            <w:tcW w:w="1566" w:type="dxa"/>
          </w:tcPr>
          <w:p w:rsidR="00D576D3" w:rsidRDefault="00D576D3" w:rsidP="00577FF5"/>
        </w:tc>
        <w:tc>
          <w:tcPr>
            <w:tcW w:w="1421" w:type="dxa"/>
          </w:tcPr>
          <w:p w:rsidR="00D576D3" w:rsidRDefault="00D576D3" w:rsidP="00C631D1">
            <w:pPr>
              <w:jc w:val="center"/>
            </w:pPr>
          </w:p>
        </w:tc>
        <w:tc>
          <w:tcPr>
            <w:tcW w:w="1295" w:type="dxa"/>
          </w:tcPr>
          <w:p w:rsidR="00D576D3" w:rsidRDefault="00D576D3" w:rsidP="00C631D1">
            <w:pPr>
              <w:jc w:val="center"/>
            </w:pPr>
          </w:p>
        </w:tc>
      </w:tr>
      <w:tr w:rsidR="00D576D3" w:rsidTr="008959CE">
        <w:tc>
          <w:tcPr>
            <w:tcW w:w="2880" w:type="dxa"/>
          </w:tcPr>
          <w:p w:rsidR="00D576D3" w:rsidRDefault="00D576D3" w:rsidP="00C631D1">
            <w:r>
              <w:t>Top Right Axel Bracket</w:t>
            </w:r>
          </w:p>
        </w:tc>
        <w:tc>
          <w:tcPr>
            <w:tcW w:w="879" w:type="dxa"/>
          </w:tcPr>
          <w:p w:rsidR="00D576D3" w:rsidRDefault="00D576D3" w:rsidP="00C631D1">
            <w:pPr>
              <w:jc w:val="center"/>
            </w:pPr>
            <w:r>
              <w:t>1</w:t>
            </w:r>
            <w:r w:rsidR="00577FF5">
              <w:t>/1</w:t>
            </w:r>
            <w:r w:rsidR="00332500">
              <w:t>1</w:t>
            </w:r>
            <w:r w:rsidR="00577FF5">
              <w:t>%</w:t>
            </w:r>
          </w:p>
        </w:tc>
        <w:tc>
          <w:tcPr>
            <w:tcW w:w="1576" w:type="dxa"/>
          </w:tcPr>
          <w:p w:rsidR="00D576D3" w:rsidRDefault="00577FF5" w:rsidP="00C631D1">
            <w:pPr>
              <w:jc w:val="center"/>
            </w:pPr>
            <w:r>
              <w:t>0/0%</w:t>
            </w:r>
          </w:p>
        </w:tc>
        <w:tc>
          <w:tcPr>
            <w:tcW w:w="1566" w:type="dxa"/>
          </w:tcPr>
          <w:p w:rsidR="00D576D3" w:rsidRDefault="00D576D3" w:rsidP="00C631D1">
            <w:pPr>
              <w:jc w:val="center"/>
            </w:pPr>
            <w:r>
              <w:t>2</w:t>
            </w:r>
            <w:r w:rsidR="00577FF5">
              <w:t>/2</w:t>
            </w:r>
            <w:r w:rsidR="00332500">
              <w:t>2</w:t>
            </w:r>
            <w:r w:rsidR="00577FF5">
              <w:t>%</w:t>
            </w:r>
          </w:p>
        </w:tc>
        <w:tc>
          <w:tcPr>
            <w:tcW w:w="1421" w:type="dxa"/>
          </w:tcPr>
          <w:p w:rsidR="00D576D3" w:rsidRDefault="00D576D3" w:rsidP="00C631D1">
            <w:pPr>
              <w:jc w:val="center"/>
            </w:pPr>
            <w:r>
              <w:t>2</w:t>
            </w:r>
            <w:r w:rsidR="00577FF5">
              <w:t>/2</w:t>
            </w:r>
            <w:r w:rsidR="00332500">
              <w:t>2</w:t>
            </w:r>
            <w:r w:rsidR="00577FF5">
              <w:t>%</w:t>
            </w:r>
          </w:p>
        </w:tc>
        <w:tc>
          <w:tcPr>
            <w:tcW w:w="1295" w:type="dxa"/>
          </w:tcPr>
          <w:p w:rsidR="00D576D3" w:rsidRDefault="00D576D3" w:rsidP="00C631D1">
            <w:pPr>
              <w:jc w:val="center"/>
            </w:pPr>
            <w:r>
              <w:t>4</w:t>
            </w:r>
            <w:r w:rsidR="00577FF5">
              <w:t>/4</w:t>
            </w:r>
            <w:r w:rsidR="00332500">
              <w:t>4</w:t>
            </w:r>
            <w:r w:rsidR="00577FF5">
              <w:t>%</w:t>
            </w:r>
          </w:p>
        </w:tc>
      </w:tr>
      <w:tr w:rsidR="00D576D3" w:rsidTr="008959CE">
        <w:tc>
          <w:tcPr>
            <w:tcW w:w="2880" w:type="dxa"/>
          </w:tcPr>
          <w:p w:rsidR="00D576D3" w:rsidRDefault="00D576D3" w:rsidP="00C631D1">
            <w:r>
              <w:t>Bottom Right Axel Bracket</w:t>
            </w:r>
          </w:p>
        </w:tc>
        <w:tc>
          <w:tcPr>
            <w:tcW w:w="879" w:type="dxa"/>
          </w:tcPr>
          <w:p w:rsidR="00D576D3" w:rsidRDefault="00D576D3" w:rsidP="00C631D1">
            <w:pPr>
              <w:jc w:val="center"/>
            </w:pPr>
            <w:r>
              <w:t>1</w:t>
            </w:r>
            <w:r w:rsidR="00577FF5">
              <w:t>/1</w:t>
            </w:r>
            <w:r w:rsidR="00332500">
              <w:t>1</w:t>
            </w:r>
            <w:r w:rsidR="00577FF5">
              <w:t>%</w:t>
            </w:r>
          </w:p>
        </w:tc>
        <w:tc>
          <w:tcPr>
            <w:tcW w:w="1576" w:type="dxa"/>
          </w:tcPr>
          <w:p w:rsidR="00D576D3" w:rsidRDefault="00D576D3" w:rsidP="00C631D1">
            <w:pPr>
              <w:jc w:val="center"/>
            </w:pPr>
            <w:r>
              <w:t>1</w:t>
            </w:r>
            <w:r w:rsidR="00577FF5">
              <w:t>/1</w:t>
            </w:r>
            <w:r w:rsidR="00332500">
              <w:t>1</w:t>
            </w:r>
            <w:r w:rsidR="00577FF5">
              <w:t>%</w:t>
            </w:r>
          </w:p>
        </w:tc>
        <w:tc>
          <w:tcPr>
            <w:tcW w:w="1566" w:type="dxa"/>
          </w:tcPr>
          <w:p w:rsidR="00D576D3" w:rsidRDefault="00D576D3" w:rsidP="00C631D1">
            <w:pPr>
              <w:jc w:val="center"/>
            </w:pPr>
            <w:r>
              <w:t>0</w:t>
            </w:r>
            <w:r w:rsidR="00577FF5">
              <w:t>/0%</w:t>
            </w:r>
          </w:p>
        </w:tc>
        <w:tc>
          <w:tcPr>
            <w:tcW w:w="1421" w:type="dxa"/>
          </w:tcPr>
          <w:p w:rsidR="00D576D3" w:rsidRDefault="00D576D3" w:rsidP="00C631D1">
            <w:pPr>
              <w:jc w:val="center"/>
            </w:pPr>
            <w:r>
              <w:t>3</w:t>
            </w:r>
            <w:r w:rsidR="00577FF5">
              <w:t>/3</w:t>
            </w:r>
            <w:r w:rsidR="00332500">
              <w:t>3</w:t>
            </w:r>
            <w:r w:rsidR="00577FF5">
              <w:t>%</w:t>
            </w:r>
          </w:p>
        </w:tc>
        <w:tc>
          <w:tcPr>
            <w:tcW w:w="1295" w:type="dxa"/>
          </w:tcPr>
          <w:p w:rsidR="00D576D3" w:rsidRDefault="00D576D3" w:rsidP="00C631D1">
            <w:pPr>
              <w:jc w:val="center"/>
            </w:pPr>
            <w:r>
              <w:t>4</w:t>
            </w:r>
            <w:r w:rsidR="00577FF5">
              <w:t>/4</w:t>
            </w:r>
            <w:r w:rsidR="00332500">
              <w:t>4</w:t>
            </w:r>
            <w:r w:rsidR="00577FF5">
              <w:t>%</w:t>
            </w:r>
          </w:p>
        </w:tc>
      </w:tr>
      <w:tr w:rsidR="00D576D3" w:rsidTr="008959CE">
        <w:tc>
          <w:tcPr>
            <w:tcW w:w="2880" w:type="dxa"/>
          </w:tcPr>
          <w:p w:rsidR="00D576D3" w:rsidRDefault="00D576D3" w:rsidP="00C631D1">
            <w:r>
              <w:t>Top Left Axel Bracket</w:t>
            </w:r>
          </w:p>
        </w:tc>
        <w:tc>
          <w:tcPr>
            <w:tcW w:w="879" w:type="dxa"/>
          </w:tcPr>
          <w:p w:rsidR="00D576D3" w:rsidRDefault="00D576D3" w:rsidP="00C631D1">
            <w:pPr>
              <w:jc w:val="center"/>
            </w:pPr>
            <w:r>
              <w:t>1</w:t>
            </w:r>
            <w:r w:rsidR="00577FF5">
              <w:t>/1</w:t>
            </w:r>
            <w:r w:rsidR="00332500">
              <w:t>1</w:t>
            </w:r>
            <w:r w:rsidR="00577FF5">
              <w:t>%</w:t>
            </w:r>
          </w:p>
        </w:tc>
        <w:tc>
          <w:tcPr>
            <w:tcW w:w="1576" w:type="dxa"/>
          </w:tcPr>
          <w:p w:rsidR="00D576D3" w:rsidRDefault="00D576D3" w:rsidP="00C631D1">
            <w:pPr>
              <w:jc w:val="center"/>
            </w:pPr>
            <w:r>
              <w:t>0</w:t>
            </w:r>
            <w:r w:rsidR="00577FF5">
              <w:t>/0%</w:t>
            </w:r>
          </w:p>
        </w:tc>
        <w:tc>
          <w:tcPr>
            <w:tcW w:w="1566" w:type="dxa"/>
          </w:tcPr>
          <w:p w:rsidR="00D576D3" w:rsidRDefault="00D576D3" w:rsidP="00C631D1">
            <w:pPr>
              <w:jc w:val="center"/>
            </w:pPr>
            <w:r>
              <w:t>3</w:t>
            </w:r>
            <w:r w:rsidR="00577FF5">
              <w:t>/3</w:t>
            </w:r>
            <w:r w:rsidR="00332500">
              <w:t>3</w:t>
            </w:r>
            <w:r w:rsidR="00577FF5">
              <w:t>%</w:t>
            </w:r>
          </w:p>
        </w:tc>
        <w:tc>
          <w:tcPr>
            <w:tcW w:w="1421" w:type="dxa"/>
          </w:tcPr>
          <w:p w:rsidR="00D576D3" w:rsidRDefault="00D576D3" w:rsidP="00C631D1">
            <w:pPr>
              <w:jc w:val="center"/>
            </w:pPr>
            <w:r>
              <w:t>0</w:t>
            </w:r>
            <w:r w:rsidR="00577FF5">
              <w:t>/0%</w:t>
            </w:r>
          </w:p>
        </w:tc>
        <w:tc>
          <w:tcPr>
            <w:tcW w:w="1295" w:type="dxa"/>
          </w:tcPr>
          <w:p w:rsidR="00D576D3" w:rsidRDefault="00D576D3" w:rsidP="00C631D1">
            <w:pPr>
              <w:jc w:val="center"/>
            </w:pPr>
            <w:r>
              <w:t>5</w:t>
            </w:r>
            <w:r w:rsidR="00577FF5">
              <w:t>/5</w:t>
            </w:r>
            <w:r w:rsidR="00332500">
              <w:t>6</w:t>
            </w:r>
            <w:r w:rsidR="00577FF5">
              <w:t>%</w:t>
            </w:r>
          </w:p>
        </w:tc>
      </w:tr>
      <w:tr w:rsidR="00D576D3" w:rsidTr="008959CE">
        <w:tc>
          <w:tcPr>
            <w:tcW w:w="2880" w:type="dxa"/>
            <w:tcBorders>
              <w:bottom w:val="single" w:sz="4" w:space="0" w:color="auto"/>
            </w:tcBorders>
          </w:tcPr>
          <w:p w:rsidR="00D576D3" w:rsidRDefault="00D576D3" w:rsidP="00C631D1">
            <w:r>
              <w:t>Bottom Left Axel Bracket</w:t>
            </w:r>
          </w:p>
        </w:tc>
        <w:tc>
          <w:tcPr>
            <w:tcW w:w="879" w:type="dxa"/>
            <w:tcBorders>
              <w:bottom w:val="single" w:sz="4" w:space="0" w:color="auto"/>
            </w:tcBorders>
          </w:tcPr>
          <w:p w:rsidR="00D576D3" w:rsidRDefault="00D576D3" w:rsidP="00C631D1">
            <w:pPr>
              <w:jc w:val="center"/>
            </w:pPr>
            <w:r>
              <w:t>0</w:t>
            </w:r>
            <w:r w:rsidR="00577FF5">
              <w:t>/0%</w:t>
            </w:r>
          </w:p>
        </w:tc>
        <w:tc>
          <w:tcPr>
            <w:tcW w:w="1576" w:type="dxa"/>
            <w:tcBorders>
              <w:bottom w:val="single" w:sz="4" w:space="0" w:color="auto"/>
            </w:tcBorders>
          </w:tcPr>
          <w:p w:rsidR="00D576D3" w:rsidRDefault="00D576D3" w:rsidP="00C631D1">
            <w:pPr>
              <w:jc w:val="center"/>
            </w:pPr>
            <w:r>
              <w:t>0</w:t>
            </w:r>
            <w:r w:rsidR="00577FF5">
              <w:t>/0%</w:t>
            </w:r>
          </w:p>
        </w:tc>
        <w:tc>
          <w:tcPr>
            <w:tcW w:w="1566" w:type="dxa"/>
            <w:tcBorders>
              <w:bottom w:val="single" w:sz="4" w:space="0" w:color="auto"/>
            </w:tcBorders>
          </w:tcPr>
          <w:p w:rsidR="00D576D3" w:rsidRDefault="00D576D3" w:rsidP="00C631D1">
            <w:pPr>
              <w:jc w:val="center"/>
            </w:pPr>
            <w:r>
              <w:t>0</w:t>
            </w:r>
            <w:r w:rsidR="00577FF5">
              <w:t>/0%</w:t>
            </w:r>
          </w:p>
        </w:tc>
        <w:tc>
          <w:tcPr>
            <w:tcW w:w="1421" w:type="dxa"/>
            <w:tcBorders>
              <w:bottom w:val="single" w:sz="4" w:space="0" w:color="auto"/>
            </w:tcBorders>
          </w:tcPr>
          <w:p w:rsidR="00D576D3" w:rsidRDefault="00D576D3" w:rsidP="00C631D1">
            <w:pPr>
              <w:jc w:val="center"/>
            </w:pPr>
            <w:r>
              <w:t>4</w:t>
            </w:r>
            <w:r w:rsidR="00577FF5">
              <w:t>/4</w:t>
            </w:r>
            <w:r w:rsidR="00332500">
              <w:t>4</w:t>
            </w:r>
            <w:r w:rsidR="00577FF5">
              <w:t>%</w:t>
            </w:r>
          </w:p>
        </w:tc>
        <w:tc>
          <w:tcPr>
            <w:tcW w:w="1295" w:type="dxa"/>
            <w:tcBorders>
              <w:bottom w:val="single" w:sz="4" w:space="0" w:color="auto"/>
            </w:tcBorders>
          </w:tcPr>
          <w:p w:rsidR="00D576D3" w:rsidRDefault="00D576D3" w:rsidP="00C631D1">
            <w:pPr>
              <w:jc w:val="center"/>
            </w:pPr>
            <w:r>
              <w:t>5</w:t>
            </w:r>
            <w:r w:rsidR="00577FF5">
              <w:t>/5</w:t>
            </w:r>
            <w:r w:rsidR="00332500">
              <w:t>6</w:t>
            </w:r>
            <w:r w:rsidR="00577FF5">
              <w:t>%</w:t>
            </w:r>
          </w:p>
        </w:tc>
      </w:tr>
    </w:tbl>
    <w:p w:rsidR="00C631D1" w:rsidRDefault="00C631D1" w:rsidP="00D057C8">
      <w:pPr>
        <w:spacing w:before="240" w:line="240" w:lineRule="auto"/>
        <w:jc w:val="center"/>
        <w:rPr>
          <w:b/>
        </w:rPr>
      </w:pPr>
      <w:r>
        <w:rPr>
          <w:b/>
        </w:rPr>
        <w:t>Conclusions</w:t>
      </w:r>
      <w:r w:rsidR="00C64E19">
        <w:rPr>
          <w:b/>
        </w:rPr>
        <w:t xml:space="preserve"> and Recommendations</w:t>
      </w:r>
    </w:p>
    <w:p w:rsidR="00332500" w:rsidRDefault="00C631D1" w:rsidP="00C631D1">
      <w:pPr>
        <w:spacing w:line="240" w:lineRule="auto"/>
      </w:pPr>
      <w:r>
        <w:rPr>
          <w:b/>
        </w:rPr>
        <w:tab/>
      </w:r>
      <w:r>
        <w:t xml:space="preserve">It can be concluded that the students </w:t>
      </w:r>
      <w:r w:rsidR="008959CE">
        <w:t xml:space="preserve">did complete the majority of the CROPS project to the </w:t>
      </w:r>
      <w:r>
        <w:t xml:space="preserve">industry standard put forth </w:t>
      </w:r>
      <w:r w:rsidR="00C64E19">
        <w:t>by the NIOSH blueprints.</w:t>
      </w:r>
      <w:r w:rsidR="00332500">
        <w:t xml:space="preserve"> As agricultural education programs</w:t>
      </w:r>
      <w:r w:rsidR="008959CE">
        <w:t xml:space="preserve"> can give students hands-on learning opportunities they are more capable than other programs to help prepare students for careers after graduation. It is recommended that agricultural education continue to work with industries to incorporate of industry-based certifications into the programs to better prepare students for the 21</w:t>
      </w:r>
      <w:r w:rsidR="008959CE" w:rsidRPr="008959CE">
        <w:rPr>
          <w:vertAlign w:val="superscript"/>
        </w:rPr>
        <w:t>st</w:t>
      </w:r>
      <w:r w:rsidR="008959CE">
        <w:t xml:space="preserve"> century workforce. It is also recommended for programs to allow students to work on sample pieces before cutting pieces for the final product. So that the final product are closer to the industry standard when fabricating the axel brackets.</w:t>
      </w:r>
    </w:p>
    <w:p w:rsidR="00C631D1" w:rsidRDefault="00943D71" w:rsidP="00943D71">
      <w:pPr>
        <w:jc w:val="center"/>
      </w:pPr>
      <w:r>
        <w:br w:type="page"/>
      </w:r>
      <w:r>
        <w:rPr>
          <w:b/>
        </w:rPr>
        <w:lastRenderedPageBreak/>
        <w:t>References</w:t>
      </w:r>
    </w:p>
    <w:p w:rsidR="00A24031" w:rsidRDefault="00A24031" w:rsidP="00A24031">
      <w:pPr>
        <w:ind w:left="720" w:hanging="720"/>
        <w:rPr>
          <w:rFonts w:cs="Times New Roman"/>
        </w:rPr>
      </w:pPr>
      <w:r>
        <w:rPr>
          <w:rFonts w:cs="Times New Roman"/>
        </w:rPr>
        <w:t>DiBenedetto, C. A., &amp; Meyers, B. E. (2016). A Conceptual Model for the Study of Student Readiness in the 21</w:t>
      </w:r>
      <w:r w:rsidRPr="00A24031">
        <w:rPr>
          <w:rFonts w:cs="Times New Roman"/>
          <w:vertAlign w:val="superscript"/>
        </w:rPr>
        <w:t>st</w:t>
      </w:r>
      <w:r>
        <w:rPr>
          <w:rFonts w:cs="Times New Roman"/>
        </w:rPr>
        <w:t xml:space="preserve"> Century. </w:t>
      </w:r>
      <w:r>
        <w:rPr>
          <w:rFonts w:cs="Times New Roman"/>
          <w:i/>
        </w:rPr>
        <w:t>NACTA Journal</w:t>
      </w:r>
      <w:r>
        <w:rPr>
          <w:rFonts w:cs="Times New Roman"/>
        </w:rPr>
        <w:t xml:space="preserve">, </w:t>
      </w:r>
      <w:r>
        <w:rPr>
          <w:rFonts w:cs="Times New Roman"/>
          <w:i/>
        </w:rPr>
        <w:t>60</w:t>
      </w:r>
      <w:r>
        <w:rPr>
          <w:rFonts w:cs="Times New Roman"/>
        </w:rPr>
        <w:t xml:space="preserve">(1a), 28-35. </w:t>
      </w:r>
    </w:p>
    <w:p w:rsidR="00A24031" w:rsidRDefault="00A24031" w:rsidP="00A24031">
      <w:pPr>
        <w:ind w:left="720" w:hanging="720"/>
        <w:rPr>
          <w:rFonts w:cs="Times New Roman"/>
        </w:rPr>
      </w:pPr>
      <w:r>
        <w:rPr>
          <w:rFonts w:cs="Times New Roman"/>
        </w:rPr>
        <w:t xml:space="preserve">Gardner, P. D., &amp; Liu, W. Y. (1997). Prepared to perform? Employers rate work force readiness of new grads. </w:t>
      </w:r>
      <w:r>
        <w:rPr>
          <w:rFonts w:cs="Times New Roman"/>
          <w:i/>
        </w:rPr>
        <w:t>Journal of Career Planning and Employment, 57</w:t>
      </w:r>
      <w:r>
        <w:rPr>
          <w:rFonts w:cs="Times New Roman"/>
        </w:rPr>
        <w:t>(3), 32-56.</w:t>
      </w:r>
    </w:p>
    <w:p w:rsidR="00A24031" w:rsidRPr="00A24031" w:rsidRDefault="00A24031" w:rsidP="00A24031">
      <w:pPr>
        <w:ind w:left="720" w:hanging="720"/>
        <w:rPr>
          <w:rFonts w:cs="Times New Roman"/>
        </w:rPr>
      </w:pPr>
      <w:r>
        <w:rPr>
          <w:rFonts w:cs="Times New Roman"/>
        </w:rPr>
        <w:t>Lynch, R. L. (2000). High school career and technical education for the decade of the 21</w:t>
      </w:r>
      <w:r w:rsidRPr="00A24031">
        <w:rPr>
          <w:rFonts w:cs="Times New Roman"/>
          <w:vertAlign w:val="superscript"/>
        </w:rPr>
        <w:t>st</w:t>
      </w:r>
      <w:r>
        <w:rPr>
          <w:rFonts w:cs="Times New Roman"/>
        </w:rPr>
        <w:t xml:space="preserve"> century. </w:t>
      </w:r>
      <w:r>
        <w:rPr>
          <w:rFonts w:cs="Times New Roman"/>
          <w:i/>
        </w:rPr>
        <w:t>Journal of Vocational Education Research, 25</w:t>
      </w:r>
      <w:r>
        <w:rPr>
          <w:rFonts w:cs="Times New Roman"/>
        </w:rPr>
        <w:t xml:space="preserve">(2), 155-198. </w:t>
      </w:r>
    </w:p>
    <w:p w:rsidR="00A24031" w:rsidRDefault="00A24031" w:rsidP="00A24031">
      <w:pPr>
        <w:ind w:left="720" w:hanging="720"/>
        <w:rPr>
          <w:rFonts w:cs="Times New Roman"/>
        </w:rPr>
      </w:pPr>
      <w:proofErr w:type="spellStart"/>
      <w:r w:rsidRPr="00776587">
        <w:rPr>
          <w:rFonts w:cs="Times New Roman"/>
        </w:rPr>
        <w:t>Mandinach</w:t>
      </w:r>
      <w:proofErr w:type="spellEnd"/>
      <w:r>
        <w:rPr>
          <w:rFonts w:cs="Times New Roman"/>
        </w:rPr>
        <w:t>, E. B.</w:t>
      </w:r>
      <w:r w:rsidRPr="00776587">
        <w:rPr>
          <w:rFonts w:cs="Times New Roman"/>
        </w:rPr>
        <w:t xml:space="preserve"> (2012)</w:t>
      </w:r>
      <w:r>
        <w:rPr>
          <w:rFonts w:cs="Times New Roman"/>
        </w:rPr>
        <w:t>.</w:t>
      </w:r>
      <w:r w:rsidRPr="00776587">
        <w:rPr>
          <w:rFonts w:cs="Times New Roman"/>
        </w:rPr>
        <w:t xml:space="preserve"> A Perfect Time for Data Use: Using </w:t>
      </w:r>
      <w:proofErr w:type="spellStart"/>
      <w:r w:rsidRPr="00776587">
        <w:rPr>
          <w:rFonts w:cs="Times New Roman"/>
        </w:rPr>
        <w:t>DataDriven</w:t>
      </w:r>
      <w:proofErr w:type="spellEnd"/>
      <w:r w:rsidRPr="00776587">
        <w:rPr>
          <w:rFonts w:cs="Times New Roman"/>
        </w:rPr>
        <w:t xml:space="preserve"> Decision Making to Inform Practice, </w:t>
      </w:r>
      <w:r w:rsidRPr="00776587">
        <w:rPr>
          <w:rFonts w:cs="Times New Roman"/>
          <w:i/>
        </w:rPr>
        <w:t>Educational Psychologist</w:t>
      </w:r>
      <w:r w:rsidRPr="00776587">
        <w:rPr>
          <w:rFonts w:cs="Times New Roman"/>
        </w:rPr>
        <w:t xml:space="preserve">, </w:t>
      </w:r>
      <w:r w:rsidRPr="00943D71">
        <w:rPr>
          <w:rFonts w:cs="Times New Roman"/>
          <w:i/>
        </w:rPr>
        <w:t>47</w:t>
      </w:r>
      <w:r w:rsidRPr="00943D71">
        <w:rPr>
          <w:rFonts w:cs="Times New Roman"/>
        </w:rPr>
        <w:t>(</w:t>
      </w:r>
      <w:r w:rsidRPr="00776587">
        <w:rPr>
          <w:rFonts w:cs="Times New Roman"/>
        </w:rPr>
        <w:t>2</w:t>
      </w:r>
      <w:r>
        <w:rPr>
          <w:rFonts w:cs="Times New Roman"/>
        </w:rPr>
        <w:t xml:space="preserve">), 71-85. </w:t>
      </w:r>
      <w:proofErr w:type="spellStart"/>
      <w:r>
        <w:rPr>
          <w:rFonts w:cs="Times New Roman"/>
        </w:rPr>
        <w:t>doi</w:t>
      </w:r>
      <w:proofErr w:type="spellEnd"/>
      <w:r>
        <w:rPr>
          <w:rFonts w:cs="Times New Roman"/>
        </w:rPr>
        <w:t xml:space="preserve">: </w:t>
      </w:r>
      <w:r w:rsidRPr="00A24031">
        <w:rPr>
          <w:rFonts w:cs="Times New Roman"/>
        </w:rPr>
        <w:t>10.1080/00461520.2012.667064</w:t>
      </w:r>
    </w:p>
    <w:p w:rsidR="00577FF5" w:rsidRDefault="00577FF5" w:rsidP="00A24031">
      <w:pPr>
        <w:ind w:left="720" w:hanging="720"/>
        <w:rPr>
          <w:rFonts w:cs="Times New Roman"/>
        </w:rPr>
      </w:pPr>
      <w:r>
        <w:rPr>
          <w:rFonts w:cs="Times New Roman"/>
        </w:rPr>
        <w:t xml:space="preserve">National Institute for Occupational Safety and Health (NIOSH). (2016). Agricultural Safety. Retrieved from: </w:t>
      </w:r>
      <w:r w:rsidRPr="00577FF5">
        <w:rPr>
          <w:rFonts w:cs="Times New Roman"/>
        </w:rPr>
        <w:t>https://www.cdc.gov/niosh/topics/aginjury/crops/</w:t>
      </w:r>
    </w:p>
    <w:p w:rsidR="00C05179" w:rsidRPr="00C05179" w:rsidRDefault="00C05179" w:rsidP="00A24031">
      <w:pPr>
        <w:ind w:left="720" w:hanging="720"/>
        <w:rPr>
          <w:rFonts w:cs="Times New Roman"/>
        </w:rPr>
      </w:pPr>
      <w:r>
        <w:rPr>
          <w:rFonts w:cs="Times New Roman"/>
        </w:rPr>
        <w:t xml:space="preserve">Wilcox, D. (2006) The Role of Industry Based Certifications in Career and Technical Education. </w:t>
      </w:r>
      <w:r>
        <w:rPr>
          <w:rFonts w:cs="Times New Roman"/>
          <w:i/>
        </w:rPr>
        <w:t>Techniques: Connecting Education and Careers, 81</w:t>
      </w:r>
      <w:r>
        <w:rPr>
          <w:rFonts w:cs="Times New Roman"/>
        </w:rPr>
        <w:t xml:space="preserve">(1), 21-23. </w:t>
      </w:r>
    </w:p>
    <w:p w:rsidR="00943D71" w:rsidRDefault="00943D71" w:rsidP="00943D71">
      <w:pPr>
        <w:ind w:left="720" w:hanging="720"/>
        <w:rPr>
          <w:rFonts w:cs="Times New Roman"/>
        </w:rPr>
      </w:pPr>
      <w:proofErr w:type="spellStart"/>
      <w:r w:rsidRPr="008C7EF8">
        <w:rPr>
          <w:rFonts w:cs="Times New Roman"/>
        </w:rPr>
        <w:t>Wohlstetter</w:t>
      </w:r>
      <w:proofErr w:type="spellEnd"/>
      <w:r w:rsidRPr="008C7EF8">
        <w:rPr>
          <w:rFonts w:cs="Times New Roman"/>
        </w:rPr>
        <w:t xml:space="preserve">, P., </w:t>
      </w:r>
      <w:proofErr w:type="spellStart"/>
      <w:r w:rsidRPr="008C7EF8">
        <w:rPr>
          <w:rFonts w:cs="Times New Roman"/>
        </w:rPr>
        <w:t>Datnow</w:t>
      </w:r>
      <w:proofErr w:type="spellEnd"/>
      <w:r w:rsidRPr="008C7EF8">
        <w:rPr>
          <w:rFonts w:cs="Times New Roman"/>
        </w:rPr>
        <w:t xml:space="preserve">, A., &amp; Park, V. (2008). Creating a system for data-driven decision-making: applying the principal-agent framework. </w:t>
      </w:r>
      <w:r w:rsidRPr="00776587">
        <w:rPr>
          <w:rFonts w:cs="Times New Roman"/>
          <w:i/>
        </w:rPr>
        <w:t>School Effectiveness and School Improvement</w:t>
      </w:r>
      <w:r w:rsidRPr="008C7EF8">
        <w:rPr>
          <w:rFonts w:cs="Times New Roman"/>
        </w:rPr>
        <w:t xml:space="preserve">, </w:t>
      </w:r>
      <w:r w:rsidRPr="00943D71">
        <w:rPr>
          <w:rFonts w:cs="Times New Roman"/>
          <w:i/>
        </w:rPr>
        <w:t>19</w:t>
      </w:r>
      <w:r w:rsidRPr="008C7EF8">
        <w:rPr>
          <w:rFonts w:cs="Times New Roman"/>
        </w:rPr>
        <w:t>(3), 239-259. Retrieved February 13, 2017.</w:t>
      </w:r>
      <w:r w:rsidR="00A24031">
        <w:rPr>
          <w:rFonts w:cs="Times New Roman"/>
        </w:rPr>
        <w:t xml:space="preserve"> </w:t>
      </w:r>
      <w:proofErr w:type="spellStart"/>
      <w:r w:rsidR="00A24031">
        <w:rPr>
          <w:rFonts w:cs="Times New Roman"/>
        </w:rPr>
        <w:t>doi</w:t>
      </w:r>
      <w:proofErr w:type="spellEnd"/>
      <w:r w:rsidR="00A24031">
        <w:rPr>
          <w:rFonts w:cs="Times New Roman"/>
        </w:rPr>
        <w:t xml:space="preserve">: </w:t>
      </w:r>
      <w:r w:rsidR="00A24031" w:rsidRPr="00A24031">
        <w:rPr>
          <w:rFonts w:cs="Times New Roman"/>
        </w:rPr>
        <w:t>10.1080/09243450802246376</w:t>
      </w:r>
    </w:p>
    <w:p w:rsidR="00943D71" w:rsidRPr="00943D71" w:rsidRDefault="00943D71" w:rsidP="00943D71"/>
    <w:sectPr w:rsidR="00943D71" w:rsidRPr="00943D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Grande">
    <w:altName w:val="Segoe UI"/>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42C4A"/>
    <w:multiLevelType w:val="hybridMultilevel"/>
    <w:tmpl w:val="214A97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410959"/>
    <w:multiLevelType w:val="hybridMultilevel"/>
    <w:tmpl w:val="81C61B0E"/>
    <w:lvl w:ilvl="0" w:tplc="894C98BA">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8CD"/>
    <w:rsid w:val="00052A36"/>
    <w:rsid w:val="000A4F35"/>
    <w:rsid w:val="001308AC"/>
    <w:rsid w:val="00332500"/>
    <w:rsid w:val="00396D2D"/>
    <w:rsid w:val="00577FF5"/>
    <w:rsid w:val="006252FE"/>
    <w:rsid w:val="006318CD"/>
    <w:rsid w:val="006926F6"/>
    <w:rsid w:val="00701EEA"/>
    <w:rsid w:val="00724EF6"/>
    <w:rsid w:val="0073290A"/>
    <w:rsid w:val="0079760C"/>
    <w:rsid w:val="008959CE"/>
    <w:rsid w:val="008A7917"/>
    <w:rsid w:val="008D2A88"/>
    <w:rsid w:val="008D6ECE"/>
    <w:rsid w:val="00943D71"/>
    <w:rsid w:val="00952244"/>
    <w:rsid w:val="00977985"/>
    <w:rsid w:val="009A764F"/>
    <w:rsid w:val="009D5FE7"/>
    <w:rsid w:val="00A24031"/>
    <w:rsid w:val="00A8688D"/>
    <w:rsid w:val="00B80A73"/>
    <w:rsid w:val="00B94153"/>
    <w:rsid w:val="00B96565"/>
    <w:rsid w:val="00C05179"/>
    <w:rsid w:val="00C4060C"/>
    <w:rsid w:val="00C631D1"/>
    <w:rsid w:val="00C64E19"/>
    <w:rsid w:val="00D057C8"/>
    <w:rsid w:val="00D23711"/>
    <w:rsid w:val="00D576D3"/>
    <w:rsid w:val="00DA0D21"/>
    <w:rsid w:val="00DD5B17"/>
    <w:rsid w:val="00DE7BE2"/>
    <w:rsid w:val="00EB70F7"/>
    <w:rsid w:val="00F05159"/>
    <w:rsid w:val="00F23349"/>
    <w:rsid w:val="00FC61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93D878"/>
  <w15:docId w15:val="{63D75C80-A463-4A0B-BD25-B8A0F3E48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5F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5FE7"/>
    <w:pPr>
      <w:ind w:left="720"/>
      <w:contextualSpacing/>
    </w:pPr>
  </w:style>
  <w:style w:type="character" w:styleId="CommentReference">
    <w:name w:val="annotation reference"/>
    <w:basedOn w:val="DefaultParagraphFont"/>
    <w:uiPriority w:val="99"/>
    <w:semiHidden/>
    <w:unhideWhenUsed/>
    <w:rsid w:val="00DE7BE2"/>
    <w:rPr>
      <w:sz w:val="18"/>
      <w:szCs w:val="18"/>
    </w:rPr>
  </w:style>
  <w:style w:type="paragraph" w:styleId="CommentText">
    <w:name w:val="annotation text"/>
    <w:basedOn w:val="Normal"/>
    <w:link w:val="CommentTextChar"/>
    <w:uiPriority w:val="99"/>
    <w:semiHidden/>
    <w:unhideWhenUsed/>
    <w:rsid w:val="00DE7BE2"/>
    <w:pPr>
      <w:spacing w:line="240" w:lineRule="auto"/>
    </w:pPr>
    <w:rPr>
      <w:szCs w:val="24"/>
    </w:rPr>
  </w:style>
  <w:style w:type="character" w:customStyle="1" w:styleId="CommentTextChar">
    <w:name w:val="Comment Text Char"/>
    <w:basedOn w:val="DefaultParagraphFont"/>
    <w:link w:val="CommentText"/>
    <w:uiPriority w:val="99"/>
    <w:semiHidden/>
    <w:rsid w:val="00DE7BE2"/>
    <w:rPr>
      <w:szCs w:val="24"/>
    </w:rPr>
  </w:style>
  <w:style w:type="paragraph" w:styleId="CommentSubject">
    <w:name w:val="annotation subject"/>
    <w:basedOn w:val="CommentText"/>
    <w:next w:val="CommentText"/>
    <w:link w:val="CommentSubjectChar"/>
    <w:uiPriority w:val="99"/>
    <w:semiHidden/>
    <w:unhideWhenUsed/>
    <w:rsid w:val="00DE7BE2"/>
    <w:rPr>
      <w:b/>
      <w:bCs/>
      <w:sz w:val="20"/>
      <w:szCs w:val="20"/>
    </w:rPr>
  </w:style>
  <w:style w:type="character" w:customStyle="1" w:styleId="CommentSubjectChar">
    <w:name w:val="Comment Subject Char"/>
    <w:basedOn w:val="CommentTextChar"/>
    <w:link w:val="CommentSubject"/>
    <w:uiPriority w:val="99"/>
    <w:semiHidden/>
    <w:rsid w:val="00DE7BE2"/>
    <w:rPr>
      <w:b/>
      <w:bCs/>
      <w:sz w:val="20"/>
      <w:szCs w:val="20"/>
    </w:rPr>
  </w:style>
  <w:style w:type="paragraph" w:styleId="BalloonText">
    <w:name w:val="Balloon Text"/>
    <w:basedOn w:val="Normal"/>
    <w:link w:val="BalloonTextChar"/>
    <w:uiPriority w:val="99"/>
    <w:semiHidden/>
    <w:unhideWhenUsed/>
    <w:rsid w:val="00DE7BE2"/>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DE7BE2"/>
    <w:rPr>
      <w:rFonts w:ascii="Lucida Grande" w:hAnsi="Lucida Grande"/>
      <w:sz w:val="18"/>
      <w:szCs w:val="18"/>
    </w:rPr>
  </w:style>
  <w:style w:type="character" w:styleId="Hyperlink">
    <w:name w:val="Hyperlink"/>
    <w:basedOn w:val="DefaultParagraphFont"/>
    <w:uiPriority w:val="99"/>
    <w:unhideWhenUsed/>
    <w:rsid w:val="00724EF6"/>
    <w:rPr>
      <w:color w:val="0563C1" w:themeColor="hyperlink"/>
      <w:u w:val="single"/>
    </w:rPr>
  </w:style>
  <w:style w:type="character" w:styleId="Mention">
    <w:name w:val="Mention"/>
    <w:basedOn w:val="DefaultParagraphFont"/>
    <w:uiPriority w:val="99"/>
    <w:semiHidden/>
    <w:unhideWhenUsed/>
    <w:rsid w:val="00052A36"/>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1234</Words>
  <Characters>7039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Clemson University</Company>
  <LinksUpToDate>false</LinksUpToDate>
  <CharactersWithSpaces>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Preston Byrd</dc:creator>
  <cp:lastModifiedBy>Preston Byrd</cp:lastModifiedBy>
  <cp:revision>3</cp:revision>
  <dcterms:created xsi:type="dcterms:W3CDTF">2017-02-25T03:39:00Z</dcterms:created>
  <dcterms:modified xsi:type="dcterms:W3CDTF">2017-04-24T15:33:00Z</dcterms:modified>
</cp:coreProperties>
</file>