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4DA6" w:rsidRDefault="00384DA6" w:rsidP="00384DA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Enabling Agriculture Teacher Candidate Preparation with Technology and Resources</w:t>
      </w:r>
    </w:p>
    <w:p w:rsidR="00384DA6" w:rsidRDefault="00384DA6" w:rsidP="008B7A7F">
      <w:pPr>
        <w:jc w:val="center"/>
        <w:rPr>
          <w:rFonts w:ascii="Times New Roman" w:eastAsia="Times New Roman" w:hAnsi="Times New Roman" w:cs="Times New Roman"/>
          <w:b/>
          <w:sz w:val="24"/>
          <w:szCs w:val="24"/>
        </w:rPr>
      </w:pPr>
    </w:p>
    <w:p w:rsidR="008B7A7F" w:rsidRDefault="008B7A7F" w:rsidP="008B7A7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Victoria P. Whitley</w:t>
      </w:r>
    </w:p>
    <w:p w:rsidR="008B7A7F" w:rsidRDefault="008B7A7F" w:rsidP="008B7A7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Travis D. Park</w:t>
      </w:r>
    </w:p>
    <w:p w:rsidR="008B7A7F" w:rsidRDefault="008B7A7F" w:rsidP="008B7A7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Kevin W. Curry, Jr. </w:t>
      </w:r>
    </w:p>
    <w:p w:rsidR="008B7A7F" w:rsidRDefault="008B7A7F" w:rsidP="008B7A7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Wendy J. Warner</w:t>
      </w:r>
    </w:p>
    <w:p w:rsidR="008B7A7F" w:rsidRDefault="008B7A7F" w:rsidP="008B7A7F">
      <w:pPr>
        <w:jc w:val="center"/>
        <w:rPr>
          <w:rFonts w:ascii="Times New Roman" w:eastAsia="Times New Roman" w:hAnsi="Times New Roman" w:cs="Times New Roman"/>
          <w:i/>
          <w:sz w:val="24"/>
          <w:szCs w:val="24"/>
        </w:rPr>
      </w:pPr>
      <w:r>
        <w:rPr>
          <w:rFonts w:ascii="Times New Roman" w:eastAsia="Times New Roman" w:hAnsi="Times New Roman" w:cs="Times New Roman"/>
          <w:b/>
          <w:sz w:val="24"/>
          <w:szCs w:val="24"/>
        </w:rPr>
        <w:t>Joy E. Morgan</w:t>
      </w:r>
    </w:p>
    <w:p w:rsidR="008B7A7F" w:rsidRDefault="008B7A7F" w:rsidP="008B7A7F">
      <w:pPr>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North Carolina State University</w:t>
      </w:r>
    </w:p>
    <w:p w:rsidR="008B7A7F" w:rsidRDefault="008B7A7F" w:rsidP="008B7A7F">
      <w:pPr>
        <w:jc w:val="center"/>
        <w:rPr>
          <w:rFonts w:ascii="Times New Roman" w:eastAsia="Times New Roman" w:hAnsi="Times New Roman" w:cs="Times New Roman"/>
          <w:i/>
          <w:sz w:val="24"/>
          <w:szCs w:val="24"/>
        </w:rPr>
      </w:pPr>
    </w:p>
    <w:p w:rsidR="008B7A7F" w:rsidRPr="008C7880" w:rsidRDefault="008B7A7F" w:rsidP="008B7A7F">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Box 7607 NCSU, 1 Lampe Drive</w:t>
      </w:r>
    </w:p>
    <w:p w:rsidR="008B7A7F" w:rsidRPr="008C7880" w:rsidRDefault="008B7A7F" w:rsidP="008B7A7F">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216 Ricks Hall</w:t>
      </w:r>
    </w:p>
    <w:p w:rsidR="008B7A7F" w:rsidRPr="008C7880" w:rsidRDefault="008B7A7F" w:rsidP="008B7A7F">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Raleigh, NC 27695-7607</w:t>
      </w:r>
    </w:p>
    <w:p w:rsidR="008B7A7F" w:rsidRPr="008C7880" w:rsidRDefault="008B7A7F" w:rsidP="008B7A7F">
      <w:pPr>
        <w:jc w:val="center"/>
        <w:rPr>
          <w:rFonts w:ascii="Times New Roman" w:eastAsia="Times New Roman" w:hAnsi="Times New Roman" w:cs="Times New Roman"/>
          <w:sz w:val="24"/>
          <w:szCs w:val="24"/>
        </w:rPr>
      </w:pPr>
    </w:p>
    <w:p w:rsidR="008B7A7F" w:rsidRPr="008C7880" w:rsidRDefault="008B7A7F" w:rsidP="008B7A7F">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 xml:space="preserve"> </w:t>
      </w:r>
    </w:p>
    <w:p w:rsidR="008B7A7F" w:rsidRPr="008C7880" w:rsidRDefault="008B7A7F" w:rsidP="008B7A7F">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t: 919.515.9441</w:t>
      </w:r>
    </w:p>
    <w:p w:rsidR="008B7A7F" w:rsidRPr="008C7880" w:rsidRDefault="008B7A7F" w:rsidP="008B7A7F">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f. 919.513.1169</w:t>
      </w:r>
    </w:p>
    <w:p w:rsidR="008B7A7F" w:rsidRDefault="008B7A7F" w:rsidP="008B7A7F">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m: 919.802.2219</w:t>
      </w:r>
    </w:p>
    <w:p w:rsidR="008B7A7F" w:rsidRDefault="008B7A7F" w:rsidP="008B7A7F">
      <w:pPr>
        <w:jc w:val="center"/>
        <w:rPr>
          <w:rFonts w:ascii="Times New Roman" w:eastAsia="Times New Roman" w:hAnsi="Times New Roman" w:cs="Times New Roman"/>
          <w:sz w:val="24"/>
          <w:szCs w:val="24"/>
        </w:rPr>
      </w:pPr>
    </w:p>
    <w:p w:rsidR="008B7A7F" w:rsidRPr="008C7880" w:rsidRDefault="008B7A7F" w:rsidP="008B7A7F">
      <w:pPr>
        <w:jc w:val="center"/>
        <w:rPr>
          <w:rFonts w:ascii="Times New Roman" w:eastAsia="Times New Roman" w:hAnsi="Times New Roman" w:cs="Times New Roman"/>
          <w:sz w:val="24"/>
          <w:szCs w:val="24"/>
        </w:rPr>
      </w:pPr>
      <w:hyperlink r:id="rId6" w:history="1">
        <w:r w:rsidRPr="004A5C6B">
          <w:rPr>
            <w:rStyle w:val="Hyperlink"/>
            <w:rFonts w:ascii="Times New Roman" w:eastAsia="Times New Roman" w:hAnsi="Times New Roman" w:cs="Times New Roman"/>
            <w:sz w:val="24"/>
            <w:szCs w:val="24"/>
          </w:rPr>
          <w:t>tdpark@ncsu.edu</w:t>
        </w:r>
      </w:hyperlink>
      <w:r>
        <w:rPr>
          <w:rFonts w:ascii="Times New Roman" w:eastAsia="Times New Roman" w:hAnsi="Times New Roman" w:cs="Times New Roman"/>
          <w:sz w:val="24"/>
          <w:szCs w:val="24"/>
        </w:rPr>
        <w:t xml:space="preserve"> </w:t>
      </w:r>
    </w:p>
    <w:p w:rsidR="008B7A7F" w:rsidRDefault="008B7A7F">
      <w:pPr>
        <w:rPr>
          <w:rFonts w:ascii="Times New Roman" w:eastAsia="Times New Roman" w:hAnsi="Times New Roman" w:cs="Times New Roman"/>
          <w:b/>
          <w:sz w:val="24"/>
          <w:szCs w:val="24"/>
        </w:rPr>
      </w:pPr>
    </w:p>
    <w:p w:rsidR="008B7A7F" w:rsidRDefault="008B7A7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3A5D88" w:rsidRDefault="00D42EC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Enabling Agriculture Teacher Candidate Preparation with Technology and Resources</w:t>
      </w:r>
    </w:p>
    <w:p w:rsidR="003A5D88" w:rsidRDefault="00D42ECD">
      <w:pPr>
        <w:ind w:left="126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 </w:t>
      </w:r>
    </w:p>
    <w:p w:rsidR="003A5D88" w:rsidRDefault="00D42ECD">
      <w:pPr>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Introduction/ Need for Innovation</w:t>
      </w:r>
    </w:p>
    <w:p w:rsidR="003A5D88" w:rsidRDefault="00D42ECD">
      <w:pPr>
        <w:ind w:firstLine="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Agriculture teachers have access to a variety of agricultural laboratories to support the development of conceptual skills, procedural skills, and personal skills (Phipps, Osborne, Dyer, &amp; Ball, 2008). These laboratories include agricultural mechanics laboratories, livestock feeding facilities, greenhouses, land laboratories, horticulture facilities, and aquaculture laboratories (Franklin, 2008; Shoulders &amp; Myers, 2012; Young &amp; Edwards, 2005). In a national study, Shoulders and Myers (2012) reported over half of agriculture teachers use their laboratory facilities more than once per week. With frequent usage, how are preservice agriculture teachers prepared to utilize laboratory facilities and the related laboratory equipment in their instruction? </w:t>
      </w:r>
    </w:p>
    <w:p w:rsidR="003A5D88" w:rsidRDefault="00D42ECD">
      <w:pPr>
        <w:ind w:firstLine="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Ball and Knobloch (2005) examined the instructional strategies introduced and reinforced in teaching methods courses and found a variety of teaching methods, but nothing specific to laboratory instruction. A review of two teacher preparation courses at </w:t>
      </w:r>
      <w:r w:rsidR="00384DA6">
        <w:rPr>
          <w:rFonts w:ascii="Times New Roman" w:eastAsia="Times New Roman" w:hAnsi="Times New Roman" w:cs="Times New Roman"/>
          <w:color w:val="222222"/>
          <w:sz w:val="24"/>
          <w:szCs w:val="24"/>
          <w:highlight w:val="white"/>
        </w:rPr>
        <w:t>North Carolina State University</w:t>
      </w:r>
      <w:r>
        <w:rPr>
          <w:rFonts w:ascii="Times New Roman" w:eastAsia="Times New Roman" w:hAnsi="Times New Roman" w:cs="Times New Roman"/>
          <w:color w:val="222222"/>
          <w:sz w:val="24"/>
          <w:szCs w:val="24"/>
          <w:highlight w:val="white"/>
        </w:rPr>
        <w:t xml:space="preserve"> concluded preservice students’ micro-teachings had limited use of laboratory equipment, technology, and realia. In response, the department launched the “Agriculture Teaching Resource Room” for teacher candidates at all stages of their undergraduate and student teaching program.</w:t>
      </w:r>
    </w:p>
    <w:p w:rsidR="003A5D88" w:rsidRDefault="00D42ECD">
      <w:pPr>
        <w:ind w:left="2520" w:hanging="126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rsidR="003A5D88" w:rsidRDefault="00D42ECD">
      <w:pPr>
        <w:ind w:right="-18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How It Works</w:t>
      </w:r>
    </w:p>
    <w:p w:rsidR="003A5D88" w:rsidRDefault="00D42ECD">
      <w:pPr>
        <w:ind w:right="-180" w:firstLine="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After recent departmental renovations, a former office space of approximately 12 feet by 12 feet was transformed into the Agriculture Teaching Resource Room. To determine which items were necessary to make available to preservice teachers, the program leader reviewed the Agricultural Education Blueprint competencies used by teachers in the state. The room is stocked with technology and resources available in most </w:t>
      </w:r>
      <w:r w:rsidR="00384DA6">
        <w:rPr>
          <w:rFonts w:ascii="Times New Roman" w:eastAsia="Times New Roman" w:hAnsi="Times New Roman" w:cs="Times New Roman"/>
          <w:color w:val="222222"/>
          <w:sz w:val="24"/>
          <w:szCs w:val="24"/>
          <w:highlight w:val="white"/>
        </w:rPr>
        <w:t xml:space="preserve">North Carolina </w:t>
      </w:r>
      <w:r>
        <w:rPr>
          <w:rFonts w:ascii="Times New Roman" w:eastAsia="Times New Roman" w:hAnsi="Times New Roman" w:cs="Times New Roman"/>
          <w:color w:val="222222"/>
          <w:sz w:val="24"/>
          <w:szCs w:val="24"/>
          <w:highlight w:val="white"/>
        </w:rPr>
        <w:t>agriculture classrooms and is accessible to preservice teachers during normal business hours. Preservice teachers have the option of trying out equipment in the resource room or can check-out equipment for further practice or teaching experiences. A list of all materials found in the room is also posted on the door for quick reference. Inside the room, there is a check-out sheet where students record the date and item they are checking out and returning. For easy navigation of stored items, labels are posted on cabinet doors to help students locate equipment and supplies without having to rummage through the cabinet. Storage containers and boxes within the cabinets are labeled with contents for more search aids. Also, step-by-step instructions are posted near the stationary equipment such as the laminating machine, copier, and smart board providing self-guided instruction on how to use the technology.</w:t>
      </w:r>
    </w:p>
    <w:p w:rsidR="003A5D88" w:rsidRDefault="00D42ECD">
      <w:pPr>
        <w:ind w:right="-18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rsidR="003A5D88" w:rsidRDefault="00D42ECD">
      <w:pPr>
        <w:ind w:left="100" w:right="-18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Results to Date/Implications</w:t>
      </w:r>
    </w:p>
    <w:p w:rsidR="003A5D88" w:rsidRDefault="00D42ECD">
      <w:pPr>
        <w:ind w:right="-180" w:firstLine="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Agriculture Teaching Resource Room was introduced to preservice teachers in Fall 2016. As a result, there was an increase in the use of realia and laboratory materials in micro-teaching lessons in both the sophomore introduction and senior methods course. The most </w:t>
      </w:r>
      <w:r>
        <w:rPr>
          <w:rFonts w:ascii="Times New Roman" w:eastAsia="Times New Roman" w:hAnsi="Times New Roman" w:cs="Times New Roman"/>
          <w:color w:val="222222"/>
          <w:sz w:val="24"/>
          <w:szCs w:val="24"/>
          <w:highlight w:val="white"/>
        </w:rPr>
        <w:lastRenderedPageBreak/>
        <w:t xml:space="preserve">commonly used resources have been ear tags and applicators, vet wrap kits, and elastrators and bands. A professional development workshop was conducted by departmental faculty in November 2016 to acquaint students to some of the equipment, specifically </w:t>
      </w:r>
      <w:proofErr w:type="spellStart"/>
      <w:r>
        <w:rPr>
          <w:rFonts w:ascii="Times New Roman" w:eastAsia="Times New Roman" w:hAnsi="Times New Roman" w:cs="Times New Roman"/>
          <w:color w:val="222222"/>
          <w:sz w:val="24"/>
          <w:szCs w:val="24"/>
          <w:highlight w:val="white"/>
        </w:rPr>
        <w:t>probeware</w:t>
      </w:r>
      <w:proofErr w:type="spellEnd"/>
      <w:r>
        <w:rPr>
          <w:rFonts w:ascii="Times New Roman" w:eastAsia="Times New Roman" w:hAnsi="Times New Roman" w:cs="Times New Roman"/>
          <w:color w:val="222222"/>
          <w:sz w:val="24"/>
          <w:szCs w:val="24"/>
          <w:highlight w:val="white"/>
        </w:rPr>
        <w:t xml:space="preserve"> and microscopes.</w:t>
      </w:r>
    </w:p>
    <w:p w:rsidR="003A5D88" w:rsidRDefault="00D42ECD">
      <w:pPr>
        <w:ind w:left="1880" w:right="-180" w:hanging="62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 </w:t>
      </w:r>
    </w:p>
    <w:p w:rsidR="003A5D88" w:rsidRDefault="00D42ECD">
      <w:pPr>
        <w:ind w:left="100" w:right="-18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Future Plans/Advice to Others</w:t>
      </w:r>
    </w:p>
    <w:p w:rsidR="003A5D88" w:rsidRDefault="00D42ECD">
      <w:pPr>
        <w:ind w:right="-180" w:firstLine="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the future, a more thorough orientation to the resource room will be provided in agricultural education courses requiring a microteaching experience. Students were informed of the room during class, however, most students were not fully aware of all the equipment and supplies available to them. It is required that preservice students incorporate equipment, realia, or technology into at least one of their microteaching experiences. Due to the value of the equipment, it is important to maintain a detailed inventory </w:t>
      </w:r>
      <w:r w:rsidR="00384DA6">
        <w:rPr>
          <w:rFonts w:ascii="Times New Roman" w:eastAsia="Times New Roman" w:hAnsi="Times New Roman" w:cs="Times New Roman"/>
          <w:color w:val="222222"/>
          <w:sz w:val="24"/>
          <w:szCs w:val="24"/>
          <w:highlight w:val="white"/>
        </w:rPr>
        <w:t>and</w:t>
      </w:r>
      <w:r>
        <w:rPr>
          <w:rFonts w:ascii="Times New Roman" w:eastAsia="Times New Roman" w:hAnsi="Times New Roman" w:cs="Times New Roman"/>
          <w:color w:val="222222"/>
          <w:sz w:val="24"/>
          <w:szCs w:val="24"/>
          <w:highlight w:val="white"/>
        </w:rPr>
        <w:t xml:space="preserve"> a well-considered check out and return policy. To provide the most realistic experience for student teachers in preparation for field experiences, the room should be setup in such a way that most closely replicates a classroom environment. The future of the Agriculture Teaching Resource Room is a more realistic model of a high school classroom with a more spacious design.</w:t>
      </w:r>
    </w:p>
    <w:p w:rsidR="003A5D88" w:rsidRDefault="00D42ECD">
      <w:pPr>
        <w:ind w:left="1880" w:right="-180" w:hanging="6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rsidR="003A5D88" w:rsidRDefault="00D42ECD">
      <w:pPr>
        <w:ind w:left="100" w:right="-18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Costs/Resources Needed</w:t>
      </w:r>
    </w:p>
    <w:p w:rsidR="003A5D88" w:rsidRDefault="00D42ECD">
      <w:pPr>
        <w:ind w:firstLine="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Fortunately, the cost of the room renovation was the responsibility of the university. To get the resource room up and running, funds were used from Educational Technology Fund allocated to the department. Time is an important cost to consider during start-up. The [University] room utilized the time of faculty for collection of initial inventory and a graduate student for setup and organization, totaling approximately 40 hours of planning and labor.</w:t>
      </w:r>
    </w:p>
    <w:p w:rsidR="003A5D88" w:rsidRDefault="00D42ECD">
      <w:pPr>
        <w:ind w:right="-18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Machines such as a laminator, copy machine, computer, and smart board are included in the room because they are valuable machines that teachers should be able to utilize in order to enhance their lesson prep and delivery. If students are expected to utilize technology to teach, they should practice with tools beyond a simple white board. For purposes of teaching evaluation and reflection, camcorders, </w:t>
      </w:r>
      <w:proofErr w:type="spellStart"/>
      <w:r>
        <w:rPr>
          <w:rFonts w:ascii="Times New Roman" w:eastAsia="Times New Roman" w:hAnsi="Times New Roman" w:cs="Times New Roman"/>
          <w:color w:val="222222"/>
          <w:sz w:val="24"/>
          <w:szCs w:val="24"/>
          <w:highlight w:val="white"/>
        </w:rPr>
        <w:t>GoPros</w:t>
      </w:r>
      <w:proofErr w:type="spellEnd"/>
      <w:r>
        <w:rPr>
          <w:rFonts w:ascii="Times New Roman" w:eastAsia="Times New Roman" w:hAnsi="Times New Roman" w:cs="Times New Roman"/>
          <w:color w:val="222222"/>
          <w:sz w:val="24"/>
          <w:szCs w:val="24"/>
          <w:highlight w:val="white"/>
        </w:rPr>
        <w:t>, recording microphones and a miniature studio film set including a green screen and lighting are available for students. Recording equipment can be used to record micro-teachings or to create unique instructional materials. The inventory continues to grow as students donate extra materials they have from previous lessons or assignments. Accepting donated resources is an advised, cost effective practice for growing the stock of resources.</w:t>
      </w:r>
    </w:p>
    <w:p w:rsidR="003A5D88" w:rsidRDefault="00D42ECD">
      <w:pPr>
        <w:ind w:firstLine="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Agricultural education involves using content specific tools to supplement curricula and provide genuine hands-on learning experiences. It is imperative for agricultural education students to have access to agricultural tools and realia that can be used to facilitate student learning such as soil test kits, band castrators, and ear taggers. Inquiry teaching is more meaningful when teacher candidates practice facilitating labs with real microscopes, beakers, and test tubes, all tools found in the room. </w:t>
      </w:r>
      <w:r>
        <w:rPr>
          <w:rFonts w:ascii="Times New Roman" w:eastAsia="Times New Roman" w:hAnsi="Times New Roman" w:cs="Times New Roman"/>
          <w:color w:val="222222"/>
          <w:sz w:val="24"/>
          <w:szCs w:val="24"/>
        </w:rPr>
        <w:t xml:space="preserve">Early exposure to the integration of equipment, technology, and realia will encourage preservice students to seek instructional resources to be used throughout the student teaching experience </w:t>
      </w:r>
      <w:r w:rsidR="00384DA6">
        <w:rPr>
          <w:rFonts w:ascii="Times New Roman" w:eastAsia="Times New Roman" w:hAnsi="Times New Roman" w:cs="Times New Roman"/>
          <w:color w:val="222222"/>
          <w:sz w:val="24"/>
          <w:szCs w:val="24"/>
        </w:rPr>
        <w:t>and</w:t>
      </w:r>
      <w:r>
        <w:rPr>
          <w:rFonts w:ascii="Times New Roman" w:eastAsia="Times New Roman" w:hAnsi="Times New Roman" w:cs="Times New Roman"/>
          <w:color w:val="222222"/>
          <w:sz w:val="24"/>
          <w:szCs w:val="24"/>
        </w:rPr>
        <w:t xml:space="preserve"> in their future teaching career.</w:t>
      </w:r>
    </w:p>
    <w:p w:rsidR="00C47323" w:rsidRDefault="00C47323">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rsidR="003A5D88" w:rsidRDefault="00D42ECD">
      <w:pPr>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References</w:t>
      </w:r>
    </w:p>
    <w:p w:rsidR="003A5D88" w:rsidRDefault="00D42ECD">
      <w:pPr>
        <w:ind w:left="1260"/>
        <w:jc w:val="center"/>
      </w:pPr>
      <w:r>
        <w:t xml:space="preserve"> </w:t>
      </w:r>
    </w:p>
    <w:p w:rsidR="003A5D88" w:rsidRDefault="00D42ECD">
      <w:pPr>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Ball, A. L., &amp; Knobloch, N. A. (2005). A document analysis of the pedagogical knowledge</w:t>
      </w:r>
    </w:p>
    <w:p w:rsidR="003A5D88" w:rsidRDefault="00D42ECD">
      <w:pPr>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espoused in agriculture teaching methods courses. </w:t>
      </w:r>
      <w:r>
        <w:rPr>
          <w:rFonts w:ascii="Times New Roman" w:eastAsia="Times New Roman" w:hAnsi="Times New Roman" w:cs="Times New Roman"/>
          <w:i/>
          <w:color w:val="222222"/>
          <w:sz w:val="24"/>
          <w:szCs w:val="24"/>
          <w:highlight w:val="white"/>
        </w:rPr>
        <w:t>Journal of Agricultural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46</w:t>
      </w:r>
      <w:r>
        <w:rPr>
          <w:rFonts w:ascii="Times New Roman" w:eastAsia="Times New Roman" w:hAnsi="Times New Roman" w:cs="Times New Roman"/>
          <w:color w:val="222222"/>
          <w:sz w:val="24"/>
          <w:szCs w:val="24"/>
          <w:highlight w:val="white"/>
        </w:rPr>
        <w:t>(2), 47-57.</w:t>
      </w:r>
      <w:r w:rsidR="00384DA6">
        <w:rPr>
          <w:rFonts w:ascii="Times New Roman" w:eastAsia="Times New Roman" w:hAnsi="Times New Roman" w:cs="Times New Roman"/>
          <w:color w:val="222222"/>
          <w:sz w:val="24"/>
          <w:szCs w:val="24"/>
          <w:highlight w:val="white"/>
        </w:rPr>
        <w:t xml:space="preserve"> DOI: </w:t>
      </w:r>
      <w:r w:rsidR="00384DA6" w:rsidRPr="00384DA6">
        <w:rPr>
          <w:rFonts w:ascii="Times New Roman" w:eastAsia="Times New Roman" w:hAnsi="Times New Roman" w:cs="Times New Roman"/>
          <w:color w:val="222222"/>
          <w:sz w:val="24"/>
          <w:szCs w:val="24"/>
        </w:rPr>
        <w:t>10.5032/jae.2005.02047</w:t>
      </w:r>
    </w:p>
    <w:p w:rsidR="003A5D88" w:rsidRDefault="003A5D88">
      <w:pPr>
        <w:ind w:left="720" w:hanging="720"/>
        <w:rPr>
          <w:rFonts w:ascii="Times New Roman" w:eastAsia="Times New Roman" w:hAnsi="Times New Roman" w:cs="Times New Roman"/>
          <w:color w:val="222222"/>
          <w:sz w:val="24"/>
          <w:szCs w:val="24"/>
          <w:highlight w:val="white"/>
        </w:rPr>
      </w:pPr>
    </w:p>
    <w:p w:rsidR="003A5D88" w:rsidRDefault="00D42ECD">
      <w:pPr>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Franklin, E. A. (2008). Description of the use of greenhouse facilities by secondary agricultural education instructors in Arizona. </w:t>
      </w:r>
      <w:r>
        <w:rPr>
          <w:rFonts w:ascii="Times New Roman" w:eastAsia="Times New Roman" w:hAnsi="Times New Roman" w:cs="Times New Roman"/>
          <w:i/>
          <w:color w:val="222222"/>
          <w:sz w:val="24"/>
          <w:szCs w:val="24"/>
          <w:highlight w:val="white"/>
        </w:rPr>
        <w:t>Journal of Agricultural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49</w:t>
      </w:r>
      <w:r>
        <w:rPr>
          <w:rFonts w:ascii="Times New Roman" w:eastAsia="Times New Roman" w:hAnsi="Times New Roman" w:cs="Times New Roman"/>
          <w:color w:val="222222"/>
          <w:sz w:val="24"/>
          <w:szCs w:val="24"/>
          <w:highlight w:val="white"/>
        </w:rPr>
        <w:t>(3), 34-45.</w:t>
      </w:r>
      <w:r w:rsidR="00384DA6">
        <w:rPr>
          <w:rFonts w:ascii="Times New Roman" w:eastAsia="Times New Roman" w:hAnsi="Times New Roman" w:cs="Times New Roman"/>
          <w:color w:val="222222"/>
          <w:sz w:val="24"/>
          <w:szCs w:val="24"/>
          <w:highlight w:val="white"/>
        </w:rPr>
        <w:t xml:space="preserve"> DOI: </w:t>
      </w:r>
      <w:r w:rsidR="00384DA6" w:rsidRPr="00384DA6">
        <w:rPr>
          <w:rFonts w:ascii="Times New Roman" w:eastAsia="Times New Roman" w:hAnsi="Times New Roman" w:cs="Times New Roman"/>
          <w:color w:val="222222"/>
          <w:sz w:val="24"/>
          <w:szCs w:val="24"/>
        </w:rPr>
        <w:t>10.5032/jae.2008.03034</w:t>
      </w:r>
    </w:p>
    <w:p w:rsidR="003A5D88" w:rsidRDefault="00D42ECD">
      <w:pPr>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rsidR="003A5D88" w:rsidRDefault="00D42ECD">
      <w:pPr>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Phipps, L. J., Osborne, E. W., Dyer, J. E., &amp; Ball, A.L. (2008).</w:t>
      </w:r>
      <w:r>
        <w:rPr>
          <w:rFonts w:ascii="Times New Roman" w:eastAsia="Times New Roman" w:hAnsi="Times New Roman" w:cs="Times New Roman"/>
          <w:i/>
          <w:color w:val="222222"/>
          <w:sz w:val="24"/>
          <w:szCs w:val="24"/>
          <w:highlight w:val="white"/>
        </w:rPr>
        <w:t xml:space="preserve"> Handbook on agricultural education in public schools </w:t>
      </w:r>
      <w:r>
        <w:rPr>
          <w:rFonts w:ascii="Times New Roman" w:eastAsia="Times New Roman" w:hAnsi="Times New Roman" w:cs="Times New Roman"/>
          <w:color w:val="222222"/>
          <w:sz w:val="24"/>
          <w:szCs w:val="24"/>
          <w:highlight w:val="white"/>
        </w:rPr>
        <w:t>(6</w:t>
      </w:r>
      <w:r>
        <w:rPr>
          <w:rFonts w:ascii="Times New Roman" w:eastAsia="Times New Roman" w:hAnsi="Times New Roman" w:cs="Times New Roman"/>
          <w:color w:val="222222"/>
          <w:sz w:val="24"/>
          <w:szCs w:val="24"/>
          <w:highlight w:val="white"/>
          <w:vertAlign w:val="superscript"/>
        </w:rPr>
        <w:t>th</w:t>
      </w:r>
      <w:r>
        <w:rPr>
          <w:rFonts w:ascii="Times New Roman" w:eastAsia="Times New Roman" w:hAnsi="Times New Roman" w:cs="Times New Roman"/>
          <w:color w:val="222222"/>
          <w:sz w:val="24"/>
          <w:szCs w:val="24"/>
          <w:highlight w:val="white"/>
        </w:rPr>
        <w:t xml:space="preserve"> ed.). New York: </w:t>
      </w:r>
      <w:r>
        <w:rPr>
          <w:rFonts w:ascii="Times New Roman" w:eastAsia="Times New Roman" w:hAnsi="Times New Roman" w:cs="Times New Roman"/>
          <w:color w:val="222222"/>
          <w:sz w:val="24"/>
          <w:szCs w:val="24"/>
        </w:rPr>
        <w:t>Thomson Delmar Learning.</w:t>
      </w:r>
    </w:p>
    <w:p w:rsidR="003A5D88" w:rsidRDefault="00D42ECD">
      <w:pPr>
        <w:ind w:left="720" w:hanging="720"/>
      </w:pPr>
      <w:r>
        <w:t xml:space="preserve"> </w:t>
      </w:r>
    </w:p>
    <w:p w:rsidR="003A5D88" w:rsidRDefault="00D42ECD">
      <w:pPr>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Shoulders, C. W., &amp; Myers, B. E. (2012). Teachers' use of agricultural laboratories in secondary agricultural education. </w:t>
      </w:r>
      <w:r>
        <w:rPr>
          <w:rFonts w:ascii="Times New Roman" w:eastAsia="Times New Roman" w:hAnsi="Times New Roman" w:cs="Times New Roman"/>
          <w:i/>
          <w:color w:val="222222"/>
          <w:sz w:val="24"/>
          <w:szCs w:val="24"/>
          <w:highlight w:val="white"/>
        </w:rPr>
        <w:t>Journal of Agricultural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53</w:t>
      </w:r>
      <w:r>
        <w:rPr>
          <w:rFonts w:ascii="Times New Roman" w:eastAsia="Times New Roman" w:hAnsi="Times New Roman" w:cs="Times New Roman"/>
          <w:color w:val="222222"/>
          <w:sz w:val="24"/>
          <w:szCs w:val="24"/>
          <w:highlight w:val="white"/>
        </w:rPr>
        <w:t>(2), 124-138.</w:t>
      </w:r>
      <w:r w:rsidR="00384DA6" w:rsidRPr="00384DA6">
        <w:rPr>
          <w:rFonts w:ascii="Times New Roman" w:eastAsia="Times New Roman" w:hAnsi="Times New Roman" w:cs="Times New Roman"/>
          <w:color w:val="222222"/>
          <w:sz w:val="24"/>
          <w:szCs w:val="24"/>
        </w:rPr>
        <w:t xml:space="preserve"> DOI: 10.5032/jae.2013.03100</w:t>
      </w:r>
    </w:p>
    <w:p w:rsidR="003A5D88" w:rsidRDefault="00D42ECD">
      <w:pPr>
        <w:ind w:left="720" w:hanging="720"/>
      </w:pPr>
      <w:r>
        <w:t xml:space="preserve"> </w:t>
      </w:r>
    </w:p>
    <w:p w:rsidR="003A5D88" w:rsidRPr="00384DA6" w:rsidRDefault="00D42ECD" w:rsidP="00384DA6">
      <w:pPr>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Young, R. B., &amp; Edwards, M. C. (2005</w:t>
      </w:r>
      <w:r>
        <w:rPr>
          <w:rFonts w:ascii="Times New Roman" w:eastAsia="Times New Roman" w:hAnsi="Times New Roman" w:cs="Times New Roman"/>
          <w:color w:val="222222"/>
          <w:sz w:val="24"/>
          <w:szCs w:val="24"/>
        </w:rPr>
        <w:t xml:space="preserve">). A profile of cooperating teachers in Oklahoma: Implications for the student teaching experience in agricultural education. </w:t>
      </w:r>
      <w:r>
        <w:rPr>
          <w:rFonts w:ascii="Times New Roman" w:eastAsia="Times New Roman" w:hAnsi="Times New Roman" w:cs="Times New Roman"/>
          <w:i/>
          <w:color w:val="222222"/>
          <w:sz w:val="24"/>
          <w:szCs w:val="24"/>
        </w:rPr>
        <w:t>Journal of Southern Agricultural Education Research, 55</w:t>
      </w:r>
      <w:r>
        <w:rPr>
          <w:rFonts w:ascii="Times New Roman" w:eastAsia="Times New Roman" w:hAnsi="Times New Roman" w:cs="Times New Roman"/>
          <w:color w:val="222222"/>
          <w:sz w:val="24"/>
          <w:szCs w:val="24"/>
        </w:rPr>
        <w:t>(1), 60 – 73.</w:t>
      </w:r>
      <w:r w:rsidR="00384DA6" w:rsidRPr="00384DA6">
        <w:t xml:space="preserve"> </w:t>
      </w:r>
      <w:r w:rsidR="00384DA6">
        <w:rPr>
          <w:rFonts w:ascii="Times New Roman" w:eastAsia="Times New Roman" w:hAnsi="Times New Roman" w:cs="Times New Roman"/>
          <w:color w:val="222222"/>
          <w:sz w:val="24"/>
          <w:szCs w:val="24"/>
        </w:rPr>
        <w:t xml:space="preserve">DOI: </w:t>
      </w:r>
      <w:r w:rsidR="00384DA6" w:rsidRPr="00384DA6">
        <w:rPr>
          <w:rFonts w:ascii="Times New Roman" w:eastAsia="Times New Roman" w:hAnsi="Times New Roman" w:cs="Times New Roman"/>
          <w:color w:val="222222"/>
          <w:sz w:val="24"/>
          <w:szCs w:val="24"/>
        </w:rPr>
        <w:t>10.1.1.525.8363</w:t>
      </w:r>
      <w:bookmarkStart w:id="0" w:name="_GoBack"/>
      <w:bookmarkEnd w:id="0"/>
    </w:p>
    <w:p w:rsidR="003A5D88" w:rsidRDefault="003A5D88"/>
    <w:sectPr w:rsidR="003A5D88">
      <w:headerReference w:type="default" r:id="rId7"/>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5521" w:rsidRDefault="00A65521" w:rsidP="00C47323">
      <w:pPr>
        <w:spacing w:line="240" w:lineRule="auto"/>
      </w:pPr>
      <w:r>
        <w:separator/>
      </w:r>
    </w:p>
  </w:endnote>
  <w:endnote w:type="continuationSeparator" w:id="0">
    <w:p w:rsidR="00A65521" w:rsidRDefault="00A65521" w:rsidP="00C473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5521" w:rsidRDefault="00A65521" w:rsidP="00C47323">
      <w:pPr>
        <w:spacing w:line="240" w:lineRule="auto"/>
      </w:pPr>
      <w:r>
        <w:separator/>
      </w:r>
    </w:p>
  </w:footnote>
  <w:footnote w:type="continuationSeparator" w:id="0">
    <w:p w:rsidR="00A65521" w:rsidRDefault="00A65521" w:rsidP="00C473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323" w:rsidRDefault="00C47323" w:rsidP="00C47323">
    <w:pPr>
      <w:pStyle w:val="Header"/>
      <w:jc w:val="right"/>
    </w:pPr>
  </w:p>
  <w:p w:rsidR="00C47323" w:rsidRDefault="00C47323" w:rsidP="00C47323">
    <w:pPr>
      <w:pStyle w:val="Header"/>
      <w:jc w:val="right"/>
    </w:pPr>
  </w:p>
  <w:p w:rsidR="00C47323" w:rsidRDefault="00C47323" w:rsidP="00C47323">
    <w:pPr>
      <w:pStyle w:val="Header"/>
      <w:jc w:val="right"/>
    </w:pPr>
  </w:p>
  <w:p w:rsidR="00C47323" w:rsidRDefault="00C47323" w:rsidP="00C47323">
    <w:pPr>
      <w:pStyle w:val="Header"/>
      <w:jc w:val="right"/>
    </w:pPr>
    <w: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D88"/>
    <w:rsid w:val="00384DA6"/>
    <w:rsid w:val="003A5D88"/>
    <w:rsid w:val="008B7A7F"/>
    <w:rsid w:val="00A65521"/>
    <w:rsid w:val="00AF7014"/>
    <w:rsid w:val="00C47323"/>
    <w:rsid w:val="00D42ECD"/>
    <w:rsid w:val="00F63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3DF6A"/>
  <w15:docId w15:val="{8961DA3D-4739-4C90-9F46-6D9E243F6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C47323"/>
    <w:pPr>
      <w:tabs>
        <w:tab w:val="center" w:pos="4680"/>
        <w:tab w:val="right" w:pos="9360"/>
      </w:tabs>
      <w:spacing w:line="240" w:lineRule="auto"/>
    </w:pPr>
  </w:style>
  <w:style w:type="character" w:customStyle="1" w:styleId="HeaderChar">
    <w:name w:val="Header Char"/>
    <w:basedOn w:val="DefaultParagraphFont"/>
    <w:link w:val="Header"/>
    <w:uiPriority w:val="99"/>
    <w:rsid w:val="00C47323"/>
  </w:style>
  <w:style w:type="paragraph" w:styleId="Footer">
    <w:name w:val="footer"/>
    <w:basedOn w:val="Normal"/>
    <w:link w:val="FooterChar"/>
    <w:uiPriority w:val="99"/>
    <w:unhideWhenUsed/>
    <w:rsid w:val="00C47323"/>
    <w:pPr>
      <w:tabs>
        <w:tab w:val="center" w:pos="4680"/>
        <w:tab w:val="right" w:pos="9360"/>
      </w:tabs>
      <w:spacing w:line="240" w:lineRule="auto"/>
    </w:pPr>
  </w:style>
  <w:style w:type="character" w:customStyle="1" w:styleId="FooterChar">
    <w:name w:val="Footer Char"/>
    <w:basedOn w:val="DefaultParagraphFont"/>
    <w:link w:val="Footer"/>
    <w:uiPriority w:val="99"/>
    <w:rsid w:val="00C47323"/>
  </w:style>
  <w:style w:type="character" w:styleId="Hyperlink">
    <w:name w:val="Hyperlink"/>
    <w:basedOn w:val="DefaultParagraphFont"/>
    <w:uiPriority w:val="99"/>
    <w:unhideWhenUsed/>
    <w:rsid w:val="008B7A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dpark@ncsu.ed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1168</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NC State University</Company>
  <LinksUpToDate>false</LinksUpToDate>
  <CharactersWithSpaces>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Travis Dale Park PhD</dc:creator>
  <cp:lastModifiedBy>Travis Park</cp:lastModifiedBy>
  <cp:revision>3</cp:revision>
  <cp:lastPrinted>2017-10-27T19:04:00Z</cp:lastPrinted>
  <dcterms:created xsi:type="dcterms:W3CDTF">2017-12-21T20:28:00Z</dcterms:created>
  <dcterms:modified xsi:type="dcterms:W3CDTF">2017-12-21T20:34:00Z</dcterms:modified>
</cp:coreProperties>
</file>