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B7A76" w14:textId="679368F7" w:rsidR="005A3FB4" w:rsidRDefault="005A3FB4" w:rsidP="005A3FB4">
      <w:pPr>
        <w:pStyle w:val="NormalWeb"/>
        <w:spacing w:before="0" w:beforeAutospacing="0" w:after="0" w:afterAutospacing="0"/>
        <w:jc w:val="center"/>
        <w:rPr>
          <w:b/>
        </w:rPr>
      </w:pPr>
      <w:r>
        <w:rPr>
          <w:b/>
        </w:rPr>
        <w:t>Agricultural Students’ Perceptions of being taught with Curriculum for Agricultural Science and Education (CASE)</w:t>
      </w:r>
    </w:p>
    <w:p w14:paraId="1D2ECA70" w14:textId="2718E416" w:rsidR="00851CC3" w:rsidRDefault="00851CC3" w:rsidP="005A3FB4">
      <w:pPr>
        <w:pStyle w:val="NormalWeb"/>
        <w:spacing w:before="0" w:beforeAutospacing="0" w:after="0" w:afterAutospacing="0"/>
        <w:jc w:val="center"/>
      </w:pPr>
    </w:p>
    <w:p w14:paraId="00F2D8B8" w14:textId="41B51ED6" w:rsidR="00851CC3" w:rsidRDefault="00851CC3" w:rsidP="005A3FB4">
      <w:pPr>
        <w:pStyle w:val="NormalWeb"/>
        <w:spacing w:before="0" w:beforeAutospacing="0" w:after="0" w:afterAutospacing="0"/>
        <w:jc w:val="center"/>
      </w:pPr>
      <w:r>
        <w:t>Kelsey R. Sands</w:t>
      </w:r>
    </w:p>
    <w:p w14:paraId="5D414C25" w14:textId="0564BDCC" w:rsidR="00851CC3" w:rsidRDefault="00851CC3" w:rsidP="005A3FB4">
      <w:pPr>
        <w:pStyle w:val="NormalWeb"/>
        <w:spacing w:before="0" w:beforeAutospacing="0" w:after="0" w:afterAutospacing="0"/>
        <w:jc w:val="center"/>
      </w:pPr>
      <w:r>
        <w:t>Scott W. Smalley</w:t>
      </w:r>
    </w:p>
    <w:p w14:paraId="04D1FF86" w14:textId="5C6CD913" w:rsidR="00851CC3" w:rsidRDefault="00851CC3" w:rsidP="005A3FB4">
      <w:pPr>
        <w:pStyle w:val="NormalWeb"/>
        <w:spacing w:before="0" w:beforeAutospacing="0" w:after="0" w:afterAutospacing="0"/>
        <w:jc w:val="center"/>
      </w:pPr>
      <w:r>
        <w:t>Michael S. Retallick</w:t>
      </w:r>
    </w:p>
    <w:p w14:paraId="56D085DE" w14:textId="5B848101" w:rsidR="00851CC3" w:rsidRDefault="00851CC3" w:rsidP="005A3FB4">
      <w:pPr>
        <w:pStyle w:val="NormalWeb"/>
        <w:spacing w:before="0" w:beforeAutospacing="0" w:after="0" w:afterAutospacing="0"/>
        <w:jc w:val="center"/>
      </w:pPr>
      <w:r>
        <w:t>Iowa State University</w:t>
      </w:r>
      <w:bookmarkStart w:id="0" w:name="_GoBack"/>
      <w:bookmarkEnd w:id="0"/>
    </w:p>
    <w:p w14:paraId="4F55DB4E" w14:textId="77777777" w:rsidR="005A3FB4" w:rsidRDefault="005A3FB4" w:rsidP="005A3FB4">
      <w:pPr>
        <w:pStyle w:val="NormalWeb"/>
        <w:spacing w:before="0" w:beforeAutospacing="0" w:after="0" w:afterAutospacing="0"/>
        <w:jc w:val="center"/>
        <w:rPr>
          <w:b/>
        </w:rPr>
      </w:pPr>
    </w:p>
    <w:p w14:paraId="2BCB2265" w14:textId="77777777" w:rsidR="005A3FB4" w:rsidRPr="008264CB" w:rsidRDefault="005A3FB4" w:rsidP="005A3FB4">
      <w:pPr>
        <w:pStyle w:val="NormalWeb"/>
        <w:spacing w:before="0" w:beforeAutospacing="0" w:after="0" w:afterAutospacing="0"/>
        <w:jc w:val="center"/>
        <w:rPr>
          <w:b/>
        </w:rPr>
      </w:pPr>
      <w:r>
        <w:rPr>
          <w:b/>
        </w:rPr>
        <w:t>Introduction</w:t>
      </w:r>
    </w:p>
    <w:p w14:paraId="2AF3351D" w14:textId="77777777" w:rsidR="005A3FB4" w:rsidRDefault="005A3FB4" w:rsidP="005A3FB4">
      <w:pPr>
        <w:pStyle w:val="NormalWeb"/>
        <w:spacing w:before="0" w:beforeAutospacing="0" w:after="0" w:afterAutospacing="0"/>
        <w:ind w:firstLine="720"/>
        <w:rPr>
          <w:color w:val="000000"/>
        </w:rPr>
      </w:pPr>
      <w:r>
        <w:rPr>
          <w:color w:val="000000"/>
        </w:rPr>
        <w:t>Many agricultural education programs have incorporated hands-on or experiential learning activities, not only as a way to teach their students, but to allow students to develop different skills to be successful within the agricultural industry (Johnson, Wardlow, &amp; Franklin 1997). When inquiry-based learning and hands-on learning is used within a classroom, the students are deeply engaged in the learning process (Wells,</w:t>
      </w:r>
      <w:r w:rsidRPr="00B3266A">
        <w:t xml:space="preserve"> </w:t>
      </w:r>
      <w:r>
        <w:t xml:space="preserve">et al., 2015). </w:t>
      </w:r>
      <w:r w:rsidRPr="009A6872">
        <w:t xml:space="preserve">Dyer and Osborne (1995), stated "students react differently to different teaching methods, and that the selection of the proper method is critical to the learning style of those being served by the instruction" (p. 260). </w:t>
      </w:r>
    </w:p>
    <w:p w14:paraId="4F496AC2" w14:textId="77777777" w:rsidR="005A3FB4" w:rsidRDefault="005A3FB4" w:rsidP="005A3FB4">
      <w:pPr>
        <w:pStyle w:val="NormalWeb"/>
        <w:spacing w:before="0" w:beforeAutospacing="0" w:after="0" w:afterAutospacing="0"/>
        <w:ind w:firstLine="720"/>
        <w:rPr>
          <w:color w:val="000000"/>
        </w:rPr>
      </w:pPr>
      <w:r w:rsidRPr="005E0FBB">
        <w:rPr>
          <w:color w:val="000000"/>
        </w:rPr>
        <w:t xml:space="preserve">Curriculum for Agricultural Science and Education (CASE) was created in 2007 by the National Council for Agriculture Education </w:t>
      </w:r>
      <w:r>
        <w:rPr>
          <w:color w:val="000000"/>
        </w:rPr>
        <w:t>and allows students to obtain hands-on experiences (CASE lesson development, 2012)</w:t>
      </w:r>
      <w:r w:rsidRPr="005E0FBB">
        <w:rPr>
          <w:color w:val="000000"/>
        </w:rPr>
        <w:t xml:space="preserve">. The goal of creating CASE was to implement a national curriculum for secondary agriculture education </w:t>
      </w:r>
      <w:r>
        <w:rPr>
          <w:color w:val="000000"/>
        </w:rPr>
        <w:t>and incorporate inquiry-based learning (CASE, 2012)</w:t>
      </w:r>
      <w:r w:rsidRPr="005E0FBB">
        <w:rPr>
          <w:color w:val="000000"/>
        </w:rPr>
        <w:t>. CASE uses the activity, p</w:t>
      </w:r>
      <w:r w:rsidR="00AC7076">
        <w:rPr>
          <w:color w:val="000000"/>
        </w:rPr>
        <w:t>roject, and problem-based model</w:t>
      </w:r>
      <w:r w:rsidRPr="005E0FBB">
        <w:rPr>
          <w:color w:val="000000"/>
        </w:rPr>
        <w:t xml:space="preserve"> for instructional strategies giving students the chance for </w:t>
      </w:r>
      <w:r>
        <w:rPr>
          <w:color w:val="000000"/>
        </w:rPr>
        <w:t>hands-on</w:t>
      </w:r>
      <w:r w:rsidRPr="005E0FBB">
        <w:rPr>
          <w:color w:val="000000"/>
        </w:rPr>
        <w:t xml:space="preserve"> activities (CASE</w:t>
      </w:r>
      <w:r>
        <w:rPr>
          <w:color w:val="000000"/>
        </w:rPr>
        <w:t>,</w:t>
      </w:r>
      <w:r w:rsidRPr="005E0FBB">
        <w:rPr>
          <w:color w:val="000000"/>
        </w:rPr>
        <w:t xml:space="preserve"> </w:t>
      </w:r>
      <w:r>
        <w:rPr>
          <w:color w:val="000000"/>
        </w:rPr>
        <w:t>2012</w:t>
      </w:r>
      <w:r w:rsidRPr="005E0FBB">
        <w:rPr>
          <w:color w:val="000000"/>
        </w:rPr>
        <w:t xml:space="preserve"> p. 1). The CASE curriculum can be used as a way to allow students start to guide their own learning through critical thinking (Lambert, Velez, &amp; Elliott, 2015).</w:t>
      </w:r>
      <w:r>
        <w:rPr>
          <w:color w:val="000000"/>
        </w:rPr>
        <w:t xml:space="preserve"> </w:t>
      </w:r>
      <w:r w:rsidR="00AC7076">
        <w:t>Many</w:t>
      </w:r>
      <w:r>
        <w:rPr>
          <w:color w:val="000000"/>
        </w:rPr>
        <w:t xml:space="preserve"> studies have been conducted to understand the teacher’s perceptions of using CASE in agricultural classrooms, however, students’ perceptions of being taught by the CASE curriculum have not been explored.  </w:t>
      </w:r>
    </w:p>
    <w:p w14:paraId="4E916A6B" w14:textId="77777777" w:rsidR="005A3FB4" w:rsidRDefault="005A3FB4" w:rsidP="005A3FB4">
      <w:pPr>
        <w:pStyle w:val="NormalWeb"/>
        <w:spacing w:before="0" w:beforeAutospacing="0" w:after="0" w:afterAutospacing="0"/>
        <w:jc w:val="center"/>
        <w:rPr>
          <w:b/>
          <w:color w:val="000000"/>
        </w:rPr>
      </w:pPr>
      <w:r>
        <w:rPr>
          <w:b/>
          <w:color w:val="000000"/>
        </w:rPr>
        <w:t>Theoretical Framework</w:t>
      </w:r>
    </w:p>
    <w:p w14:paraId="3BAC71D3" w14:textId="77777777" w:rsidR="005A3FB4" w:rsidRDefault="005A3FB4" w:rsidP="005A3FB4">
      <w:pPr>
        <w:pStyle w:val="NormalWeb"/>
        <w:spacing w:before="0" w:beforeAutospacing="0" w:after="0" w:afterAutospacing="0"/>
        <w:ind w:firstLine="720"/>
        <w:rPr>
          <w:b/>
          <w:color w:val="000000"/>
        </w:rPr>
      </w:pPr>
      <w:r>
        <w:rPr>
          <w:color w:val="000000"/>
        </w:rPr>
        <w:t xml:space="preserve">The theoretical framework used for this study was </w:t>
      </w:r>
      <w:proofErr w:type="spellStart"/>
      <w:r>
        <w:rPr>
          <w:color w:val="000000"/>
        </w:rPr>
        <w:t>Leagans</w:t>
      </w:r>
      <w:proofErr w:type="spellEnd"/>
      <w:r>
        <w:rPr>
          <w:color w:val="000000"/>
        </w:rPr>
        <w:t xml:space="preserve"> Major Elements in a Teaching-Learning Situation (n.d.). This model includes five factors that influence the teacher-learning situation (</w:t>
      </w:r>
      <w:proofErr w:type="spellStart"/>
      <w:r>
        <w:rPr>
          <w:color w:val="000000"/>
        </w:rPr>
        <w:t>Prawl</w:t>
      </w:r>
      <w:proofErr w:type="spellEnd"/>
      <w:r>
        <w:rPr>
          <w:color w:val="000000"/>
        </w:rPr>
        <w:t>, Medlin, &amp; Gross, 1984 p.108). The factors are the teacher, learner, subject matter, physical facilities/environment, and instructional materials/methods. All of the factors are interconnected and directly affect the quality of the learning experience (Seevers &amp; Graham, 2012). The teacher and learner bring different backgrounds and experiences to the learning situation. If the different backgrounds and experiences differ too much between the teacher and learner, the learning situation will be compromised (Seevers &amp; Graham, 2012). Subject matter can be formatted to fit the predetermined learners and can be adjusted based on the learners needs (Seevers &amp; Graham, 2012). The instructional materials/methods must be applicable to the learner’s backgrounds and previous experience and must be related to the subject matter (Seevers &amp; Graham, 2012). There must also be an available physical facilities/environment to allow for learning to occur (Seevers &amp; Graham, 2012).</w:t>
      </w:r>
    </w:p>
    <w:p w14:paraId="61977528" w14:textId="77777777" w:rsidR="005A3FB4" w:rsidRPr="005A3FB4" w:rsidRDefault="005A3FB4" w:rsidP="005A3FB4">
      <w:pPr>
        <w:pStyle w:val="NormalWeb"/>
        <w:spacing w:before="0" w:beforeAutospacing="0" w:after="0" w:afterAutospacing="0"/>
        <w:jc w:val="center"/>
        <w:rPr>
          <w:b/>
          <w:color w:val="000000"/>
        </w:rPr>
      </w:pPr>
      <w:r w:rsidRPr="005A3FB4">
        <w:rPr>
          <w:b/>
          <w:color w:val="000000"/>
        </w:rPr>
        <w:t>Methods</w:t>
      </w:r>
    </w:p>
    <w:p w14:paraId="0A7660A4" w14:textId="77777777" w:rsidR="00A00DCA" w:rsidRDefault="005A3FB4" w:rsidP="005A3FB4">
      <w:pPr>
        <w:spacing w:after="0" w:line="240" w:lineRule="auto"/>
        <w:rPr>
          <w:rFonts w:ascii="Times New Roman" w:hAnsi="Times New Roman" w:cs="Times New Roman"/>
          <w:sz w:val="24"/>
          <w:szCs w:val="24"/>
        </w:rPr>
      </w:pPr>
      <w:r w:rsidRPr="005A3FB4">
        <w:rPr>
          <w:rFonts w:ascii="Times New Roman" w:hAnsi="Times New Roman" w:cs="Times New Roman"/>
          <w:color w:val="000000"/>
          <w:sz w:val="24"/>
          <w:szCs w:val="24"/>
        </w:rPr>
        <w:t>The purpose of this qualitative study was to determine the students’ perceptions of CASE curriculum.</w:t>
      </w:r>
      <w:r>
        <w:rPr>
          <w:rFonts w:ascii="Times New Roman" w:hAnsi="Times New Roman" w:cs="Times New Roman"/>
          <w:sz w:val="24"/>
          <w:szCs w:val="24"/>
        </w:rPr>
        <w:t xml:space="preserve"> For this </w:t>
      </w:r>
      <w:r w:rsidRPr="006C0816">
        <w:rPr>
          <w:rFonts w:ascii="Times New Roman" w:hAnsi="Times New Roman" w:cs="Times New Roman"/>
          <w:sz w:val="24"/>
          <w:szCs w:val="24"/>
        </w:rPr>
        <w:t>study</w:t>
      </w:r>
      <w:r>
        <w:rPr>
          <w:rFonts w:ascii="Times New Roman" w:hAnsi="Times New Roman" w:cs="Times New Roman"/>
          <w:sz w:val="24"/>
          <w:szCs w:val="24"/>
        </w:rPr>
        <w:t>, researchers posted flyers in a collegiate agricultural orientation course to obtain participants who were freshm</w:t>
      </w:r>
      <w:r w:rsidR="00EF62A6">
        <w:rPr>
          <w:rFonts w:ascii="Times New Roman" w:hAnsi="Times New Roman" w:cs="Times New Roman"/>
          <w:sz w:val="24"/>
          <w:szCs w:val="24"/>
        </w:rPr>
        <w:t>e</w:t>
      </w:r>
      <w:r>
        <w:rPr>
          <w:rFonts w:ascii="Times New Roman" w:hAnsi="Times New Roman" w:cs="Times New Roman"/>
          <w:sz w:val="24"/>
          <w:szCs w:val="24"/>
        </w:rPr>
        <w:t xml:space="preserve">n and transfer students who took CASE Curriculum courses in high school. All </w:t>
      </w:r>
      <w:r w:rsidR="00CE3FCD">
        <w:rPr>
          <w:rFonts w:ascii="Times New Roman" w:hAnsi="Times New Roman" w:cs="Times New Roman"/>
          <w:sz w:val="24"/>
          <w:szCs w:val="24"/>
        </w:rPr>
        <w:t xml:space="preserve">six </w:t>
      </w:r>
      <w:r>
        <w:rPr>
          <w:rFonts w:ascii="Times New Roman" w:hAnsi="Times New Roman" w:cs="Times New Roman"/>
          <w:sz w:val="24"/>
          <w:szCs w:val="24"/>
        </w:rPr>
        <w:t xml:space="preserve">participants </w:t>
      </w:r>
      <w:r w:rsidR="00A00DCA">
        <w:rPr>
          <w:rFonts w:ascii="Times New Roman" w:hAnsi="Times New Roman" w:cs="Times New Roman"/>
          <w:sz w:val="24"/>
          <w:szCs w:val="24"/>
        </w:rPr>
        <w:t xml:space="preserve">selected </w:t>
      </w:r>
      <w:r w:rsidR="00AC7076">
        <w:rPr>
          <w:rFonts w:ascii="Times New Roman" w:hAnsi="Times New Roman" w:cs="Times New Roman"/>
          <w:sz w:val="24"/>
          <w:szCs w:val="24"/>
        </w:rPr>
        <w:t xml:space="preserve">for the study </w:t>
      </w:r>
      <w:r>
        <w:rPr>
          <w:rFonts w:ascii="Times New Roman" w:hAnsi="Times New Roman" w:cs="Times New Roman"/>
          <w:sz w:val="24"/>
          <w:szCs w:val="24"/>
        </w:rPr>
        <w:t xml:space="preserve">indicated they had taken more </w:t>
      </w:r>
      <w:r>
        <w:rPr>
          <w:rFonts w:ascii="Times New Roman" w:hAnsi="Times New Roman" w:cs="Times New Roman"/>
          <w:sz w:val="24"/>
          <w:szCs w:val="24"/>
        </w:rPr>
        <w:lastRenderedPageBreak/>
        <w:t xml:space="preserve">than two CASE curriculum courses. </w:t>
      </w:r>
      <w:r w:rsidRPr="003A186C">
        <w:rPr>
          <w:rFonts w:ascii="Times New Roman" w:hAnsi="Times New Roman" w:cs="Times New Roman"/>
          <w:sz w:val="24"/>
          <w:szCs w:val="24"/>
        </w:rPr>
        <w:t>The instrument devel</w:t>
      </w:r>
      <w:r>
        <w:rPr>
          <w:rFonts w:ascii="Times New Roman" w:hAnsi="Times New Roman" w:cs="Times New Roman"/>
          <w:sz w:val="24"/>
          <w:szCs w:val="24"/>
        </w:rPr>
        <w:t>oped for this case study was a focus group interview</w:t>
      </w:r>
      <w:r w:rsidRPr="003A186C">
        <w:rPr>
          <w:rFonts w:ascii="Times New Roman" w:hAnsi="Times New Roman" w:cs="Times New Roman"/>
          <w:sz w:val="24"/>
          <w:szCs w:val="24"/>
        </w:rPr>
        <w:t xml:space="preserve"> protocol asking each participant 11 open-ended questions over</w:t>
      </w:r>
      <w:r>
        <w:rPr>
          <w:rFonts w:ascii="Times New Roman" w:hAnsi="Times New Roman" w:cs="Times New Roman"/>
          <w:sz w:val="24"/>
          <w:szCs w:val="24"/>
        </w:rPr>
        <w:t xml:space="preserve"> their experience regarding the CASE curriculum. </w:t>
      </w:r>
      <w:r w:rsidR="00A00DCA">
        <w:rPr>
          <w:rFonts w:ascii="Times New Roman" w:hAnsi="Times New Roman" w:cs="Times New Roman"/>
          <w:sz w:val="24"/>
          <w:szCs w:val="24"/>
        </w:rPr>
        <w:t>D</w:t>
      </w:r>
      <w:r>
        <w:rPr>
          <w:rFonts w:ascii="Times New Roman" w:hAnsi="Times New Roman" w:cs="Times New Roman"/>
          <w:sz w:val="24"/>
          <w:szCs w:val="24"/>
        </w:rPr>
        <w:t>emographic information from the participants</w:t>
      </w:r>
      <w:r w:rsidR="00A00DCA">
        <w:rPr>
          <w:rFonts w:ascii="Times New Roman" w:hAnsi="Times New Roman" w:cs="Times New Roman"/>
          <w:sz w:val="24"/>
          <w:szCs w:val="24"/>
        </w:rPr>
        <w:t xml:space="preserve"> was collected and</w:t>
      </w:r>
      <w:r>
        <w:rPr>
          <w:rFonts w:ascii="Times New Roman" w:hAnsi="Times New Roman" w:cs="Times New Roman"/>
          <w:sz w:val="24"/>
          <w:szCs w:val="24"/>
        </w:rPr>
        <w:t xml:space="preserve"> question</w:t>
      </w:r>
      <w:r w:rsidR="00A00DCA">
        <w:rPr>
          <w:rFonts w:ascii="Times New Roman" w:hAnsi="Times New Roman" w:cs="Times New Roman"/>
          <w:sz w:val="24"/>
          <w:szCs w:val="24"/>
        </w:rPr>
        <w:t>s focused on the subject matter, instructional materials</w:t>
      </w:r>
      <w:r w:rsidR="004634C9">
        <w:rPr>
          <w:rFonts w:ascii="Times New Roman" w:hAnsi="Times New Roman" w:cs="Times New Roman"/>
          <w:sz w:val="24"/>
          <w:szCs w:val="24"/>
        </w:rPr>
        <w:t>,</w:t>
      </w:r>
      <w:r w:rsidR="00A00DCA">
        <w:rPr>
          <w:rFonts w:ascii="Times New Roman" w:hAnsi="Times New Roman" w:cs="Times New Roman"/>
          <w:sz w:val="24"/>
          <w:szCs w:val="24"/>
        </w:rPr>
        <w:t xml:space="preserve"> and physical facilities available </w:t>
      </w:r>
      <w:r>
        <w:rPr>
          <w:rFonts w:ascii="Times New Roman" w:hAnsi="Times New Roman" w:cs="Times New Roman"/>
          <w:sz w:val="24"/>
          <w:szCs w:val="24"/>
        </w:rPr>
        <w:t xml:space="preserve">of CASE. </w:t>
      </w:r>
    </w:p>
    <w:p w14:paraId="7A6636A3" w14:textId="77777777" w:rsidR="005A3FB4" w:rsidRDefault="005A3FB4" w:rsidP="00A00DC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focus group</w:t>
      </w:r>
      <w:r w:rsidR="002C58E1">
        <w:rPr>
          <w:rFonts w:ascii="Times New Roman" w:hAnsi="Times New Roman" w:cs="Times New Roman"/>
          <w:sz w:val="24"/>
          <w:szCs w:val="24"/>
        </w:rPr>
        <w:t>’</w:t>
      </w:r>
      <w:r>
        <w:rPr>
          <w:rFonts w:ascii="Times New Roman" w:hAnsi="Times New Roman" w:cs="Times New Roman"/>
          <w:sz w:val="24"/>
          <w:szCs w:val="24"/>
        </w:rPr>
        <w:t>s interview was recorded with a basic audio-recording device. Data field notes were taken and stored in a secure location. Research logs, peer review of data, and member checks were used to ensure trustworthiness, credibility, and reliability of data (Lincoln &amp; Guba, 1985). Very detailed procedures were utilized to ensure a high level of dependability. This includes the use of peer review, transcribing data following the interview and utilizing participants for the accuracy of the transcripts. Braun and Clark (2006) theoretical analysis was used to analyze the data.</w:t>
      </w:r>
      <w:r w:rsidR="00AC7076">
        <w:rPr>
          <w:rFonts w:ascii="Times New Roman" w:hAnsi="Times New Roman" w:cs="Times New Roman"/>
          <w:sz w:val="24"/>
          <w:szCs w:val="24"/>
        </w:rPr>
        <w:t xml:space="preserve"> R</w:t>
      </w:r>
      <w:r>
        <w:rPr>
          <w:rFonts w:ascii="Times New Roman" w:hAnsi="Times New Roman" w:cs="Times New Roman"/>
          <w:sz w:val="24"/>
          <w:szCs w:val="24"/>
        </w:rPr>
        <w:t xml:space="preserve">esearchers identified, analyzed, and reported the themes that emerged </w:t>
      </w:r>
      <w:r w:rsidR="00AC7076">
        <w:rPr>
          <w:rFonts w:ascii="Times New Roman" w:hAnsi="Times New Roman" w:cs="Times New Roman"/>
          <w:sz w:val="24"/>
          <w:szCs w:val="24"/>
        </w:rPr>
        <w:t xml:space="preserve">from the focus group </w:t>
      </w:r>
      <w:r>
        <w:rPr>
          <w:rFonts w:ascii="Times New Roman" w:hAnsi="Times New Roman" w:cs="Times New Roman"/>
          <w:sz w:val="24"/>
          <w:szCs w:val="24"/>
        </w:rPr>
        <w:t xml:space="preserve">(Braun &amp; Clark, 2006). </w:t>
      </w:r>
    </w:p>
    <w:p w14:paraId="3E4AFADC" w14:textId="77777777" w:rsidR="00A00DCA" w:rsidRDefault="00A00DCA" w:rsidP="00A00DC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w:t>
      </w:r>
    </w:p>
    <w:p w14:paraId="5D869646" w14:textId="77777777" w:rsidR="00A00DCA" w:rsidRDefault="00A00DCA" w:rsidP="00365E09">
      <w:pPr>
        <w:spacing w:after="0" w:line="240" w:lineRule="auto"/>
        <w:rPr>
          <w:rFonts w:ascii="Times New Roman" w:hAnsi="Times New Roman" w:cs="Times New Roman"/>
          <w:sz w:val="24"/>
          <w:szCs w:val="24"/>
        </w:rPr>
      </w:pPr>
      <w:r>
        <w:rPr>
          <w:rFonts w:ascii="Times New Roman" w:hAnsi="Times New Roman" w:cs="Times New Roman"/>
          <w:sz w:val="24"/>
          <w:szCs w:val="24"/>
        </w:rPr>
        <w:t>Of the students who participated in the study, fiv</w:t>
      </w:r>
      <w:r w:rsidR="00CE3FCD">
        <w:rPr>
          <w:rFonts w:ascii="Times New Roman" w:hAnsi="Times New Roman" w:cs="Times New Roman"/>
          <w:sz w:val="24"/>
          <w:szCs w:val="24"/>
        </w:rPr>
        <w:t>e were females and one was male.</w:t>
      </w:r>
      <w:r>
        <w:rPr>
          <w:rFonts w:ascii="Times New Roman" w:hAnsi="Times New Roman" w:cs="Times New Roman"/>
          <w:sz w:val="24"/>
          <w:szCs w:val="24"/>
        </w:rPr>
        <w:t xml:space="preserve"> Three of the students did not </w:t>
      </w:r>
      <w:r w:rsidR="00CE3FCD">
        <w:rPr>
          <w:rFonts w:ascii="Times New Roman" w:hAnsi="Times New Roman" w:cs="Times New Roman"/>
          <w:sz w:val="24"/>
          <w:szCs w:val="24"/>
        </w:rPr>
        <w:t>have any</w:t>
      </w:r>
      <w:r>
        <w:rPr>
          <w:rFonts w:ascii="Times New Roman" w:hAnsi="Times New Roman" w:cs="Times New Roman"/>
          <w:sz w:val="24"/>
          <w:szCs w:val="24"/>
        </w:rPr>
        <w:t xml:space="preserve"> agricultural background, but indicated they grew up in a rural setting.</w:t>
      </w:r>
      <w:r w:rsidR="00365E09">
        <w:rPr>
          <w:rFonts w:ascii="Times New Roman" w:hAnsi="Times New Roman" w:cs="Times New Roman"/>
          <w:sz w:val="24"/>
          <w:szCs w:val="24"/>
        </w:rPr>
        <w:t xml:space="preserve"> </w:t>
      </w:r>
      <w:r>
        <w:rPr>
          <w:rFonts w:ascii="Times New Roman" w:hAnsi="Times New Roman" w:cs="Times New Roman"/>
          <w:sz w:val="24"/>
          <w:szCs w:val="24"/>
        </w:rPr>
        <w:t xml:space="preserve">The first theme </w:t>
      </w:r>
      <w:r w:rsidR="00CE3FCD">
        <w:rPr>
          <w:rFonts w:ascii="Times New Roman" w:hAnsi="Times New Roman" w:cs="Times New Roman"/>
          <w:sz w:val="24"/>
          <w:szCs w:val="24"/>
        </w:rPr>
        <w:t xml:space="preserve">which </w:t>
      </w:r>
      <w:r>
        <w:rPr>
          <w:rFonts w:ascii="Times New Roman" w:hAnsi="Times New Roman" w:cs="Times New Roman"/>
          <w:sz w:val="24"/>
          <w:szCs w:val="24"/>
        </w:rPr>
        <w:t>emerged by students was CASE courses were very student-centered and focused on hands-on learning.</w:t>
      </w:r>
      <w:r w:rsidR="00365E09">
        <w:rPr>
          <w:rFonts w:ascii="Times New Roman" w:hAnsi="Times New Roman" w:cs="Times New Roman"/>
          <w:sz w:val="24"/>
          <w:szCs w:val="24"/>
        </w:rPr>
        <w:t xml:space="preserve"> Three of the students indicated their agriculture teacher bounced around in the CASE curriculum, but also connected it back to what was happening in the industry.</w:t>
      </w:r>
      <w:r>
        <w:rPr>
          <w:rFonts w:ascii="Times New Roman" w:hAnsi="Times New Roman" w:cs="Times New Roman"/>
          <w:sz w:val="24"/>
          <w:szCs w:val="24"/>
        </w:rPr>
        <w:t xml:space="preserve"> One student said, “I liked the way our teacher bounced around because she taught it in an order she thought was best fitted for the type of classes we were in or the backgrounds of the students who were in the class.”</w:t>
      </w:r>
    </w:p>
    <w:p w14:paraId="0F3FD8CB" w14:textId="77777777" w:rsidR="00A00DCA" w:rsidRDefault="00A00DCA" w:rsidP="00A00DCA">
      <w:pPr>
        <w:spacing w:after="0" w:line="240" w:lineRule="auto"/>
        <w:ind w:firstLine="720"/>
        <w:rPr>
          <w:rFonts w:ascii="Times New Roman" w:hAnsi="Times New Roman" w:cs="Times New Roman"/>
          <w:i/>
          <w:sz w:val="24"/>
          <w:szCs w:val="24"/>
        </w:rPr>
      </w:pPr>
      <w:r>
        <w:rPr>
          <w:rFonts w:ascii="Times New Roman" w:hAnsi="Times New Roman" w:cs="Times New Roman"/>
          <w:sz w:val="24"/>
          <w:szCs w:val="24"/>
        </w:rPr>
        <w:t xml:space="preserve">A second theme focused on challenges </w:t>
      </w:r>
      <w:r w:rsidR="008F074F">
        <w:rPr>
          <w:rFonts w:ascii="Times New Roman" w:hAnsi="Times New Roman" w:cs="Times New Roman"/>
          <w:sz w:val="24"/>
          <w:szCs w:val="24"/>
        </w:rPr>
        <w:t xml:space="preserve">students had </w:t>
      </w:r>
      <w:r>
        <w:rPr>
          <w:rFonts w:ascii="Times New Roman" w:hAnsi="Times New Roman" w:cs="Times New Roman"/>
          <w:sz w:val="24"/>
          <w:szCs w:val="24"/>
        </w:rPr>
        <w:t xml:space="preserve">with the CASE curriculum where students indicated the </w:t>
      </w:r>
      <w:r w:rsidR="007C719E">
        <w:rPr>
          <w:rFonts w:ascii="Times New Roman" w:hAnsi="Times New Roman" w:cs="Times New Roman"/>
          <w:sz w:val="24"/>
          <w:szCs w:val="24"/>
        </w:rPr>
        <w:t>problems</w:t>
      </w:r>
      <w:r>
        <w:rPr>
          <w:rFonts w:ascii="Times New Roman" w:hAnsi="Times New Roman" w:cs="Times New Roman"/>
          <w:sz w:val="24"/>
          <w:szCs w:val="24"/>
        </w:rPr>
        <w:t xml:space="preserve"> they experienced were with equipment and instructions that were lengthy and wordy. One student explained, </w:t>
      </w:r>
      <w:r w:rsidRPr="00BF15F8">
        <w:rPr>
          <w:rFonts w:ascii="Times New Roman" w:hAnsi="Times New Roman" w:cs="Times New Roman"/>
          <w:i/>
          <w:sz w:val="24"/>
          <w:szCs w:val="24"/>
        </w:rPr>
        <w:t>“</w:t>
      </w:r>
      <w:r>
        <w:rPr>
          <w:rFonts w:ascii="Times New Roman" w:hAnsi="Times New Roman" w:cs="Times New Roman"/>
          <w:sz w:val="24"/>
          <w:szCs w:val="24"/>
        </w:rPr>
        <w:t xml:space="preserve">The soil probes got irritating because sometimes they would work and sometimes they wouldn’t and you kind of lost focus of what exactly you were supposed to be getting out of the lesson.” The third theme identified by students was the objectives guided the learning. Students who were not from an agricultural background found the objectives especially helpful. In addition, the students agreed it was very structured. One student explained, </w:t>
      </w:r>
      <w:r>
        <w:rPr>
          <w:rFonts w:ascii="Times New Roman" w:hAnsi="Times New Roman" w:cs="Times New Roman"/>
          <w:i/>
          <w:sz w:val="24"/>
          <w:szCs w:val="24"/>
        </w:rPr>
        <w:t>“</w:t>
      </w:r>
      <w:r>
        <w:rPr>
          <w:rFonts w:ascii="Times New Roman" w:hAnsi="Times New Roman" w:cs="Times New Roman"/>
          <w:sz w:val="24"/>
          <w:szCs w:val="24"/>
        </w:rPr>
        <w:t>If you build a house on concrete all the stuff that comes after it will stand. If you build it on sand it’s going to fall down.</w:t>
      </w:r>
      <w:r>
        <w:rPr>
          <w:rFonts w:ascii="Times New Roman" w:hAnsi="Times New Roman" w:cs="Times New Roman"/>
          <w:i/>
          <w:sz w:val="24"/>
          <w:szCs w:val="24"/>
        </w:rPr>
        <w:t>”</w:t>
      </w:r>
    </w:p>
    <w:p w14:paraId="1F6CA3AA" w14:textId="77777777" w:rsidR="005B62B1" w:rsidRDefault="00A00DCA" w:rsidP="005B62B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fourth theme identified, was the CASE curriculum kept agricultural teachers more on schedule which kept the class consistent. </w:t>
      </w:r>
      <w:r w:rsidR="005B62B1">
        <w:rPr>
          <w:rFonts w:ascii="Times New Roman" w:hAnsi="Times New Roman" w:cs="Times New Roman"/>
          <w:sz w:val="24"/>
          <w:szCs w:val="24"/>
        </w:rPr>
        <w:t xml:space="preserve">One student said, </w:t>
      </w:r>
    </w:p>
    <w:p w14:paraId="25CF61EA" w14:textId="77777777" w:rsidR="005B62B1" w:rsidRDefault="005B62B1" w:rsidP="005B62B1">
      <w:pPr>
        <w:spacing w:after="0" w:line="240" w:lineRule="auto"/>
        <w:ind w:left="720"/>
        <w:rPr>
          <w:rFonts w:ascii="Times New Roman" w:hAnsi="Times New Roman" w:cs="Times New Roman"/>
          <w:sz w:val="24"/>
          <w:szCs w:val="24"/>
        </w:rPr>
      </w:pPr>
      <w:r>
        <w:rPr>
          <w:rFonts w:ascii="Times New Roman" w:hAnsi="Times New Roman" w:cs="Times New Roman"/>
          <w:i/>
          <w:sz w:val="24"/>
          <w:szCs w:val="24"/>
        </w:rPr>
        <w:t>“</w:t>
      </w:r>
      <w:r>
        <w:rPr>
          <w:rFonts w:ascii="Times New Roman" w:hAnsi="Times New Roman" w:cs="Times New Roman"/>
          <w:sz w:val="24"/>
          <w:szCs w:val="24"/>
        </w:rPr>
        <w:t>There was actual consistency in CASE courses. My other agriculture teacher who taught farm business management did not use CASE and by the end of the class it was more of a do whatever you want for the rest of the class.</w:t>
      </w:r>
      <w:r>
        <w:rPr>
          <w:rFonts w:ascii="Times New Roman" w:hAnsi="Times New Roman" w:cs="Times New Roman"/>
          <w:i/>
          <w:sz w:val="24"/>
          <w:szCs w:val="24"/>
        </w:rPr>
        <w:t>”</w:t>
      </w:r>
      <w:r>
        <w:rPr>
          <w:rFonts w:ascii="Times New Roman" w:hAnsi="Times New Roman" w:cs="Times New Roman"/>
          <w:sz w:val="24"/>
          <w:szCs w:val="24"/>
        </w:rPr>
        <w:t xml:space="preserve"> </w:t>
      </w:r>
    </w:p>
    <w:p w14:paraId="1FEC077B" w14:textId="77777777" w:rsidR="00A00DCA" w:rsidRDefault="00A00DCA" w:rsidP="00CE3FCD">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Students were asked about the amount of science that was incorporated into the CASE curriculum. One theme identified by students was that the curriculum had a good balance of science and was easily relatable to agriculture. The layouts of the classrooms were similar among all students. </w:t>
      </w:r>
    </w:p>
    <w:p w14:paraId="3CE7B960" w14:textId="77777777" w:rsidR="00A00DCA" w:rsidRPr="00F24D3F" w:rsidRDefault="00A00DCA" w:rsidP="00A00DCA">
      <w:pPr>
        <w:spacing w:after="0" w:line="240" w:lineRule="auto"/>
        <w:jc w:val="center"/>
        <w:rPr>
          <w:rFonts w:ascii="Times New Roman" w:hAnsi="Times New Roman" w:cs="Times New Roman"/>
          <w:b/>
          <w:sz w:val="24"/>
          <w:szCs w:val="24"/>
        </w:rPr>
      </w:pPr>
      <w:r w:rsidRPr="00F24D3F">
        <w:rPr>
          <w:rFonts w:ascii="Times New Roman" w:hAnsi="Times New Roman" w:cs="Times New Roman"/>
          <w:b/>
          <w:sz w:val="24"/>
          <w:szCs w:val="24"/>
        </w:rPr>
        <w:t xml:space="preserve">Conclusion/Recommendations/Implications  </w:t>
      </w:r>
    </w:p>
    <w:p w14:paraId="20BF5A7D" w14:textId="77777777" w:rsidR="00365E09" w:rsidRDefault="00A00DCA" w:rsidP="00CE3FCD">
      <w:pPr>
        <w:spacing w:after="0" w:line="240" w:lineRule="auto"/>
        <w:rPr>
          <w:rFonts w:ascii="Times New Roman" w:hAnsi="Times New Roman" w:cs="Times New Roman"/>
          <w:b/>
          <w:sz w:val="24"/>
          <w:szCs w:val="24"/>
        </w:rPr>
      </w:pPr>
      <w:r>
        <w:rPr>
          <w:rFonts w:ascii="Times New Roman" w:hAnsi="Times New Roman" w:cs="Times New Roman"/>
          <w:color w:val="000000"/>
          <w:sz w:val="24"/>
          <w:szCs w:val="24"/>
        </w:rPr>
        <w:t xml:space="preserve">Overall, students involved in this focus group were very supportive of the hands-on experiences the CASE curriculum incorporated into classrooms. The hands-on experiences allowed students the ability to connect ideas from class to make sense in </w:t>
      </w:r>
      <w:r w:rsidR="00EF134D">
        <w:rPr>
          <w:rFonts w:ascii="Times New Roman" w:hAnsi="Times New Roman" w:cs="Times New Roman"/>
          <w:color w:val="000000"/>
          <w:sz w:val="24"/>
          <w:szCs w:val="24"/>
        </w:rPr>
        <w:t xml:space="preserve">different hands-on </w:t>
      </w:r>
      <w:r w:rsidR="001130E4">
        <w:rPr>
          <w:rFonts w:ascii="Times New Roman" w:hAnsi="Times New Roman" w:cs="Times New Roman"/>
          <w:color w:val="000000"/>
          <w:sz w:val="24"/>
          <w:szCs w:val="24"/>
        </w:rPr>
        <w:t>opportunities</w:t>
      </w:r>
      <w:r w:rsidR="00EF134D">
        <w:rPr>
          <w:rFonts w:ascii="Times New Roman" w:hAnsi="Times New Roman" w:cs="Times New Roman"/>
          <w:color w:val="000000"/>
          <w:sz w:val="24"/>
          <w:szCs w:val="24"/>
        </w:rPr>
        <w:t>.</w:t>
      </w:r>
      <w:r>
        <w:rPr>
          <w:rFonts w:ascii="Times New Roman" w:hAnsi="Times New Roman" w:cs="Times New Roman"/>
          <w:color w:val="000000"/>
          <w:sz w:val="24"/>
          <w:szCs w:val="24"/>
        </w:rPr>
        <w:t xml:space="preserve"> Hands-on experiences allow students to learn the content in a more enjoyable way (Johnson et al., 1997). </w:t>
      </w:r>
      <w:r w:rsidRPr="149C95D4">
        <w:rPr>
          <w:rFonts w:ascii="Times New Roman" w:eastAsia="Times New Roman" w:hAnsi="Times New Roman" w:cs="Times New Roman"/>
          <w:sz w:val="24"/>
          <w:szCs w:val="24"/>
        </w:rPr>
        <w:t>The findings of this study are limited to the perceptions of the study</w:t>
      </w:r>
      <w:r w:rsidR="001130E4">
        <w:rPr>
          <w:rFonts w:ascii="Times New Roman" w:eastAsia="Times New Roman" w:hAnsi="Times New Roman" w:cs="Times New Roman"/>
          <w:sz w:val="24"/>
          <w:szCs w:val="24"/>
        </w:rPr>
        <w:t>’s</w:t>
      </w:r>
      <w:r w:rsidRPr="149C95D4">
        <w:rPr>
          <w:rFonts w:ascii="Times New Roman" w:eastAsia="Times New Roman" w:hAnsi="Times New Roman" w:cs="Times New Roman"/>
          <w:sz w:val="24"/>
          <w:szCs w:val="24"/>
        </w:rPr>
        <w:t xml:space="preserve"> participants. </w:t>
      </w:r>
      <w:r>
        <w:rPr>
          <w:rFonts w:ascii="Times New Roman" w:hAnsi="Times New Roman" w:cs="Times New Roman"/>
          <w:color w:val="000000"/>
          <w:sz w:val="24"/>
          <w:szCs w:val="24"/>
        </w:rPr>
        <w:t xml:space="preserve">Future </w:t>
      </w:r>
      <w:r>
        <w:rPr>
          <w:rFonts w:ascii="Times New Roman" w:hAnsi="Times New Roman" w:cs="Times New Roman"/>
          <w:color w:val="000000"/>
          <w:sz w:val="24"/>
          <w:szCs w:val="24"/>
        </w:rPr>
        <w:lastRenderedPageBreak/>
        <w:t>research should be conducted with a larger audience in multiple high school CASE certif</w:t>
      </w:r>
      <w:r w:rsidR="00365E09">
        <w:rPr>
          <w:rFonts w:ascii="Times New Roman" w:hAnsi="Times New Roman" w:cs="Times New Roman"/>
          <w:color w:val="000000"/>
          <w:sz w:val="24"/>
          <w:szCs w:val="24"/>
        </w:rPr>
        <w:t xml:space="preserve">ied programs across the country. </w:t>
      </w:r>
      <w:r w:rsidR="00CE3FCD">
        <w:rPr>
          <w:rFonts w:ascii="Times New Roman" w:hAnsi="Times New Roman" w:cs="Times New Roman"/>
          <w:color w:val="000000"/>
          <w:sz w:val="24"/>
          <w:szCs w:val="24"/>
        </w:rPr>
        <w:t>Additional research should focus on how teachers are implementing the CASE curriculum in their classroom.</w:t>
      </w:r>
    </w:p>
    <w:p w14:paraId="67FF333E" w14:textId="77777777" w:rsidR="008F074F" w:rsidRDefault="008F074F" w:rsidP="00D922DC">
      <w:pPr>
        <w:ind w:left="720" w:hanging="720"/>
        <w:jc w:val="center"/>
        <w:rPr>
          <w:rFonts w:ascii="Times New Roman" w:hAnsi="Times New Roman" w:cs="Times New Roman"/>
          <w:b/>
          <w:sz w:val="24"/>
          <w:szCs w:val="24"/>
        </w:rPr>
      </w:pPr>
    </w:p>
    <w:p w14:paraId="445DB674" w14:textId="77777777" w:rsidR="007C719E" w:rsidRDefault="007C719E" w:rsidP="00D922DC">
      <w:pPr>
        <w:ind w:left="720" w:hanging="720"/>
        <w:jc w:val="center"/>
        <w:rPr>
          <w:rFonts w:ascii="Times New Roman" w:hAnsi="Times New Roman" w:cs="Times New Roman"/>
          <w:b/>
          <w:sz w:val="24"/>
          <w:szCs w:val="24"/>
        </w:rPr>
      </w:pPr>
    </w:p>
    <w:p w14:paraId="5A2D4D51" w14:textId="77777777" w:rsidR="00D922DC" w:rsidRDefault="00D922DC" w:rsidP="00D922DC">
      <w:pPr>
        <w:ind w:left="720" w:hanging="720"/>
        <w:jc w:val="center"/>
        <w:rPr>
          <w:rFonts w:ascii="Times New Roman" w:hAnsi="Times New Roman" w:cs="Times New Roman"/>
          <w:b/>
          <w:sz w:val="24"/>
          <w:szCs w:val="24"/>
        </w:rPr>
      </w:pPr>
      <w:r>
        <w:rPr>
          <w:rFonts w:ascii="Times New Roman" w:hAnsi="Times New Roman" w:cs="Times New Roman"/>
          <w:b/>
          <w:sz w:val="24"/>
          <w:szCs w:val="24"/>
        </w:rPr>
        <w:t>References</w:t>
      </w:r>
    </w:p>
    <w:p w14:paraId="16FBF9B7" w14:textId="77777777" w:rsidR="00D922DC" w:rsidRDefault="00D922DC" w:rsidP="008F0DEE">
      <w:pPr>
        <w:autoSpaceDE w:val="0"/>
        <w:autoSpaceDN w:val="0"/>
        <w:adjustRightInd w:val="0"/>
        <w:spacing w:after="0" w:line="240" w:lineRule="auto"/>
        <w:ind w:left="720" w:hanging="720"/>
        <w:rPr>
          <w:rFonts w:ascii="Times New Roman" w:hAnsi="Times New Roman" w:cs="Times New Roman"/>
          <w:sz w:val="24"/>
          <w:szCs w:val="24"/>
        </w:rPr>
      </w:pPr>
      <w:r w:rsidRPr="00DF6801">
        <w:rPr>
          <w:rFonts w:ascii="Times New Roman" w:hAnsi="Times New Roman" w:cs="Times New Roman"/>
          <w:sz w:val="24"/>
          <w:szCs w:val="24"/>
        </w:rPr>
        <w:t xml:space="preserve">Braun, V., and Clark, V. (2006). Using thematic analysis in psychology. </w:t>
      </w:r>
      <w:r w:rsidRPr="00DF6801">
        <w:rPr>
          <w:rFonts w:ascii="Times New Roman" w:hAnsi="Times New Roman" w:cs="Times New Roman"/>
          <w:i/>
          <w:sz w:val="24"/>
          <w:szCs w:val="24"/>
        </w:rPr>
        <w:t>Qualitative Research in Psychology, 3</w:t>
      </w:r>
      <w:r w:rsidRPr="00DF6801">
        <w:rPr>
          <w:rFonts w:ascii="Times New Roman" w:hAnsi="Times New Roman" w:cs="Times New Roman"/>
          <w:sz w:val="24"/>
          <w:szCs w:val="24"/>
        </w:rPr>
        <w:t xml:space="preserve">(2), 15-35. </w:t>
      </w:r>
      <w:proofErr w:type="spellStart"/>
      <w:r w:rsidRPr="00DF6801">
        <w:rPr>
          <w:rFonts w:ascii="Times New Roman" w:hAnsi="Times New Roman" w:cs="Times New Roman"/>
          <w:sz w:val="24"/>
          <w:szCs w:val="24"/>
        </w:rPr>
        <w:t>doi</w:t>
      </w:r>
      <w:proofErr w:type="spellEnd"/>
      <w:r w:rsidRPr="00DF6801">
        <w:rPr>
          <w:rFonts w:ascii="Times New Roman" w:hAnsi="Times New Roman" w:cs="Times New Roman"/>
          <w:sz w:val="24"/>
          <w:szCs w:val="24"/>
        </w:rPr>
        <w:t>: 10.1191/1478088706qp063oa</w:t>
      </w:r>
    </w:p>
    <w:p w14:paraId="5BA79A6D" w14:textId="77777777" w:rsidR="00D922DC" w:rsidRDefault="00D922DC" w:rsidP="008F0DEE">
      <w:pPr>
        <w:pStyle w:val="NormalWeb"/>
        <w:spacing w:before="0" w:beforeAutospacing="0" w:after="0" w:afterAutospacing="0"/>
      </w:pPr>
    </w:p>
    <w:p w14:paraId="47DC233C" w14:textId="77777777" w:rsidR="00D922DC" w:rsidRPr="00177CDA" w:rsidRDefault="00D922DC" w:rsidP="008F0DEE">
      <w:pPr>
        <w:pStyle w:val="NormalWeb"/>
        <w:spacing w:before="0" w:beforeAutospacing="0" w:after="0" w:afterAutospacing="0"/>
        <w:ind w:left="720" w:hanging="720"/>
      </w:pPr>
      <w:r w:rsidRPr="00177CDA">
        <w:t>Curriculum for Agricultural Scien</w:t>
      </w:r>
      <w:r>
        <w:t xml:space="preserve">ce Education (CASE). (2012). </w:t>
      </w:r>
    </w:p>
    <w:p w14:paraId="63409441" w14:textId="77777777" w:rsidR="00D922DC" w:rsidRDefault="00D922DC" w:rsidP="008F0DEE">
      <w:pPr>
        <w:pStyle w:val="NormalWeb"/>
        <w:spacing w:before="0" w:beforeAutospacing="0" w:after="0" w:afterAutospacing="0"/>
        <w:ind w:left="1440" w:hanging="720"/>
        <w:rPr>
          <w:bCs/>
          <w:shd w:val="clear" w:color="auto" w:fill="FFFFFF"/>
        </w:rPr>
      </w:pPr>
      <w:r w:rsidRPr="00177CDA">
        <w:t xml:space="preserve">Retrieved from </w:t>
      </w:r>
      <w:r w:rsidR="008F0DEE" w:rsidRPr="008F0DEE">
        <w:rPr>
          <w:bCs/>
          <w:shd w:val="clear" w:color="auto" w:fill="FFFFFF"/>
        </w:rPr>
        <w:t>http://www.case4learning.org/index.php/about-case/vision</w:t>
      </w:r>
    </w:p>
    <w:p w14:paraId="3F846B30" w14:textId="77777777" w:rsidR="008F0DEE" w:rsidRPr="008F0DEE" w:rsidRDefault="008F0DEE" w:rsidP="008F0DEE">
      <w:pPr>
        <w:pStyle w:val="NormalWeb"/>
        <w:spacing w:before="0" w:beforeAutospacing="0" w:after="0" w:afterAutospacing="0"/>
        <w:ind w:left="1440" w:hanging="720"/>
        <w:rPr>
          <w:bCs/>
          <w:shd w:val="clear" w:color="auto" w:fill="FFFFFF"/>
        </w:rPr>
      </w:pPr>
    </w:p>
    <w:p w14:paraId="5610E7A7" w14:textId="77777777" w:rsidR="00D922DC" w:rsidRDefault="00D922DC" w:rsidP="008F0DEE">
      <w:pPr>
        <w:spacing w:line="240" w:lineRule="auto"/>
        <w:ind w:left="720" w:hanging="720"/>
        <w:rPr>
          <w:rFonts w:ascii="Times New Roman" w:hAnsi="Times New Roman" w:cs="Times New Roman"/>
          <w:sz w:val="24"/>
          <w:szCs w:val="24"/>
        </w:rPr>
      </w:pPr>
      <w:r w:rsidRPr="00F96CD5">
        <w:rPr>
          <w:rFonts w:ascii="Times New Roman" w:hAnsi="Times New Roman" w:cs="Times New Roman"/>
          <w:sz w:val="24"/>
          <w:szCs w:val="24"/>
        </w:rPr>
        <w:t xml:space="preserve">Dyer, J. E., &amp; </w:t>
      </w:r>
      <w:proofErr w:type="spellStart"/>
      <w:r w:rsidRPr="00F96CD5">
        <w:rPr>
          <w:rFonts w:ascii="Times New Roman" w:hAnsi="Times New Roman" w:cs="Times New Roman"/>
          <w:sz w:val="24"/>
          <w:szCs w:val="24"/>
        </w:rPr>
        <w:t>Osbome</w:t>
      </w:r>
      <w:proofErr w:type="spellEnd"/>
      <w:r w:rsidRPr="00F96CD5">
        <w:rPr>
          <w:rFonts w:ascii="Times New Roman" w:hAnsi="Times New Roman" w:cs="Times New Roman"/>
          <w:sz w:val="24"/>
          <w:szCs w:val="24"/>
        </w:rPr>
        <w:t xml:space="preserve">, E. W. (1995). Effects of Teaching Approach on Achievement of Agricultural </w:t>
      </w:r>
      <w:proofErr w:type="spellStart"/>
      <w:r w:rsidRPr="00F96CD5">
        <w:rPr>
          <w:rFonts w:ascii="Times New Roman" w:hAnsi="Times New Roman" w:cs="Times New Roman"/>
          <w:sz w:val="24"/>
          <w:szCs w:val="24"/>
        </w:rPr>
        <w:t>Educatoin</w:t>
      </w:r>
      <w:proofErr w:type="spellEnd"/>
      <w:r w:rsidRPr="00F96CD5">
        <w:rPr>
          <w:rFonts w:ascii="Times New Roman" w:hAnsi="Times New Roman" w:cs="Times New Roman"/>
          <w:sz w:val="24"/>
          <w:szCs w:val="24"/>
        </w:rPr>
        <w:t xml:space="preserve"> Students with Varying Learning Styles. Proceedings of the 22nd Annual National Agricultural Education Research Meeting, 22, 260-271.</w:t>
      </w:r>
    </w:p>
    <w:p w14:paraId="6193DBFD" w14:textId="77777777" w:rsidR="00D922DC" w:rsidRDefault="00D922DC" w:rsidP="008F0DEE">
      <w:pPr>
        <w:spacing w:line="240" w:lineRule="auto"/>
        <w:ind w:left="720" w:hanging="720"/>
        <w:rPr>
          <w:rFonts w:ascii="Times New Roman" w:hAnsi="Times New Roman" w:cs="Times New Roman"/>
          <w:sz w:val="24"/>
          <w:szCs w:val="24"/>
        </w:rPr>
      </w:pPr>
      <w:r w:rsidRPr="003C0E53">
        <w:rPr>
          <w:rFonts w:ascii="Times New Roman" w:hAnsi="Times New Roman" w:cs="Times New Roman"/>
          <w:sz w:val="24"/>
          <w:szCs w:val="24"/>
        </w:rPr>
        <w:t xml:space="preserve">Johnson, D. M., Wardlow, G. W., &amp; Franklin, T. D. (1997). Hands-On Activities Versus Worksheets </w:t>
      </w:r>
      <w:proofErr w:type="gramStart"/>
      <w:r w:rsidRPr="003C0E53">
        <w:rPr>
          <w:rFonts w:ascii="Times New Roman" w:hAnsi="Times New Roman" w:cs="Times New Roman"/>
          <w:sz w:val="24"/>
          <w:szCs w:val="24"/>
        </w:rPr>
        <w:t>In</w:t>
      </w:r>
      <w:proofErr w:type="gramEnd"/>
      <w:r w:rsidRPr="003C0E53">
        <w:rPr>
          <w:rFonts w:ascii="Times New Roman" w:hAnsi="Times New Roman" w:cs="Times New Roman"/>
          <w:sz w:val="24"/>
          <w:szCs w:val="24"/>
        </w:rPr>
        <w:t xml:space="preserve"> Reinforcing Physical Science Principles: Effects On Student Achievement And Attitude. </w:t>
      </w:r>
      <w:r w:rsidRPr="003C0E53">
        <w:rPr>
          <w:rFonts w:ascii="Times New Roman" w:hAnsi="Times New Roman" w:cs="Times New Roman"/>
          <w:i/>
          <w:sz w:val="24"/>
          <w:szCs w:val="24"/>
        </w:rPr>
        <w:t>Journal of Agricultural Education, 38</w:t>
      </w:r>
      <w:r>
        <w:rPr>
          <w:rFonts w:ascii="Times New Roman" w:hAnsi="Times New Roman" w:cs="Times New Roman"/>
          <w:sz w:val="24"/>
          <w:szCs w:val="24"/>
        </w:rPr>
        <w:t>(3), 9-17. d</w:t>
      </w:r>
      <w:r w:rsidRPr="003C0E53">
        <w:rPr>
          <w:rFonts w:ascii="Times New Roman" w:hAnsi="Times New Roman" w:cs="Times New Roman"/>
          <w:sz w:val="24"/>
          <w:szCs w:val="24"/>
        </w:rPr>
        <w:t>oi:10.5032/jae.1997.03009</w:t>
      </w:r>
    </w:p>
    <w:p w14:paraId="006B6F73" w14:textId="77777777" w:rsidR="00D922DC" w:rsidRDefault="00D922DC" w:rsidP="008F0DEE">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Lambert, M. D., Velez, J. J., &amp;</w:t>
      </w:r>
      <w:r w:rsidRPr="00A030ED">
        <w:rPr>
          <w:rFonts w:ascii="Times New Roman" w:hAnsi="Times New Roman" w:cs="Times New Roman"/>
          <w:sz w:val="24"/>
          <w:szCs w:val="24"/>
        </w:rPr>
        <w:t xml:space="preserve"> Elliott, K. M. (2014). What are the</w:t>
      </w:r>
      <w:r>
        <w:rPr>
          <w:rFonts w:ascii="Times New Roman" w:hAnsi="Times New Roman" w:cs="Times New Roman"/>
          <w:sz w:val="24"/>
          <w:szCs w:val="24"/>
        </w:rPr>
        <w:t xml:space="preserve"> teacher’s experiences when </w:t>
      </w:r>
      <w:r w:rsidRPr="00A030ED">
        <w:rPr>
          <w:rFonts w:ascii="Times New Roman" w:hAnsi="Times New Roman" w:cs="Times New Roman"/>
          <w:sz w:val="24"/>
          <w:szCs w:val="24"/>
        </w:rPr>
        <w:t>implementing the Curriculum for Agricultura</w:t>
      </w:r>
      <w:r>
        <w:rPr>
          <w:rFonts w:ascii="Times New Roman" w:hAnsi="Times New Roman" w:cs="Times New Roman"/>
          <w:sz w:val="24"/>
          <w:szCs w:val="24"/>
        </w:rPr>
        <w:t xml:space="preserve">l Science Education? </w:t>
      </w:r>
      <w:r w:rsidRPr="00A030ED">
        <w:rPr>
          <w:rFonts w:ascii="Times New Roman" w:hAnsi="Times New Roman" w:cs="Times New Roman"/>
          <w:i/>
          <w:sz w:val="24"/>
          <w:szCs w:val="24"/>
        </w:rPr>
        <w:t>Journal of Agricultural Education</w:t>
      </w:r>
      <w:r w:rsidRPr="00A030ED">
        <w:rPr>
          <w:rFonts w:ascii="Times New Roman" w:hAnsi="Times New Roman" w:cs="Times New Roman"/>
          <w:sz w:val="24"/>
          <w:szCs w:val="24"/>
        </w:rPr>
        <w:t>, 55</w:t>
      </w:r>
      <w:r w:rsidRPr="00A030ED">
        <w:rPr>
          <w:rFonts w:ascii="Times New Roman" w:hAnsi="Times New Roman" w:cs="Times New Roman"/>
          <w:i/>
          <w:sz w:val="24"/>
          <w:szCs w:val="24"/>
        </w:rPr>
        <w:t>(4)</w:t>
      </w:r>
      <w:r w:rsidRPr="00A030ED">
        <w:rPr>
          <w:rFonts w:ascii="Times New Roman" w:hAnsi="Times New Roman" w:cs="Times New Roman"/>
          <w:sz w:val="24"/>
          <w:szCs w:val="24"/>
        </w:rPr>
        <w:t>, 100-115. doi:10.5032/jae.2014.04100</w:t>
      </w:r>
    </w:p>
    <w:p w14:paraId="349F4FE4" w14:textId="77777777" w:rsidR="008F0DEE" w:rsidRDefault="00D922DC" w:rsidP="008F0DEE">
      <w:pPr>
        <w:spacing w:line="240" w:lineRule="auto"/>
        <w:ind w:left="720" w:hanging="72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Leagans</w:t>
      </w:r>
      <w:proofErr w:type="spellEnd"/>
      <w:r>
        <w:rPr>
          <w:rFonts w:ascii="Times New Roman" w:hAnsi="Times New Roman" w:cs="Times New Roman"/>
          <w:sz w:val="24"/>
          <w:szCs w:val="24"/>
          <w:shd w:val="clear" w:color="auto" w:fill="FFFFFF"/>
        </w:rPr>
        <w:t>, J.P. Setting up learning Situations (n.d.). Cornell University, Ithaca, NY.</w:t>
      </w:r>
    </w:p>
    <w:p w14:paraId="5EC8B1BF" w14:textId="77777777" w:rsidR="00D922DC" w:rsidRPr="00D922DC" w:rsidRDefault="00D922DC" w:rsidP="008F0DEE">
      <w:pPr>
        <w:spacing w:line="240" w:lineRule="auto"/>
        <w:ind w:left="720" w:hanging="720"/>
        <w:rPr>
          <w:rFonts w:ascii="Times New Roman" w:hAnsi="Times New Roman" w:cs="Times New Roman"/>
          <w:sz w:val="24"/>
          <w:szCs w:val="24"/>
          <w:shd w:val="clear" w:color="auto" w:fill="FFFFFF"/>
        </w:rPr>
      </w:pPr>
      <w:r w:rsidRPr="007273E5">
        <w:rPr>
          <w:rFonts w:ascii="Times New Roman" w:hAnsi="Times New Roman" w:cs="Times New Roman"/>
          <w:sz w:val="24"/>
          <w:szCs w:val="24"/>
          <w:shd w:val="clear" w:color="auto" w:fill="FFFFFF"/>
        </w:rPr>
        <w:t>Lincoln, YS. &amp; Guba, EG. (1985). </w:t>
      </w:r>
      <w:r w:rsidRPr="005D1C89">
        <w:rPr>
          <w:rFonts w:ascii="Times New Roman" w:hAnsi="Times New Roman" w:cs="Times New Roman"/>
          <w:sz w:val="24"/>
          <w:szCs w:val="24"/>
          <w:shd w:val="clear" w:color="auto" w:fill="FFFFFF"/>
        </w:rPr>
        <w:t>Naturalistic Inquiry</w:t>
      </w:r>
      <w:r w:rsidRPr="007273E5">
        <w:rPr>
          <w:rFonts w:ascii="Times New Roman" w:hAnsi="Times New Roman" w:cs="Times New Roman"/>
          <w:sz w:val="24"/>
          <w:szCs w:val="24"/>
          <w:shd w:val="clear" w:color="auto" w:fill="FFFFFF"/>
        </w:rPr>
        <w:t>. Newbury Park, CA: Sage Publications.</w:t>
      </w:r>
    </w:p>
    <w:p w14:paraId="5457E283" w14:textId="77777777" w:rsidR="00D922DC" w:rsidRDefault="00D922DC" w:rsidP="008F0DEE">
      <w:pPr>
        <w:spacing w:after="0" w:line="240" w:lineRule="auto"/>
        <w:ind w:left="720" w:hanging="720"/>
        <w:rPr>
          <w:rFonts w:ascii="Times New Roman" w:eastAsia="Times New Roman" w:hAnsi="Times New Roman" w:cs="Times New Roman"/>
          <w:sz w:val="24"/>
          <w:szCs w:val="24"/>
        </w:rPr>
      </w:pPr>
      <w:proofErr w:type="spellStart"/>
      <w:r w:rsidRPr="00846B5A">
        <w:rPr>
          <w:rFonts w:ascii="Times New Roman" w:eastAsia="Times New Roman" w:hAnsi="Times New Roman" w:cs="Times New Roman"/>
          <w:sz w:val="24"/>
          <w:szCs w:val="24"/>
        </w:rPr>
        <w:t>Prawl</w:t>
      </w:r>
      <w:proofErr w:type="spellEnd"/>
      <w:r w:rsidRPr="00846B5A">
        <w:rPr>
          <w:rFonts w:ascii="Times New Roman" w:eastAsia="Times New Roman" w:hAnsi="Times New Roman" w:cs="Times New Roman"/>
          <w:sz w:val="24"/>
          <w:szCs w:val="24"/>
        </w:rPr>
        <w:t xml:space="preserve">, W., Gross, J., &amp; Medlin, R. (1984). </w:t>
      </w:r>
      <w:r w:rsidRPr="00846B5A">
        <w:rPr>
          <w:rFonts w:ascii="Times New Roman" w:eastAsia="Times New Roman" w:hAnsi="Times New Roman" w:cs="Times New Roman"/>
          <w:i/>
          <w:iCs/>
          <w:sz w:val="24"/>
          <w:szCs w:val="24"/>
        </w:rPr>
        <w:t>Adult and continuing education through the cooperative extension service</w:t>
      </w:r>
      <w:r w:rsidRPr="00846B5A">
        <w:rPr>
          <w:rFonts w:ascii="Times New Roman" w:eastAsia="Times New Roman" w:hAnsi="Times New Roman" w:cs="Times New Roman"/>
          <w:sz w:val="24"/>
          <w:szCs w:val="24"/>
        </w:rPr>
        <w:t>. Columbia, MO: Extension Division, University of Missouri.</w:t>
      </w:r>
    </w:p>
    <w:p w14:paraId="4A998FF5" w14:textId="77777777" w:rsidR="008F0DEE" w:rsidRDefault="008F0DEE" w:rsidP="008F0DEE">
      <w:pPr>
        <w:spacing w:after="0" w:line="240" w:lineRule="auto"/>
        <w:ind w:left="720" w:hanging="720"/>
        <w:rPr>
          <w:rFonts w:ascii="Times New Roman" w:eastAsia="Times New Roman" w:hAnsi="Times New Roman" w:cs="Times New Roman"/>
          <w:sz w:val="24"/>
          <w:szCs w:val="24"/>
        </w:rPr>
      </w:pPr>
    </w:p>
    <w:p w14:paraId="00349814" w14:textId="77777777" w:rsidR="008F0DEE" w:rsidRDefault="00D922DC" w:rsidP="008F0DEE">
      <w:pPr>
        <w:spacing w:line="240" w:lineRule="auto"/>
        <w:ind w:left="720" w:hanging="720"/>
        <w:contextualSpacing/>
        <w:rPr>
          <w:rFonts w:ascii="Times New Roman" w:eastAsia="Times New Roman" w:hAnsi="Times New Roman" w:cs="Times New Roman"/>
          <w:sz w:val="24"/>
          <w:szCs w:val="24"/>
        </w:rPr>
      </w:pPr>
      <w:r w:rsidRPr="00C07728">
        <w:rPr>
          <w:rFonts w:ascii="Times New Roman" w:eastAsia="Times New Roman" w:hAnsi="Times New Roman" w:cs="Times New Roman"/>
          <w:sz w:val="24"/>
          <w:szCs w:val="24"/>
        </w:rPr>
        <w:t xml:space="preserve">Seevers, B., &amp; Graham, D. (2012). </w:t>
      </w:r>
      <w:r w:rsidRPr="00C07728">
        <w:rPr>
          <w:rFonts w:ascii="Times New Roman" w:eastAsia="Times New Roman" w:hAnsi="Times New Roman" w:cs="Times New Roman"/>
          <w:i/>
          <w:sz w:val="24"/>
          <w:szCs w:val="24"/>
        </w:rPr>
        <w:t>Education through Cooperative Extension</w:t>
      </w:r>
      <w:r w:rsidRPr="00C07728">
        <w:rPr>
          <w:rFonts w:ascii="Times New Roman" w:eastAsia="Times New Roman" w:hAnsi="Times New Roman" w:cs="Times New Roman"/>
          <w:sz w:val="24"/>
          <w:szCs w:val="24"/>
        </w:rPr>
        <w:t xml:space="preserve">. (3rd ed.). Fayetteville, AR: University of Arkansas. </w:t>
      </w:r>
    </w:p>
    <w:p w14:paraId="7CBAE438" w14:textId="77777777" w:rsidR="008F0DEE" w:rsidRDefault="008F0DEE" w:rsidP="008F0DEE">
      <w:pPr>
        <w:spacing w:line="240" w:lineRule="auto"/>
        <w:ind w:left="720" w:hanging="720"/>
        <w:contextualSpacing/>
        <w:rPr>
          <w:rFonts w:ascii="Times New Roman" w:eastAsia="Times New Roman" w:hAnsi="Times New Roman" w:cs="Times New Roman"/>
          <w:sz w:val="24"/>
          <w:szCs w:val="24"/>
        </w:rPr>
      </w:pPr>
    </w:p>
    <w:p w14:paraId="28D237F3" w14:textId="77777777" w:rsidR="00D922DC" w:rsidRPr="00326A88" w:rsidRDefault="00D922DC" w:rsidP="008F0DEE">
      <w:pPr>
        <w:spacing w:line="240" w:lineRule="auto"/>
        <w:ind w:left="720" w:hanging="720"/>
        <w:contextualSpacing/>
        <w:rPr>
          <w:rFonts w:ascii="Times New Roman" w:hAnsi="Times New Roman" w:cs="Times New Roman"/>
          <w:sz w:val="24"/>
          <w:szCs w:val="24"/>
          <w:shd w:val="clear" w:color="auto" w:fill="FFFFFF"/>
        </w:rPr>
      </w:pPr>
      <w:r w:rsidRPr="00326A88">
        <w:rPr>
          <w:rFonts w:ascii="Times New Roman" w:hAnsi="Times New Roman" w:cs="Times New Roman"/>
          <w:sz w:val="24"/>
          <w:szCs w:val="24"/>
        </w:rPr>
        <w:t xml:space="preserve">Wells, T., Matthews, J., Caudle, L., Lunceford, C., Clement, B., &amp; Anderson, R. (2015). The Infusion of Inquiry-based Learning into School-based Agricultural Education: A Review of Literature. Journal of Agricultural Education, 56(4), 169 - 181. </w:t>
      </w:r>
      <w:proofErr w:type="spellStart"/>
      <w:r w:rsidRPr="00326A88">
        <w:rPr>
          <w:rFonts w:ascii="Times New Roman" w:hAnsi="Times New Roman" w:cs="Times New Roman"/>
          <w:sz w:val="24"/>
          <w:szCs w:val="24"/>
        </w:rPr>
        <w:t>doi</w:t>
      </w:r>
      <w:proofErr w:type="spellEnd"/>
      <w:r w:rsidRPr="00326A88">
        <w:rPr>
          <w:rFonts w:ascii="Times New Roman" w:hAnsi="Times New Roman" w:cs="Times New Roman"/>
          <w:sz w:val="24"/>
          <w:szCs w:val="24"/>
        </w:rPr>
        <w:t>: 10.5032/jae.2015.04170</w:t>
      </w:r>
    </w:p>
    <w:p w14:paraId="23B93407" w14:textId="77777777" w:rsidR="00D922DC" w:rsidRPr="003C0E53" w:rsidRDefault="00D922DC" w:rsidP="00D922DC">
      <w:pPr>
        <w:ind w:left="720" w:hanging="720"/>
        <w:rPr>
          <w:rFonts w:ascii="Times New Roman" w:hAnsi="Times New Roman" w:cs="Times New Roman"/>
          <w:sz w:val="24"/>
          <w:szCs w:val="24"/>
        </w:rPr>
      </w:pPr>
    </w:p>
    <w:p w14:paraId="130DC6B7" w14:textId="77777777" w:rsidR="00082426" w:rsidRPr="00D922DC" w:rsidRDefault="00851CC3" w:rsidP="00D922DC">
      <w:pPr>
        <w:rPr>
          <w:rFonts w:ascii="Times New Roman" w:hAnsi="Times New Roman" w:cs="Times New Roman"/>
          <w:sz w:val="24"/>
          <w:szCs w:val="24"/>
        </w:rPr>
      </w:pPr>
    </w:p>
    <w:sectPr w:rsidR="00082426" w:rsidRPr="00D922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2C5861"/>
    <w:multiLevelType w:val="hybridMultilevel"/>
    <w:tmpl w:val="7C2E5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EF2"/>
    <w:rsid w:val="000B5B14"/>
    <w:rsid w:val="000D2C82"/>
    <w:rsid w:val="000E357B"/>
    <w:rsid w:val="001130E4"/>
    <w:rsid w:val="00253EF2"/>
    <w:rsid w:val="002C58E1"/>
    <w:rsid w:val="00365E09"/>
    <w:rsid w:val="00414A47"/>
    <w:rsid w:val="004559EF"/>
    <w:rsid w:val="004634C9"/>
    <w:rsid w:val="005A3FB4"/>
    <w:rsid w:val="005B62B1"/>
    <w:rsid w:val="007C719E"/>
    <w:rsid w:val="00843671"/>
    <w:rsid w:val="00851CC3"/>
    <w:rsid w:val="008F074F"/>
    <w:rsid w:val="008F0DEE"/>
    <w:rsid w:val="00A00DCA"/>
    <w:rsid w:val="00AC7076"/>
    <w:rsid w:val="00C90E18"/>
    <w:rsid w:val="00CE3FCD"/>
    <w:rsid w:val="00D922DC"/>
    <w:rsid w:val="00DD42E0"/>
    <w:rsid w:val="00EF134D"/>
    <w:rsid w:val="00EF6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6892D"/>
  <w15:chartTrackingRefBased/>
  <w15:docId w15:val="{CE7BA45F-3334-443A-B490-DFD0CF07E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3FB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922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1362</Words>
  <Characters>7764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Sands, Kelsey R</dc:creator>
  <cp:keywords/>
  <dc:description/>
  <cp:lastModifiedBy>Smalley, Scott W [AGEDS]</cp:lastModifiedBy>
  <cp:revision>3</cp:revision>
  <dcterms:created xsi:type="dcterms:W3CDTF">2018-05-02T20:24:00Z</dcterms:created>
  <dcterms:modified xsi:type="dcterms:W3CDTF">2018-05-02T20:28:00Z</dcterms:modified>
</cp:coreProperties>
</file>