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492549" w:rsidRDefault="00492549" w:rsidP="00D6559E">
      <w:pPr>
        <w:pStyle w:val="NoSpacing"/>
        <w:jc w:val="center"/>
        <w:rPr>
          <w:rFonts w:ascii="Times New Roman" w:hAnsi="Times New Roman" w:cs="Times New Roman"/>
          <w:b/>
          <w:sz w:val="24"/>
        </w:rPr>
      </w:pPr>
    </w:p>
    <w:p w:rsidR="00492549" w:rsidRDefault="00492549" w:rsidP="00D6559E">
      <w:pPr>
        <w:pStyle w:val="NoSpacing"/>
        <w:jc w:val="center"/>
        <w:rPr>
          <w:rFonts w:ascii="Times New Roman" w:hAnsi="Times New Roman" w:cs="Times New Roman"/>
          <w:b/>
          <w:sz w:val="24"/>
        </w:rPr>
      </w:pPr>
    </w:p>
    <w:p w:rsidR="00492549" w:rsidRDefault="00492549"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1B4AD6">
      <w:pPr>
        <w:pStyle w:val="NoSpacing"/>
        <w:jc w:val="center"/>
        <w:rPr>
          <w:rFonts w:ascii="Times New Roman" w:hAnsi="Times New Roman" w:cs="Times New Roman"/>
          <w:b/>
          <w:sz w:val="24"/>
        </w:rPr>
      </w:pPr>
      <w:r>
        <w:rPr>
          <w:rFonts w:ascii="Times New Roman" w:hAnsi="Times New Roman" w:cs="Times New Roman"/>
          <w:b/>
          <w:sz w:val="24"/>
        </w:rPr>
        <w:t>STEM in Teacher Preparation Programs: Attitudes of Agricultural Education Faculty</w:t>
      </w: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Pr="001B4AD6" w:rsidRDefault="001B4AD6" w:rsidP="00D6559E">
      <w:pPr>
        <w:pStyle w:val="NoSpacing"/>
        <w:jc w:val="center"/>
        <w:rPr>
          <w:rFonts w:ascii="Times New Roman" w:hAnsi="Times New Roman" w:cs="Times New Roman"/>
          <w:b/>
          <w:sz w:val="24"/>
        </w:rPr>
      </w:pPr>
      <w:r w:rsidRPr="001B4AD6">
        <w:rPr>
          <w:rFonts w:ascii="Times New Roman" w:hAnsi="Times New Roman" w:cs="Times New Roman"/>
          <w:b/>
          <w:sz w:val="24"/>
        </w:rPr>
        <w:t>Marshall Swafford</w:t>
      </w:r>
    </w:p>
    <w:p w:rsidR="001B4AD6" w:rsidRDefault="001B4AD6" w:rsidP="00D6559E">
      <w:pPr>
        <w:pStyle w:val="NoSpacing"/>
        <w:jc w:val="center"/>
        <w:rPr>
          <w:rFonts w:ascii="Times New Roman" w:hAnsi="Times New Roman" w:cs="Times New Roman"/>
          <w:sz w:val="24"/>
        </w:rPr>
      </w:pPr>
      <w:r>
        <w:rPr>
          <w:rFonts w:ascii="Times New Roman" w:hAnsi="Times New Roman" w:cs="Times New Roman"/>
          <w:sz w:val="24"/>
        </w:rPr>
        <w:t>Assistant Professor</w:t>
      </w:r>
    </w:p>
    <w:p w:rsidR="001B4AD6" w:rsidRDefault="001B4AD6" w:rsidP="00D6559E">
      <w:pPr>
        <w:pStyle w:val="NoSpacing"/>
        <w:jc w:val="center"/>
        <w:rPr>
          <w:rFonts w:ascii="Times New Roman" w:hAnsi="Times New Roman" w:cs="Times New Roman"/>
          <w:sz w:val="24"/>
        </w:rPr>
      </w:pPr>
      <w:r>
        <w:rPr>
          <w:rFonts w:ascii="Times New Roman" w:hAnsi="Times New Roman" w:cs="Times New Roman"/>
          <w:sz w:val="24"/>
        </w:rPr>
        <w:t>Eastern New Mexico University</w:t>
      </w:r>
    </w:p>
    <w:p w:rsidR="001B4AD6" w:rsidRDefault="001B4AD6" w:rsidP="00D6559E">
      <w:pPr>
        <w:pStyle w:val="NoSpacing"/>
        <w:jc w:val="center"/>
        <w:rPr>
          <w:rFonts w:ascii="Times New Roman" w:hAnsi="Times New Roman" w:cs="Times New Roman"/>
          <w:sz w:val="24"/>
        </w:rPr>
      </w:pPr>
      <w:r>
        <w:rPr>
          <w:rFonts w:ascii="Times New Roman" w:hAnsi="Times New Roman" w:cs="Times New Roman"/>
          <w:sz w:val="24"/>
        </w:rPr>
        <w:t>1500 South Avenue K, Station 11</w:t>
      </w:r>
    </w:p>
    <w:p w:rsidR="001B4AD6" w:rsidRDefault="001B4AD6" w:rsidP="00D6559E">
      <w:pPr>
        <w:pStyle w:val="NoSpacing"/>
        <w:jc w:val="center"/>
        <w:rPr>
          <w:rFonts w:ascii="Times New Roman" w:hAnsi="Times New Roman" w:cs="Times New Roman"/>
          <w:sz w:val="24"/>
        </w:rPr>
      </w:pPr>
      <w:r>
        <w:rPr>
          <w:rFonts w:ascii="Times New Roman" w:hAnsi="Times New Roman" w:cs="Times New Roman"/>
          <w:sz w:val="24"/>
        </w:rPr>
        <w:t>Portales, NM 88130</w:t>
      </w:r>
    </w:p>
    <w:p w:rsidR="001B4AD6" w:rsidRDefault="001B4AD6" w:rsidP="00D6559E">
      <w:pPr>
        <w:pStyle w:val="NoSpacing"/>
        <w:jc w:val="center"/>
        <w:rPr>
          <w:rFonts w:ascii="Times New Roman" w:hAnsi="Times New Roman" w:cs="Times New Roman"/>
          <w:sz w:val="24"/>
        </w:rPr>
      </w:pPr>
      <w:r>
        <w:rPr>
          <w:rFonts w:ascii="Times New Roman" w:hAnsi="Times New Roman" w:cs="Times New Roman"/>
          <w:sz w:val="24"/>
        </w:rPr>
        <w:t>(575) 562-2526</w:t>
      </w:r>
    </w:p>
    <w:p w:rsidR="001B4AD6" w:rsidRPr="001B4AD6" w:rsidRDefault="00492549" w:rsidP="00D6559E">
      <w:pPr>
        <w:pStyle w:val="NoSpacing"/>
        <w:jc w:val="center"/>
        <w:rPr>
          <w:rFonts w:ascii="Times New Roman" w:hAnsi="Times New Roman" w:cs="Times New Roman"/>
          <w:sz w:val="24"/>
        </w:rPr>
      </w:pPr>
      <w:r>
        <w:rPr>
          <w:rFonts w:ascii="Times New Roman" w:hAnsi="Times New Roman" w:cs="Times New Roman"/>
          <w:sz w:val="24"/>
        </w:rPr>
        <w:t>m</w:t>
      </w:r>
      <w:r w:rsidR="001B4AD6">
        <w:rPr>
          <w:rFonts w:ascii="Times New Roman" w:hAnsi="Times New Roman" w:cs="Times New Roman"/>
          <w:sz w:val="24"/>
        </w:rPr>
        <w:t xml:space="preserve">arshall.swafford@enmu.edu </w:t>
      </w: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1B4AD6" w:rsidRDefault="001B4AD6" w:rsidP="00D6559E">
      <w:pPr>
        <w:pStyle w:val="NoSpacing"/>
        <w:jc w:val="center"/>
        <w:rPr>
          <w:rFonts w:ascii="Times New Roman" w:hAnsi="Times New Roman" w:cs="Times New Roman"/>
          <w:b/>
          <w:sz w:val="24"/>
        </w:rPr>
      </w:pPr>
    </w:p>
    <w:p w:rsidR="00283CA3" w:rsidRDefault="00D6559E" w:rsidP="00D6559E">
      <w:pPr>
        <w:pStyle w:val="NoSpacing"/>
        <w:jc w:val="center"/>
        <w:rPr>
          <w:rFonts w:ascii="Times New Roman" w:hAnsi="Times New Roman" w:cs="Times New Roman"/>
          <w:b/>
          <w:sz w:val="24"/>
        </w:rPr>
      </w:pPr>
      <w:bookmarkStart w:id="0" w:name="_GoBack"/>
      <w:bookmarkEnd w:id="0"/>
      <w:r>
        <w:rPr>
          <w:rFonts w:ascii="Times New Roman" w:hAnsi="Times New Roman" w:cs="Times New Roman"/>
          <w:b/>
          <w:sz w:val="24"/>
        </w:rPr>
        <w:lastRenderedPageBreak/>
        <w:t>STEM in Teacher Preparation Programs: Attitudes of Agricultural Education Faculty</w:t>
      </w:r>
    </w:p>
    <w:p w:rsidR="00D6559E" w:rsidRDefault="00D6559E" w:rsidP="00D6559E">
      <w:pPr>
        <w:pStyle w:val="NoSpacing"/>
        <w:jc w:val="center"/>
        <w:rPr>
          <w:rFonts w:ascii="Times New Roman" w:hAnsi="Times New Roman" w:cs="Times New Roman"/>
          <w:b/>
          <w:sz w:val="24"/>
        </w:rPr>
      </w:pPr>
    </w:p>
    <w:p w:rsidR="00D6559E" w:rsidRDefault="00D6559E" w:rsidP="00D6559E">
      <w:pPr>
        <w:pStyle w:val="NoSpacing"/>
        <w:jc w:val="center"/>
        <w:rPr>
          <w:rFonts w:ascii="Times New Roman" w:hAnsi="Times New Roman" w:cs="Times New Roman"/>
          <w:b/>
          <w:sz w:val="24"/>
        </w:rPr>
      </w:pPr>
      <w:r>
        <w:rPr>
          <w:rFonts w:ascii="Times New Roman" w:hAnsi="Times New Roman" w:cs="Times New Roman"/>
          <w:b/>
          <w:sz w:val="24"/>
        </w:rPr>
        <w:t>Introduction/Need for Research</w:t>
      </w:r>
    </w:p>
    <w:p w:rsidR="00940960" w:rsidRDefault="00940960" w:rsidP="00940960">
      <w:pPr>
        <w:pStyle w:val="NoSpacing"/>
        <w:ind w:firstLine="720"/>
        <w:rPr>
          <w:rFonts w:ascii="Times New Roman" w:hAnsi="Times New Roman" w:cs="Times New Roman"/>
          <w:sz w:val="24"/>
        </w:rPr>
      </w:pPr>
      <w:r>
        <w:rPr>
          <w:rFonts w:ascii="Times New Roman" w:hAnsi="Times New Roman" w:cs="Times New Roman"/>
          <w:sz w:val="24"/>
        </w:rPr>
        <w:t>By 2020, it is expected that 123 million highly skilled workers will be needed to fill STEM-related jobs however, based upon current qualification levels, only 50 million work</w:t>
      </w:r>
      <w:r w:rsidR="004B73DA">
        <w:rPr>
          <w:rFonts w:ascii="Times New Roman" w:hAnsi="Times New Roman" w:cs="Times New Roman"/>
          <w:sz w:val="24"/>
        </w:rPr>
        <w:t>er</w:t>
      </w:r>
      <w:r>
        <w:rPr>
          <w:rFonts w:ascii="Times New Roman" w:hAnsi="Times New Roman" w:cs="Times New Roman"/>
          <w:sz w:val="24"/>
        </w:rPr>
        <w:t xml:space="preserve">s will possess the skills needed to meet the demand (Gordon, 2009).  Priority three of the </w:t>
      </w:r>
      <w:r>
        <w:rPr>
          <w:rFonts w:ascii="Times New Roman" w:hAnsi="Times New Roman" w:cs="Times New Roman"/>
          <w:i/>
          <w:sz w:val="24"/>
        </w:rPr>
        <w:t>American Association for Agricultural Education National Research Agenda: 2016-2020</w:t>
      </w:r>
      <w:r>
        <w:rPr>
          <w:rFonts w:ascii="Times New Roman" w:hAnsi="Times New Roman" w:cs="Times New Roman"/>
          <w:sz w:val="24"/>
        </w:rPr>
        <w:t xml:space="preserve"> indicated meeting the needs of the industry should be a focus of all aspects of agricultural education, including secondary and postsecondary programs (Stripling &amp; Ricketts, 2016).  Researchers have indicated agricultural education may be well-suited to address STEM </w:t>
      </w:r>
      <w:r w:rsidR="001B4AD6">
        <w:rPr>
          <w:rFonts w:ascii="Times New Roman" w:hAnsi="Times New Roman" w:cs="Times New Roman"/>
          <w:sz w:val="24"/>
        </w:rPr>
        <w:t>content</w:t>
      </w:r>
      <w:r>
        <w:rPr>
          <w:rFonts w:ascii="Times New Roman" w:hAnsi="Times New Roman" w:cs="Times New Roman"/>
          <w:sz w:val="24"/>
        </w:rPr>
        <w:t>, particularly in the areas of science and mathematics (</w:t>
      </w:r>
      <w:proofErr w:type="spellStart"/>
      <w:r>
        <w:rPr>
          <w:rFonts w:ascii="Times New Roman" w:hAnsi="Times New Roman" w:cs="Times New Roman"/>
          <w:sz w:val="24"/>
        </w:rPr>
        <w:t>Chiasson</w:t>
      </w:r>
      <w:proofErr w:type="spellEnd"/>
      <w:r>
        <w:rPr>
          <w:rFonts w:ascii="Times New Roman" w:hAnsi="Times New Roman" w:cs="Times New Roman"/>
          <w:sz w:val="24"/>
        </w:rPr>
        <w:t xml:space="preserve"> &amp; Burnett, 2001; Conroy &amp; Walker, 2000; Parr, Edwards, &amp; </w:t>
      </w:r>
      <w:proofErr w:type="spellStart"/>
      <w:r>
        <w:rPr>
          <w:rFonts w:ascii="Times New Roman" w:hAnsi="Times New Roman" w:cs="Times New Roman"/>
          <w:sz w:val="24"/>
        </w:rPr>
        <w:t>Leising</w:t>
      </w:r>
      <w:proofErr w:type="spellEnd"/>
      <w:r>
        <w:rPr>
          <w:rFonts w:ascii="Times New Roman" w:hAnsi="Times New Roman" w:cs="Times New Roman"/>
          <w:sz w:val="24"/>
        </w:rPr>
        <w:t xml:space="preserve">, 2006; Ricketts, Duncan, &amp; Peake, 2006; Stubbs &amp; Myers, 2016).  To better facilitate STEM achievement, agriculture teachers have indicated that teacher preparation programs should prepare preservice teachers to utilize curriculum in which STEM concepts are emphasized (Myers, Thoron, &amp; Thompson, 2009).  Pursuant to the needs of the industry for which the profession is associated and inform teacher preparation programs, an assessment of teacher educators’ attitudes toward STEM education in agricultural education is warranted.  Faculty perceptions may also lead to further research and curricular resources. </w:t>
      </w:r>
    </w:p>
    <w:p w:rsidR="007C3282" w:rsidRDefault="007C3282" w:rsidP="003F6921">
      <w:pPr>
        <w:pStyle w:val="NoSpacing"/>
        <w:rPr>
          <w:rFonts w:ascii="Times New Roman" w:hAnsi="Times New Roman" w:cs="Times New Roman"/>
          <w:sz w:val="24"/>
        </w:rPr>
      </w:pPr>
    </w:p>
    <w:p w:rsidR="0084446B" w:rsidRDefault="0084446B" w:rsidP="0084446B">
      <w:pPr>
        <w:pStyle w:val="NoSpacing"/>
        <w:ind w:firstLine="720"/>
        <w:jc w:val="center"/>
        <w:rPr>
          <w:rFonts w:ascii="Times New Roman" w:hAnsi="Times New Roman" w:cs="Times New Roman"/>
          <w:sz w:val="24"/>
        </w:rPr>
      </w:pPr>
      <w:r>
        <w:rPr>
          <w:rFonts w:ascii="Times New Roman" w:hAnsi="Times New Roman" w:cs="Times New Roman"/>
          <w:b/>
          <w:sz w:val="24"/>
        </w:rPr>
        <w:t>Theoretical Framework</w:t>
      </w:r>
    </w:p>
    <w:p w:rsidR="0084446B" w:rsidRDefault="0084446B" w:rsidP="0084446B">
      <w:pPr>
        <w:pStyle w:val="NoSpacing"/>
        <w:ind w:firstLine="720"/>
        <w:rPr>
          <w:rFonts w:ascii="Times New Roman" w:hAnsi="Times New Roman" w:cs="Times New Roman"/>
          <w:sz w:val="24"/>
        </w:rPr>
      </w:pPr>
      <w:r>
        <w:rPr>
          <w:rFonts w:ascii="Times New Roman" w:hAnsi="Times New Roman" w:cs="Times New Roman"/>
          <w:sz w:val="24"/>
        </w:rPr>
        <w:t>Guiding this research was the theory of planned behavior</w:t>
      </w:r>
      <w:r w:rsidRPr="007C3282">
        <w:rPr>
          <w:rFonts w:ascii="Times New Roman" w:hAnsi="Times New Roman" w:cs="Times New Roman"/>
          <w:sz w:val="24"/>
        </w:rPr>
        <w:t xml:space="preserve"> as it “provides a useful conceptual framework for dealing with the complexities of human social behavior” (</w:t>
      </w:r>
      <w:proofErr w:type="spellStart"/>
      <w:r w:rsidRPr="007C3282">
        <w:rPr>
          <w:rFonts w:ascii="Times New Roman" w:hAnsi="Times New Roman" w:cs="Times New Roman"/>
          <w:sz w:val="24"/>
        </w:rPr>
        <w:t>Ajzen</w:t>
      </w:r>
      <w:proofErr w:type="spellEnd"/>
      <w:r w:rsidRPr="007C3282">
        <w:rPr>
          <w:rFonts w:ascii="Times New Roman" w:hAnsi="Times New Roman" w:cs="Times New Roman"/>
          <w:sz w:val="24"/>
        </w:rPr>
        <w:t>, 1991, p. 206).  Furthermore, this theory provides a</w:t>
      </w:r>
      <w:r>
        <w:rPr>
          <w:rFonts w:ascii="Times New Roman" w:hAnsi="Times New Roman" w:cs="Times New Roman"/>
          <w:sz w:val="24"/>
        </w:rPr>
        <w:t xml:space="preserve"> means of understanding decisions to act </w:t>
      </w:r>
      <w:r w:rsidRPr="007C3282">
        <w:rPr>
          <w:rFonts w:ascii="Times New Roman" w:hAnsi="Times New Roman" w:cs="Times New Roman"/>
          <w:sz w:val="24"/>
        </w:rPr>
        <w:t>(Murph</w:t>
      </w:r>
      <w:r>
        <w:rPr>
          <w:rFonts w:ascii="Times New Roman" w:hAnsi="Times New Roman" w:cs="Times New Roman"/>
          <w:sz w:val="24"/>
        </w:rPr>
        <w:t xml:space="preserve">ey, Lane, </w:t>
      </w:r>
      <w:proofErr w:type="spellStart"/>
      <w:r>
        <w:rPr>
          <w:rFonts w:ascii="Times New Roman" w:hAnsi="Times New Roman" w:cs="Times New Roman"/>
          <w:sz w:val="24"/>
        </w:rPr>
        <w:t>Harlin</w:t>
      </w:r>
      <w:proofErr w:type="spellEnd"/>
      <w:r>
        <w:rPr>
          <w:rFonts w:ascii="Times New Roman" w:hAnsi="Times New Roman" w:cs="Times New Roman"/>
          <w:sz w:val="24"/>
        </w:rPr>
        <w:t>, &amp; Cherry, 2016</w:t>
      </w:r>
      <w:r w:rsidRPr="007C3282">
        <w:rPr>
          <w:rFonts w:ascii="Times New Roman" w:hAnsi="Times New Roman" w:cs="Times New Roman"/>
          <w:sz w:val="24"/>
        </w:rPr>
        <w:t xml:space="preserve">).  </w:t>
      </w:r>
      <w:proofErr w:type="spellStart"/>
      <w:r w:rsidRPr="007C3282">
        <w:rPr>
          <w:rFonts w:ascii="Times New Roman" w:hAnsi="Times New Roman" w:cs="Times New Roman"/>
          <w:sz w:val="24"/>
        </w:rPr>
        <w:t>Ajzen</w:t>
      </w:r>
      <w:proofErr w:type="spellEnd"/>
      <w:r w:rsidRPr="007C3282">
        <w:rPr>
          <w:rFonts w:ascii="Times New Roman" w:hAnsi="Times New Roman" w:cs="Times New Roman"/>
          <w:sz w:val="24"/>
        </w:rPr>
        <w:t xml:space="preserve"> and </w:t>
      </w:r>
      <w:proofErr w:type="spellStart"/>
      <w:r w:rsidRPr="007C3282">
        <w:rPr>
          <w:rFonts w:ascii="Times New Roman" w:hAnsi="Times New Roman" w:cs="Times New Roman"/>
          <w:sz w:val="24"/>
        </w:rPr>
        <w:t>Fishbein</w:t>
      </w:r>
      <w:proofErr w:type="spellEnd"/>
      <w:r w:rsidRPr="007C3282">
        <w:rPr>
          <w:rFonts w:ascii="Times New Roman" w:hAnsi="Times New Roman" w:cs="Times New Roman"/>
          <w:sz w:val="24"/>
        </w:rPr>
        <w:t xml:space="preserve"> (2005) suggested behavior is a result of the combination of beliefs, attitudes, and intentions.  </w:t>
      </w:r>
      <w:proofErr w:type="spellStart"/>
      <w:r w:rsidRPr="007C3282">
        <w:rPr>
          <w:rFonts w:ascii="Times New Roman" w:hAnsi="Times New Roman" w:cs="Times New Roman"/>
          <w:sz w:val="24"/>
        </w:rPr>
        <w:t>Ajzen</w:t>
      </w:r>
      <w:proofErr w:type="spellEnd"/>
      <w:r w:rsidRPr="007C3282">
        <w:rPr>
          <w:rFonts w:ascii="Times New Roman" w:hAnsi="Times New Roman" w:cs="Times New Roman"/>
          <w:sz w:val="24"/>
        </w:rPr>
        <w:t xml:space="preserve"> (1991) posited intentions precede behavior and pr</w:t>
      </w:r>
      <w:r w:rsidR="001B4AD6">
        <w:rPr>
          <w:rFonts w:ascii="Times New Roman" w:hAnsi="Times New Roman" w:cs="Times New Roman"/>
          <w:sz w:val="24"/>
        </w:rPr>
        <w:t>esented a model that depicts its influence</w:t>
      </w:r>
      <w:r w:rsidRPr="007C3282">
        <w:rPr>
          <w:rFonts w:ascii="Times New Roman" w:hAnsi="Times New Roman" w:cs="Times New Roman"/>
          <w:sz w:val="24"/>
        </w:rPr>
        <w:t xml:space="preserve"> on intention.  </w:t>
      </w:r>
      <w:proofErr w:type="spellStart"/>
      <w:r w:rsidRPr="007C3282">
        <w:rPr>
          <w:rFonts w:ascii="Times New Roman" w:hAnsi="Times New Roman" w:cs="Times New Roman"/>
          <w:sz w:val="24"/>
        </w:rPr>
        <w:t>Ajzen</w:t>
      </w:r>
      <w:proofErr w:type="spellEnd"/>
      <w:r w:rsidRPr="007C3282">
        <w:rPr>
          <w:rFonts w:ascii="Times New Roman" w:hAnsi="Times New Roman" w:cs="Times New Roman"/>
          <w:sz w:val="24"/>
        </w:rPr>
        <w:t xml:space="preserve"> (2006) explained that individuals act on behavioral decisions based upon </w:t>
      </w:r>
      <w:r w:rsidRPr="007C3282">
        <w:rPr>
          <w:rFonts w:ascii="Times New Roman" w:hAnsi="Times New Roman" w:cs="Times New Roman"/>
          <w:i/>
          <w:sz w:val="24"/>
        </w:rPr>
        <w:t>behavioral beliefs</w:t>
      </w:r>
      <w:r w:rsidRPr="007C3282">
        <w:rPr>
          <w:rFonts w:ascii="Times New Roman" w:hAnsi="Times New Roman" w:cs="Times New Roman"/>
          <w:sz w:val="24"/>
        </w:rPr>
        <w:t xml:space="preserve"> (what one thinks the outcomes of the behavior will be), </w:t>
      </w:r>
      <w:r w:rsidRPr="007C3282">
        <w:rPr>
          <w:rFonts w:ascii="Times New Roman" w:hAnsi="Times New Roman" w:cs="Times New Roman"/>
          <w:i/>
          <w:sz w:val="24"/>
        </w:rPr>
        <w:t>normative beliefs</w:t>
      </w:r>
      <w:r w:rsidRPr="007C3282">
        <w:rPr>
          <w:rFonts w:ascii="Times New Roman" w:hAnsi="Times New Roman" w:cs="Times New Roman"/>
          <w:sz w:val="24"/>
        </w:rPr>
        <w:t xml:space="preserve"> (what other people think about the behavior), and </w:t>
      </w:r>
      <w:r w:rsidRPr="007C3282">
        <w:rPr>
          <w:rFonts w:ascii="Times New Roman" w:hAnsi="Times New Roman" w:cs="Times New Roman"/>
          <w:i/>
          <w:sz w:val="24"/>
        </w:rPr>
        <w:t>control beliefs</w:t>
      </w:r>
      <w:r w:rsidRPr="007C3282">
        <w:rPr>
          <w:rFonts w:ascii="Times New Roman" w:hAnsi="Times New Roman" w:cs="Times New Roman"/>
          <w:sz w:val="24"/>
        </w:rPr>
        <w:t xml:space="preserve"> (what one understands about the factors that facilitate or discourage the behavior).  </w:t>
      </w:r>
    </w:p>
    <w:p w:rsidR="00CB6140" w:rsidRDefault="00CB6140" w:rsidP="00CB6140">
      <w:pPr>
        <w:pStyle w:val="NoSpacing"/>
        <w:rPr>
          <w:rFonts w:ascii="Times New Roman" w:hAnsi="Times New Roman" w:cs="Times New Roman"/>
          <w:sz w:val="24"/>
        </w:rPr>
      </w:pPr>
    </w:p>
    <w:p w:rsidR="00CB6140" w:rsidRDefault="00CB6140" w:rsidP="00CB6140">
      <w:pPr>
        <w:pStyle w:val="NoSpacing"/>
        <w:jc w:val="center"/>
        <w:rPr>
          <w:rFonts w:ascii="Times New Roman" w:hAnsi="Times New Roman" w:cs="Times New Roman"/>
          <w:b/>
          <w:sz w:val="24"/>
        </w:rPr>
      </w:pPr>
      <w:r>
        <w:rPr>
          <w:rFonts w:ascii="Times New Roman" w:hAnsi="Times New Roman" w:cs="Times New Roman"/>
          <w:b/>
          <w:sz w:val="24"/>
        </w:rPr>
        <w:t>Methodology</w:t>
      </w:r>
    </w:p>
    <w:p w:rsidR="00CB6140" w:rsidRDefault="00CB6140" w:rsidP="00CB6140">
      <w:pPr>
        <w:pStyle w:val="NoSpacing"/>
        <w:rPr>
          <w:rFonts w:ascii="Times New Roman" w:hAnsi="Times New Roman" w:cs="Times New Roman"/>
          <w:sz w:val="24"/>
        </w:rPr>
      </w:pPr>
      <w:r>
        <w:rPr>
          <w:rFonts w:ascii="Times New Roman" w:hAnsi="Times New Roman" w:cs="Times New Roman"/>
          <w:sz w:val="24"/>
        </w:rPr>
        <w:tab/>
      </w:r>
      <w:r w:rsidR="00F76C46">
        <w:rPr>
          <w:rFonts w:ascii="Times New Roman" w:hAnsi="Times New Roman" w:cs="Times New Roman"/>
          <w:sz w:val="24"/>
        </w:rPr>
        <w:t>The population for this study, which was part of a larger project, were agricultural education teacher education faculty (</w:t>
      </w:r>
      <w:r w:rsidR="00F76C46">
        <w:rPr>
          <w:rFonts w:ascii="Times New Roman" w:hAnsi="Times New Roman" w:cs="Times New Roman"/>
          <w:i/>
          <w:sz w:val="24"/>
        </w:rPr>
        <w:t>N</w:t>
      </w:r>
      <w:r w:rsidR="00F76C46">
        <w:rPr>
          <w:rFonts w:ascii="Times New Roman" w:hAnsi="Times New Roman" w:cs="Times New Roman"/>
          <w:sz w:val="24"/>
        </w:rPr>
        <w:t xml:space="preserve">=176) during the fall of 2017.  Survey procedures outlined by </w:t>
      </w:r>
      <w:proofErr w:type="spellStart"/>
      <w:r w:rsidR="00F76C46">
        <w:rPr>
          <w:rFonts w:ascii="Times New Roman" w:hAnsi="Times New Roman" w:cs="Times New Roman"/>
          <w:sz w:val="24"/>
        </w:rPr>
        <w:t>Dillman</w:t>
      </w:r>
      <w:proofErr w:type="spellEnd"/>
      <w:r w:rsidR="00F76C46">
        <w:rPr>
          <w:rFonts w:ascii="Times New Roman" w:hAnsi="Times New Roman" w:cs="Times New Roman"/>
          <w:sz w:val="24"/>
        </w:rPr>
        <w:t>, Smyth, and Christian (2009), which included five points of contact, were followed and yielded a 64% response rate (</w:t>
      </w:r>
      <w:r w:rsidR="00F76C46">
        <w:rPr>
          <w:rFonts w:ascii="Times New Roman" w:hAnsi="Times New Roman" w:cs="Times New Roman"/>
          <w:i/>
          <w:sz w:val="24"/>
        </w:rPr>
        <w:t>n</w:t>
      </w:r>
      <w:r w:rsidR="00F76C46">
        <w:rPr>
          <w:rFonts w:ascii="Times New Roman" w:hAnsi="Times New Roman" w:cs="Times New Roman"/>
          <w:sz w:val="24"/>
        </w:rPr>
        <w:t>=112).  The</w:t>
      </w:r>
      <w:r w:rsidR="00DC2D0F">
        <w:rPr>
          <w:rFonts w:ascii="Times New Roman" w:hAnsi="Times New Roman" w:cs="Times New Roman"/>
          <w:sz w:val="24"/>
        </w:rPr>
        <w:t xml:space="preserve"> researcher developed</w:t>
      </w:r>
      <w:r w:rsidR="00F76C46">
        <w:rPr>
          <w:rFonts w:ascii="Times New Roman" w:hAnsi="Times New Roman" w:cs="Times New Roman"/>
          <w:sz w:val="24"/>
        </w:rPr>
        <w:t xml:space="preserve"> survey used for this study was comprised of six Likert-type statements </w:t>
      </w:r>
      <w:r w:rsidR="001B4AD6">
        <w:rPr>
          <w:rFonts w:ascii="Times New Roman" w:hAnsi="Times New Roman" w:cs="Times New Roman"/>
          <w:sz w:val="24"/>
        </w:rPr>
        <w:t>using</w:t>
      </w:r>
      <w:r w:rsidR="00F76C46">
        <w:rPr>
          <w:rFonts w:ascii="Times New Roman" w:hAnsi="Times New Roman" w:cs="Times New Roman"/>
          <w:sz w:val="24"/>
        </w:rPr>
        <w:t xml:space="preserve"> Visua</w:t>
      </w:r>
      <w:r w:rsidR="00E66A80">
        <w:rPr>
          <w:rFonts w:ascii="Times New Roman" w:hAnsi="Times New Roman" w:cs="Times New Roman"/>
          <w:sz w:val="24"/>
        </w:rPr>
        <w:t xml:space="preserve">l Analog Scale (VAS) structure.  </w:t>
      </w:r>
      <w:r w:rsidR="00DC2D0F">
        <w:rPr>
          <w:rFonts w:ascii="Times New Roman" w:hAnsi="Times New Roman" w:cs="Times New Roman"/>
          <w:sz w:val="24"/>
        </w:rPr>
        <w:t xml:space="preserve">Results of </w:t>
      </w:r>
      <w:r w:rsidR="00E66A80">
        <w:rPr>
          <w:rFonts w:ascii="Times New Roman" w:hAnsi="Times New Roman" w:cs="Times New Roman"/>
          <w:sz w:val="24"/>
        </w:rPr>
        <w:t>a</w:t>
      </w:r>
      <w:r w:rsidR="00DC2D0F">
        <w:rPr>
          <w:rFonts w:ascii="Times New Roman" w:hAnsi="Times New Roman" w:cs="Times New Roman"/>
          <w:sz w:val="24"/>
        </w:rPr>
        <w:t xml:space="preserve"> pilot test</w:t>
      </w:r>
      <w:r w:rsidR="001B4AD6">
        <w:rPr>
          <w:rFonts w:ascii="Times New Roman" w:hAnsi="Times New Roman" w:cs="Times New Roman"/>
          <w:sz w:val="24"/>
        </w:rPr>
        <w:t>, including 16 faculty not selected to participate in the study,</w:t>
      </w:r>
      <w:r w:rsidR="00DC2D0F">
        <w:rPr>
          <w:rFonts w:ascii="Times New Roman" w:hAnsi="Times New Roman" w:cs="Times New Roman"/>
          <w:sz w:val="24"/>
        </w:rPr>
        <w:t xml:space="preserve"> established internal consistency at </w:t>
      </w:r>
      <w:r w:rsidR="00DC2D0F">
        <w:rPr>
          <w:rFonts w:ascii="Times New Roman" w:hAnsi="Times New Roman" w:cs="Times New Roman"/>
          <w:i/>
          <w:sz w:val="24"/>
        </w:rPr>
        <w:t xml:space="preserve">a </w:t>
      </w:r>
      <w:r w:rsidR="00DC2D0F">
        <w:rPr>
          <w:rFonts w:ascii="Times New Roman" w:hAnsi="Times New Roman" w:cs="Times New Roman"/>
          <w:sz w:val="24"/>
        </w:rPr>
        <w:t xml:space="preserve">= .80.  </w:t>
      </w:r>
      <w:r w:rsidR="00DC2D0F">
        <w:rPr>
          <w:rFonts w:ascii="Times New Roman" w:hAnsi="Times New Roman" w:cs="Times New Roman"/>
          <w:i/>
          <w:sz w:val="24"/>
        </w:rPr>
        <w:t>Post hoc</w:t>
      </w:r>
      <w:r w:rsidR="00DC2D0F">
        <w:rPr>
          <w:rFonts w:ascii="Times New Roman" w:hAnsi="Times New Roman" w:cs="Times New Roman"/>
          <w:sz w:val="24"/>
        </w:rPr>
        <w:t xml:space="preserve"> analysis yielded similar results with a Cronbach’</w:t>
      </w:r>
      <w:r w:rsidR="00E66A80">
        <w:rPr>
          <w:rFonts w:ascii="Times New Roman" w:hAnsi="Times New Roman" w:cs="Times New Roman"/>
          <w:sz w:val="24"/>
        </w:rPr>
        <w:t>s alpha score of</w:t>
      </w:r>
      <w:r w:rsidR="001B4AD6">
        <w:rPr>
          <w:rFonts w:ascii="Times New Roman" w:hAnsi="Times New Roman" w:cs="Times New Roman"/>
          <w:sz w:val="24"/>
        </w:rPr>
        <w:t xml:space="preserve"> </w:t>
      </w:r>
      <w:r w:rsidR="001B4AD6">
        <w:rPr>
          <w:rFonts w:ascii="Times New Roman" w:hAnsi="Times New Roman" w:cs="Times New Roman"/>
          <w:i/>
          <w:sz w:val="24"/>
        </w:rPr>
        <w:t xml:space="preserve">a </w:t>
      </w:r>
      <w:r w:rsidR="001B4AD6">
        <w:rPr>
          <w:rFonts w:ascii="Times New Roman" w:hAnsi="Times New Roman" w:cs="Times New Roman"/>
          <w:sz w:val="24"/>
        </w:rPr>
        <w:t xml:space="preserve">= </w:t>
      </w:r>
      <w:r w:rsidR="00E66A80">
        <w:rPr>
          <w:rFonts w:ascii="Times New Roman" w:hAnsi="Times New Roman" w:cs="Times New Roman"/>
          <w:sz w:val="24"/>
        </w:rPr>
        <w:t xml:space="preserve">.81.  </w:t>
      </w:r>
      <w:r w:rsidR="00DC2D0F">
        <w:rPr>
          <w:rFonts w:ascii="Times New Roman" w:hAnsi="Times New Roman" w:cs="Times New Roman"/>
          <w:sz w:val="24"/>
        </w:rPr>
        <w:t xml:space="preserve">Data were consolidated into the following response continuum: 1.00 – 1.49 (Strongly Disagree), 1.50 – 2.49 (Disagree), 2.50 – 3.49 (Agree), 3.50 – 4.49 (Agree), and 4.50 – 5.00 (Strongly Agree).  The respondents were mostly male (73.2%), and had been employed as a teacher educator for 11.8 years.  </w:t>
      </w:r>
      <w:r w:rsidR="002B5C7D">
        <w:rPr>
          <w:rFonts w:ascii="Times New Roman" w:hAnsi="Times New Roman" w:cs="Times New Roman"/>
          <w:sz w:val="24"/>
        </w:rPr>
        <w:t xml:space="preserve">Additionally, 32.1% were professors, 26.8% were associate professors, 27.7% were assistant professors, and 11.6% were instructors.  Eighty-eight were faculty at land grant institutions (78.5%) with the remaining employed at non-land grant colleges and universities. </w:t>
      </w:r>
    </w:p>
    <w:p w:rsidR="002B5C7D" w:rsidRDefault="002B5C7D" w:rsidP="002B5C7D">
      <w:pPr>
        <w:pStyle w:val="NoSpacing"/>
        <w:jc w:val="center"/>
        <w:rPr>
          <w:rFonts w:ascii="Times New Roman" w:hAnsi="Times New Roman" w:cs="Times New Roman"/>
          <w:b/>
          <w:sz w:val="24"/>
        </w:rPr>
      </w:pPr>
      <w:r>
        <w:rPr>
          <w:rFonts w:ascii="Times New Roman" w:hAnsi="Times New Roman" w:cs="Times New Roman"/>
          <w:b/>
          <w:sz w:val="24"/>
        </w:rPr>
        <w:lastRenderedPageBreak/>
        <w:t>Results</w:t>
      </w:r>
    </w:p>
    <w:p w:rsidR="002B5C7D" w:rsidRDefault="002B5C7D" w:rsidP="002B5C7D">
      <w:pPr>
        <w:pStyle w:val="NoSpacing"/>
        <w:rPr>
          <w:rFonts w:ascii="Times New Roman" w:hAnsi="Times New Roman" w:cs="Times New Roman"/>
          <w:sz w:val="24"/>
        </w:rPr>
      </w:pPr>
      <w:r>
        <w:rPr>
          <w:rFonts w:ascii="Times New Roman" w:hAnsi="Times New Roman" w:cs="Times New Roman"/>
          <w:b/>
          <w:sz w:val="24"/>
        </w:rPr>
        <w:tab/>
      </w:r>
      <w:r>
        <w:rPr>
          <w:rFonts w:ascii="Times New Roman" w:hAnsi="Times New Roman" w:cs="Times New Roman"/>
          <w:sz w:val="24"/>
        </w:rPr>
        <w:t xml:space="preserve">As found in Table 1, faculty were generally positive regarding STEM education in agricultural education.  Results of a Pearson Product-moment correlation indicated significant differences </w:t>
      </w:r>
      <w:r w:rsidR="001B4AD6">
        <w:rPr>
          <w:rFonts w:ascii="Times New Roman" w:hAnsi="Times New Roman" w:cs="Times New Roman"/>
          <w:sz w:val="24"/>
        </w:rPr>
        <w:t>(</w:t>
      </w:r>
      <w:r w:rsidR="001B4AD6">
        <w:rPr>
          <w:rFonts w:ascii="Times New Roman" w:hAnsi="Times New Roman" w:cs="Times New Roman"/>
          <w:i/>
          <w:sz w:val="24"/>
        </w:rPr>
        <w:t>a</w:t>
      </w:r>
      <w:r w:rsidR="001B4AD6">
        <w:rPr>
          <w:rFonts w:ascii="Times New Roman" w:hAnsi="Times New Roman" w:cs="Times New Roman"/>
          <w:sz w:val="24"/>
        </w:rPr>
        <w:t xml:space="preserve"> &lt;.05) </w:t>
      </w:r>
      <w:r>
        <w:rPr>
          <w:rFonts w:ascii="Times New Roman" w:hAnsi="Times New Roman" w:cs="Times New Roman"/>
          <w:sz w:val="24"/>
        </w:rPr>
        <w:t>between land grant and non-land grant faculty regarding their overall mean scores.</w:t>
      </w:r>
    </w:p>
    <w:p w:rsidR="002B5C7D" w:rsidRDefault="002B5C7D" w:rsidP="002B5C7D">
      <w:pPr>
        <w:pStyle w:val="NoSpacing"/>
        <w:rPr>
          <w:rFonts w:ascii="Times New Roman" w:hAnsi="Times New Roman" w:cs="Times New Roman"/>
          <w:sz w:val="24"/>
        </w:rPr>
      </w:pPr>
    </w:p>
    <w:p w:rsidR="002B5C7D" w:rsidRPr="002B5C7D" w:rsidRDefault="002B5C7D" w:rsidP="002B5C7D">
      <w:pPr>
        <w:pStyle w:val="NoSpacing"/>
        <w:rPr>
          <w:rFonts w:ascii="Times New Roman" w:hAnsi="Times New Roman" w:cs="Times New Roman"/>
          <w:sz w:val="24"/>
        </w:rPr>
      </w:pPr>
      <w:r>
        <w:rPr>
          <w:rFonts w:ascii="Times New Roman" w:hAnsi="Times New Roman" w:cs="Times New Roman"/>
          <w:sz w:val="24"/>
        </w:rPr>
        <w:t>Table 1</w:t>
      </w:r>
    </w:p>
    <w:p w:rsidR="002B5C7D" w:rsidRPr="002B5C7D" w:rsidRDefault="002B5C7D" w:rsidP="002B5C7D">
      <w:pPr>
        <w:pStyle w:val="NoSpacing"/>
        <w:rPr>
          <w:rFonts w:ascii="Times New Roman" w:hAnsi="Times New Roman" w:cs="Times New Roman"/>
          <w:i/>
          <w:sz w:val="24"/>
        </w:rPr>
      </w:pPr>
      <w:r>
        <w:rPr>
          <w:rFonts w:ascii="Times New Roman" w:hAnsi="Times New Roman" w:cs="Times New Roman"/>
          <w:i/>
          <w:sz w:val="24"/>
        </w:rPr>
        <w:t>Agricultural Education Teacher Preparation Faculty Attitudes toward STEM Education</w:t>
      </w:r>
    </w:p>
    <w:tbl>
      <w:tblPr>
        <w:tblStyle w:val="TableGrid"/>
        <w:tblW w:w="5000"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4590"/>
        <w:gridCol w:w="1260"/>
        <w:gridCol w:w="702"/>
        <w:gridCol w:w="702"/>
        <w:gridCol w:w="702"/>
        <w:gridCol w:w="702"/>
        <w:gridCol w:w="702"/>
      </w:tblGrid>
      <w:tr w:rsidR="002B5C7D" w:rsidRPr="00733547" w:rsidTr="00802E34">
        <w:tc>
          <w:tcPr>
            <w:tcW w:w="2452" w:type="pct"/>
            <w:vMerge w:val="restart"/>
          </w:tcPr>
          <w:p w:rsidR="002B5C7D" w:rsidRPr="00733547" w:rsidRDefault="002B5C7D" w:rsidP="00802E34">
            <w:pPr>
              <w:rPr>
                <w:sz w:val="22"/>
              </w:rPr>
            </w:pPr>
            <w:r>
              <w:rPr>
                <w:sz w:val="22"/>
              </w:rPr>
              <w:t>Contemporary school-based agricultural education teacher preparation programs should…</w:t>
            </w:r>
          </w:p>
        </w:tc>
        <w:tc>
          <w:tcPr>
            <w:tcW w:w="673" w:type="pct"/>
            <w:vMerge w:val="restart"/>
            <w:vAlign w:val="center"/>
          </w:tcPr>
          <w:p w:rsidR="002B5C7D" w:rsidRPr="00733547" w:rsidRDefault="002B5C7D" w:rsidP="00802E34">
            <w:pPr>
              <w:jc w:val="center"/>
              <w:rPr>
                <w:sz w:val="22"/>
              </w:rPr>
            </w:pPr>
            <w:r>
              <w:rPr>
                <w:sz w:val="22"/>
              </w:rPr>
              <w:t>Institution Type</w:t>
            </w:r>
          </w:p>
        </w:tc>
        <w:tc>
          <w:tcPr>
            <w:tcW w:w="375" w:type="pct"/>
          </w:tcPr>
          <w:p w:rsidR="002B5C7D" w:rsidRPr="00733547" w:rsidRDefault="002B5C7D" w:rsidP="00802E34">
            <w:pPr>
              <w:jc w:val="center"/>
              <w:rPr>
                <w:sz w:val="22"/>
              </w:rPr>
            </w:pPr>
            <w:r w:rsidRPr="00733547">
              <w:rPr>
                <w:sz w:val="22"/>
              </w:rPr>
              <w:t>SD</w:t>
            </w:r>
          </w:p>
        </w:tc>
        <w:tc>
          <w:tcPr>
            <w:tcW w:w="375" w:type="pct"/>
          </w:tcPr>
          <w:p w:rsidR="002B5C7D" w:rsidRPr="00733547" w:rsidRDefault="002B5C7D" w:rsidP="00802E34">
            <w:pPr>
              <w:jc w:val="center"/>
              <w:rPr>
                <w:sz w:val="22"/>
              </w:rPr>
            </w:pPr>
            <w:r w:rsidRPr="00733547">
              <w:rPr>
                <w:sz w:val="22"/>
              </w:rPr>
              <w:t>D</w:t>
            </w:r>
          </w:p>
        </w:tc>
        <w:tc>
          <w:tcPr>
            <w:tcW w:w="375" w:type="pct"/>
          </w:tcPr>
          <w:p w:rsidR="002B5C7D" w:rsidRPr="00733547" w:rsidRDefault="002B5C7D" w:rsidP="00802E34">
            <w:pPr>
              <w:jc w:val="center"/>
              <w:rPr>
                <w:sz w:val="22"/>
              </w:rPr>
            </w:pPr>
            <w:r w:rsidRPr="00733547">
              <w:rPr>
                <w:sz w:val="22"/>
              </w:rPr>
              <w:t>N</w:t>
            </w:r>
          </w:p>
        </w:tc>
        <w:tc>
          <w:tcPr>
            <w:tcW w:w="375" w:type="pct"/>
          </w:tcPr>
          <w:p w:rsidR="002B5C7D" w:rsidRPr="00733547" w:rsidRDefault="002B5C7D" w:rsidP="00802E34">
            <w:pPr>
              <w:jc w:val="center"/>
              <w:rPr>
                <w:sz w:val="22"/>
              </w:rPr>
            </w:pPr>
            <w:r w:rsidRPr="00733547">
              <w:rPr>
                <w:sz w:val="22"/>
              </w:rPr>
              <w:t>A</w:t>
            </w:r>
          </w:p>
        </w:tc>
        <w:tc>
          <w:tcPr>
            <w:tcW w:w="375" w:type="pct"/>
          </w:tcPr>
          <w:p w:rsidR="002B5C7D" w:rsidRPr="00733547" w:rsidRDefault="002B5C7D" w:rsidP="00802E34">
            <w:pPr>
              <w:jc w:val="center"/>
              <w:rPr>
                <w:sz w:val="22"/>
              </w:rPr>
            </w:pPr>
            <w:r w:rsidRPr="00733547">
              <w:rPr>
                <w:sz w:val="22"/>
              </w:rPr>
              <w:t>SA</w:t>
            </w:r>
          </w:p>
        </w:tc>
      </w:tr>
      <w:tr w:rsidR="002B5C7D" w:rsidRPr="00733547" w:rsidTr="00802E34">
        <w:tc>
          <w:tcPr>
            <w:tcW w:w="2452" w:type="pct"/>
            <w:vMerge/>
            <w:tcBorders>
              <w:bottom w:val="single" w:sz="4" w:space="0" w:color="auto"/>
            </w:tcBorders>
          </w:tcPr>
          <w:p w:rsidR="002B5C7D" w:rsidRPr="00733547" w:rsidRDefault="002B5C7D" w:rsidP="00802E34">
            <w:pPr>
              <w:rPr>
                <w:sz w:val="22"/>
              </w:rPr>
            </w:pPr>
          </w:p>
        </w:tc>
        <w:tc>
          <w:tcPr>
            <w:tcW w:w="673" w:type="pct"/>
            <w:vMerge/>
            <w:tcBorders>
              <w:bottom w:val="single" w:sz="4" w:space="0" w:color="auto"/>
            </w:tcBorders>
          </w:tcPr>
          <w:p w:rsidR="002B5C7D" w:rsidRDefault="002B5C7D" w:rsidP="00802E34">
            <w:pPr>
              <w:jc w:val="center"/>
              <w:rPr>
                <w:sz w:val="22"/>
              </w:rPr>
            </w:pPr>
          </w:p>
        </w:tc>
        <w:tc>
          <w:tcPr>
            <w:tcW w:w="375" w:type="pct"/>
            <w:tcBorders>
              <w:bottom w:val="single" w:sz="4" w:space="0" w:color="auto"/>
            </w:tcBorders>
          </w:tcPr>
          <w:p w:rsidR="002B5C7D" w:rsidRPr="00733547" w:rsidRDefault="002B5C7D" w:rsidP="00802E34">
            <w:pPr>
              <w:jc w:val="center"/>
              <w:rPr>
                <w:sz w:val="22"/>
              </w:rPr>
            </w:pPr>
            <w:r>
              <w:rPr>
                <w:sz w:val="22"/>
              </w:rPr>
              <w:t>%</w:t>
            </w:r>
          </w:p>
        </w:tc>
        <w:tc>
          <w:tcPr>
            <w:tcW w:w="375" w:type="pct"/>
            <w:tcBorders>
              <w:bottom w:val="single" w:sz="4" w:space="0" w:color="auto"/>
            </w:tcBorders>
          </w:tcPr>
          <w:p w:rsidR="002B5C7D" w:rsidRPr="00733547" w:rsidRDefault="002B5C7D" w:rsidP="00802E34">
            <w:pPr>
              <w:jc w:val="center"/>
              <w:rPr>
                <w:sz w:val="22"/>
              </w:rPr>
            </w:pPr>
            <w:r>
              <w:rPr>
                <w:sz w:val="22"/>
              </w:rPr>
              <w:t>%</w:t>
            </w:r>
          </w:p>
        </w:tc>
        <w:tc>
          <w:tcPr>
            <w:tcW w:w="375" w:type="pct"/>
            <w:tcBorders>
              <w:bottom w:val="single" w:sz="4" w:space="0" w:color="auto"/>
            </w:tcBorders>
          </w:tcPr>
          <w:p w:rsidR="002B5C7D" w:rsidRPr="00733547" w:rsidRDefault="002B5C7D" w:rsidP="00802E34">
            <w:pPr>
              <w:jc w:val="center"/>
              <w:rPr>
                <w:sz w:val="22"/>
              </w:rPr>
            </w:pPr>
            <w:r>
              <w:rPr>
                <w:sz w:val="22"/>
              </w:rPr>
              <w:t>%</w:t>
            </w:r>
          </w:p>
        </w:tc>
        <w:tc>
          <w:tcPr>
            <w:tcW w:w="375" w:type="pct"/>
            <w:tcBorders>
              <w:bottom w:val="single" w:sz="4" w:space="0" w:color="auto"/>
            </w:tcBorders>
          </w:tcPr>
          <w:p w:rsidR="002B5C7D" w:rsidRPr="00733547" w:rsidRDefault="002B5C7D" w:rsidP="00802E34">
            <w:pPr>
              <w:jc w:val="center"/>
              <w:rPr>
                <w:sz w:val="22"/>
              </w:rPr>
            </w:pPr>
            <w:r>
              <w:rPr>
                <w:sz w:val="22"/>
              </w:rPr>
              <w:t>%</w:t>
            </w:r>
          </w:p>
        </w:tc>
        <w:tc>
          <w:tcPr>
            <w:tcW w:w="375" w:type="pct"/>
            <w:tcBorders>
              <w:bottom w:val="single" w:sz="4" w:space="0" w:color="auto"/>
            </w:tcBorders>
          </w:tcPr>
          <w:p w:rsidR="002B5C7D" w:rsidRPr="00733547" w:rsidRDefault="002B5C7D" w:rsidP="00802E34">
            <w:pPr>
              <w:jc w:val="center"/>
              <w:rPr>
                <w:sz w:val="22"/>
              </w:rPr>
            </w:pPr>
            <w:r>
              <w:rPr>
                <w:sz w:val="22"/>
              </w:rPr>
              <w:t>%</w:t>
            </w:r>
          </w:p>
        </w:tc>
      </w:tr>
      <w:tr w:rsidR="002B5C7D" w:rsidTr="00802E34">
        <w:tc>
          <w:tcPr>
            <w:tcW w:w="2452" w:type="pct"/>
            <w:tcBorders>
              <w:top w:val="nil"/>
              <w:bottom w:val="nil"/>
            </w:tcBorders>
          </w:tcPr>
          <w:p w:rsidR="002B5C7D" w:rsidRDefault="002B5C7D" w:rsidP="00802E34">
            <w:pPr>
              <w:spacing w:before="120"/>
              <w:rPr>
                <w:sz w:val="22"/>
              </w:rPr>
            </w:pPr>
            <w:r>
              <w:rPr>
                <w:sz w:val="22"/>
              </w:rPr>
              <w:t>Illustrate the relationship between STEM and the 3-cirlce model of agricultural education</w:t>
            </w:r>
          </w:p>
        </w:tc>
        <w:tc>
          <w:tcPr>
            <w:tcW w:w="673" w:type="pct"/>
            <w:tcBorders>
              <w:top w:val="nil"/>
              <w:bottom w:val="nil"/>
            </w:tcBorders>
          </w:tcPr>
          <w:p w:rsidR="002B5C7D" w:rsidRDefault="002B5C7D" w:rsidP="00802E34">
            <w:pPr>
              <w:spacing w:before="120"/>
              <w:jc w:val="center"/>
              <w:rPr>
                <w:sz w:val="22"/>
              </w:rPr>
            </w:pPr>
            <w:r>
              <w:rPr>
                <w:sz w:val="22"/>
              </w:rPr>
              <w:t>LG</w:t>
            </w:r>
          </w:p>
          <w:p w:rsidR="002B5C7D" w:rsidRDefault="002B5C7D" w:rsidP="00802E34">
            <w:pPr>
              <w:jc w:val="center"/>
              <w:rPr>
                <w:sz w:val="22"/>
              </w:rPr>
            </w:pPr>
            <w:r>
              <w:rPr>
                <w:sz w:val="22"/>
              </w:rPr>
              <w:t>NLG</w:t>
            </w:r>
          </w:p>
        </w:tc>
        <w:tc>
          <w:tcPr>
            <w:tcW w:w="375" w:type="pct"/>
            <w:tcBorders>
              <w:top w:val="nil"/>
              <w:bottom w:val="nil"/>
            </w:tcBorders>
          </w:tcPr>
          <w:p w:rsidR="002B5C7D" w:rsidRDefault="002B5C7D" w:rsidP="00802E34">
            <w:pPr>
              <w:spacing w:before="120"/>
              <w:jc w:val="center"/>
              <w:rPr>
                <w:sz w:val="22"/>
              </w:rPr>
            </w:pPr>
            <w:r>
              <w:rPr>
                <w:sz w:val="22"/>
              </w:rPr>
              <w:t>0.0</w:t>
            </w:r>
          </w:p>
          <w:p w:rsidR="002B5C7D" w:rsidRDefault="002B5C7D" w:rsidP="00802E34">
            <w:pPr>
              <w:jc w:val="center"/>
              <w:rPr>
                <w:sz w:val="22"/>
              </w:rPr>
            </w:pPr>
            <w:r>
              <w:rPr>
                <w:sz w:val="22"/>
              </w:rPr>
              <w:t>0.0</w:t>
            </w:r>
          </w:p>
        </w:tc>
        <w:tc>
          <w:tcPr>
            <w:tcW w:w="375" w:type="pct"/>
            <w:tcBorders>
              <w:top w:val="nil"/>
              <w:bottom w:val="nil"/>
            </w:tcBorders>
          </w:tcPr>
          <w:p w:rsidR="002B5C7D" w:rsidRDefault="002B5C7D" w:rsidP="00802E34">
            <w:pPr>
              <w:spacing w:before="120"/>
              <w:jc w:val="center"/>
              <w:rPr>
                <w:sz w:val="22"/>
              </w:rPr>
            </w:pPr>
            <w:r>
              <w:rPr>
                <w:sz w:val="22"/>
              </w:rPr>
              <w:t>3.4</w:t>
            </w:r>
          </w:p>
          <w:p w:rsidR="002B5C7D" w:rsidRDefault="002B5C7D" w:rsidP="00802E34">
            <w:pPr>
              <w:jc w:val="center"/>
              <w:rPr>
                <w:sz w:val="22"/>
              </w:rPr>
            </w:pPr>
            <w:r>
              <w:rPr>
                <w:sz w:val="22"/>
              </w:rPr>
              <w:t>4.2</w:t>
            </w:r>
          </w:p>
        </w:tc>
        <w:tc>
          <w:tcPr>
            <w:tcW w:w="375" w:type="pct"/>
            <w:tcBorders>
              <w:top w:val="nil"/>
              <w:bottom w:val="nil"/>
            </w:tcBorders>
          </w:tcPr>
          <w:p w:rsidR="002B5C7D" w:rsidRDefault="002B5C7D" w:rsidP="00802E34">
            <w:pPr>
              <w:spacing w:before="120"/>
              <w:jc w:val="center"/>
              <w:rPr>
                <w:sz w:val="22"/>
              </w:rPr>
            </w:pPr>
            <w:r>
              <w:rPr>
                <w:sz w:val="22"/>
              </w:rPr>
              <w:t>8.0</w:t>
            </w:r>
          </w:p>
          <w:p w:rsidR="002B5C7D" w:rsidRDefault="002B5C7D" w:rsidP="00802E34">
            <w:pPr>
              <w:jc w:val="center"/>
              <w:rPr>
                <w:sz w:val="22"/>
              </w:rPr>
            </w:pPr>
            <w:r>
              <w:rPr>
                <w:sz w:val="22"/>
              </w:rPr>
              <w:t>25.0</w:t>
            </w:r>
          </w:p>
        </w:tc>
        <w:tc>
          <w:tcPr>
            <w:tcW w:w="375" w:type="pct"/>
            <w:tcBorders>
              <w:top w:val="nil"/>
              <w:bottom w:val="nil"/>
            </w:tcBorders>
          </w:tcPr>
          <w:p w:rsidR="002B5C7D" w:rsidRDefault="002B5C7D" w:rsidP="00802E34">
            <w:pPr>
              <w:spacing w:before="120"/>
              <w:jc w:val="center"/>
              <w:rPr>
                <w:sz w:val="22"/>
              </w:rPr>
            </w:pPr>
            <w:r>
              <w:rPr>
                <w:sz w:val="22"/>
              </w:rPr>
              <w:t>40.9</w:t>
            </w:r>
          </w:p>
          <w:p w:rsidR="002B5C7D" w:rsidRDefault="002B5C7D" w:rsidP="00802E34">
            <w:pPr>
              <w:jc w:val="center"/>
              <w:rPr>
                <w:sz w:val="22"/>
              </w:rPr>
            </w:pPr>
            <w:r>
              <w:rPr>
                <w:sz w:val="22"/>
              </w:rPr>
              <w:t>50.0</w:t>
            </w:r>
          </w:p>
        </w:tc>
        <w:tc>
          <w:tcPr>
            <w:tcW w:w="375" w:type="pct"/>
            <w:tcBorders>
              <w:top w:val="nil"/>
              <w:bottom w:val="nil"/>
            </w:tcBorders>
          </w:tcPr>
          <w:p w:rsidR="002B5C7D" w:rsidRDefault="002B5C7D" w:rsidP="00802E34">
            <w:pPr>
              <w:spacing w:before="120"/>
              <w:jc w:val="center"/>
              <w:rPr>
                <w:sz w:val="22"/>
              </w:rPr>
            </w:pPr>
            <w:r>
              <w:rPr>
                <w:sz w:val="22"/>
              </w:rPr>
              <w:t>47.7</w:t>
            </w:r>
          </w:p>
          <w:p w:rsidR="002B5C7D" w:rsidRDefault="002B5C7D" w:rsidP="00802E34">
            <w:pPr>
              <w:jc w:val="center"/>
              <w:rPr>
                <w:sz w:val="22"/>
              </w:rPr>
            </w:pPr>
            <w:r>
              <w:rPr>
                <w:sz w:val="22"/>
              </w:rPr>
              <w:t>20.8</w:t>
            </w:r>
          </w:p>
        </w:tc>
      </w:tr>
      <w:tr w:rsidR="002B5C7D" w:rsidTr="00802E34">
        <w:tc>
          <w:tcPr>
            <w:tcW w:w="2452" w:type="pct"/>
            <w:tcBorders>
              <w:top w:val="nil"/>
              <w:bottom w:val="nil"/>
            </w:tcBorders>
          </w:tcPr>
          <w:p w:rsidR="002B5C7D" w:rsidRPr="002D6CED" w:rsidRDefault="002B5C7D" w:rsidP="00802E34">
            <w:pPr>
              <w:spacing w:before="120"/>
              <w:rPr>
                <w:sz w:val="22"/>
              </w:rPr>
            </w:pPr>
            <w:r>
              <w:rPr>
                <w:sz w:val="22"/>
              </w:rPr>
              <w:t>Provide instruction for undergraduates on how to highlight STEM concepts in course curriculum.</w:t>
            </w:r>
          </w:p>
        </w:tc>
        <w:tc>
          <w:tcPr>
            <w:tcW w:w="673" w:type="pct"/>
            <w:tcBorders>
              <w:top w:val="nil"/>
              <w:bottom w:val="nil"/>
            </w:tcBorders>
          </w:tcPr>
          <w:p w:rsidR="002B5C7D" w:rsidRDefault="002B5C7D" w:rsidP="00802E34">
            <w:pPr>
              <w:spacing w:before="120"/>
              <w:jc w:val="center"/>
              <w:rPr>
                <w:sz w:val="22"/>
              </w:rPr>
            </w:pPr>
            <w:r>
              <w:rPr>
                <w:sz w:val="22"/>
              </w:rPr>
              <w:t>LG</w:t>
            </w:r>
          </w:p>
          <w:p w:rsidR="002B5C7D" w:rsidRDefault="002B5C7D" w:rsidP="00802E34">
            <w:pPr>
              <w:jc w:val="center"/>
              <w:rPr>
                <w:sz w:val="22"/>
              </w:rPr>
            </w:pPr>
            <w:r>
              <w:rPr>
                <w:sz w:val="22"/>
              </w:rPr>
              <w:t>NLG</w:t>
            </w:r>
          </w:p>
        </w:tc>
        <w:tc>
          <w:tcPr>
            <w:tcW w:w="375" w:type="pct"/>
            <w:tcBorders>
              <w:top w:val="nil"/>
              <w:bottom w:val="nil"/>
            </w:tcBorders>
          </w:tcPr>
          <w:p w:rsidR="002B5C7D" w:rsidRDefault="002B5C7D" w:rsidP="00802E34">
            <w:pPr>
              <w:spacing w:before="120"/>
              <w:jc w:val="center"/>
              <w:rPr>
                <w:sz w:val="22"/>
              </w:rPr>
            </w:pPr>
            <w:r>
              <w:rPr>
                <w:sz w:val="22"/>
              </w:rPr>
              <w:t>0.0</w:t>
            </w:r>
          </w:p>
          <w:p w:rsidR="002B5C7D" w:rsidRDefault="002B5C7D" w:rsidP="00802E34">
            <w:pPr>
              <w:jc w:val="center"/>
              <w:rPr>
                <w:sz w:val="22"/>
              </w:rPr>
            </w:pPr>
            <w:r>
              <w:rPr>
                <w:sz w:val="22"/>
              </w:rPr>
              <w:t>0.0</w:t>
            </w:r>
          </w:p>
        </w:tc>
        <w:tc>
          <w:tcPr>
            <w:tcW w:w="375" w:type="pct"/>
            <w:tcBorders>
              <w:top w:val="nil"/>
              <w:bottom w:val="nil"/>
            </w:tcBorders>
          </w:tcPr>
          <w:p w:rsidR="002B5C7D" w:rsidRDefault="002B5C7D" w:rsidP="00802E34">
            <w:pPr>
              <w:spacing w:before="120"/>
              <w:jc w:val="center"/>
              <w:rPr>
                <w:sz w:val="22"/>
              </w:rPr>
            </w:pPr>
            <w:r>
              <w:rPr>
                <w:sz w:val="22"/>
              </w:rPr>
              <w:t>0.0</w:t>
            </w:r>
          </w:p>
          <w:p w:rsidR="002B5C7D" w:rsidRDefault="002B5C7D" w:rsidP="00802E34">
            <w:pPr>
              <w:jc w:val="center"/>
              <w:rPr>
                <w:sz w:val="22"/>
              </w:rPr>
            </w:pPr>
            <w:r>
              <w:rPr>
                <w:sz w:val="22"/>
              </w:rPr>
              <w:t>4.2</w:t>
            </w:r>
          </w:p>
        </w:tc>
        <w:tc>
          <w:tcPr>
            <w:tcW w:w="375" w:type="pct"/>
            <w:tcBorders>
              <w:top w:val="nil"/>
              <w:bottom w:val="nil"/>
            </w:tcBorders>
          </w:tcPr>
          <w:p w:rsidR="002B5C7D" w:rsidRDefault="002B5C7D" w:rsidP="00802E34">
            <w:pPr>
              <w:spacing w:before="120"/>
              <w:jc w:val="center"/>
              <w:rPr>
                <w:sz w:val="22"/>
              </w:rPr>
            </w:pPr>
            <w:r>
              <w:rPr>
                <w:sz w:val="22"/>
              </w:rPr>
              <w:t>0.0</w:t>
            </w:r>
          </w:p>
          <w:p w:rsidR="002B5C7D" w:rsidRDefault="002B5C7D" w:rsidP="00802E34">
            <w:pPr>
              <w:jc w:val="center"/>
              <w:rPr>
                <w:sz w:val="22"/>
              </w:rPr>
            </w:pPr>
            <w:r>
              <w:rPr>
                <w:sz w:val="22"/>
              </w:rPr>
              <w:t>16.7</w:t>
            </w:r>
          </w:p>
        </w:tc>
        <w:tc>
          <w:tcPr>
            <w:tcW w:w="375" w:type="pct"/>
            <w:tcBorders>
              <w:top w:val="nil"/>
              <w:bottom w:val="nil"/>
            </w:tcBorders>
          </w:tcPr>
          <w:p w:rsidR="002B5C7D" w:rsidRDefault="002B5C7D" w:rsidP="00802E34">
            <w:pPr>
              <w:spacing w:before="120"/>
              <w:jc w:val="center"/>
              <w:rPr>
                <w:sz w:val="22"/>
              </w:rPr>
            </w:pPr>
            <w:r>
              <w:rPr>
                <w:sz w:val="22"/>
              </w:rPr>
              <w:t>39.8</w:t>
            </w:r>
          </w:p>
          <w:p w:rsidR="002B5C7D" w:rsidRDefault="002B5C7D" w:rsidP="00802E34">
            <w:pPr>
              <w:jc w:val="center"/>
              <w:rPr>
                <w:sz w:val="22"/>
              </w:rPr>
            </w:pPr>
            <w:r>
              <w:rPr>
                <w:sz w:val="22"/>
              </w:rPr>
              <w:t>54.2</w:t>
            </w:r>
          </w:p>
        </w:tc>
        <w:tc>
          <w:tcPr>
            <w:tcW w:w="375" w:type="pct"/>
            <w:tcBorders>
              <w:top w:val="nil"/>
              <w:bottom w:val="nil"/>
            </w:tcBorders>
          </w:tcPr>
          <w:p w:rsidR="002B5C7D" w:rsidRDefault="002B5C7D" w:rsidP="00802E34">
            <w:pPr>
              <w:spacing w:before="120"/>
              <w:jc w:val="center"/>
              <w:rPr>
                <w:sz w:val="22"/>
              </w:rPr>
            </w:pPr>
            <w:r>
              <w:rPr>
                <w:sz w:val="22"/>
              </w:rPr>
              <w:t>60.2</w:t>
            </w:r>
          </w:p>
          <w:p w:rsidR="002B5C7D" w:rsidRDefault="002B5C7D" w:rsidP="00802E34">
            <w:pPr>
              <w:jc w:val="center"/>
              <w:rPr>
                <w:sz w:val="22"/>
              </w:rPr>
            </w:pPr>
            <w:r>
              <w:rPr>
                <w:sz w:val="22"/>
              </w:rPr>
              <w:t>25.0</w:t>
            </w:r>
          </w:p>
        </w:tc>
      </w:tr>
      <w:tr w:rsidR="002B5C7D" w:rsidTr="00802E34">
        <w:tc>
          <w:tcPr>
            <w:tcW w:w="2452" w:type="pct"/>
            <w:tcBorders>
              <w:top w:val="nil"/>
              <w:bottom w:val="nil"/>
            </w:tcBorders>
          </w:tcPr>
          <w:p w:rsidR="002B5C7D" w:rsidRPr="002D6CED" w:rsidRDefault="002B5C7D" w:rsidP="00802E34">
            <w:pPr>
              <w:spacing w:before="120"/>
              <w:rPr>
                <w:sz w:val="22"/>
              </w:rPr>
            </w:pPr>
            <w:r>
              <w:rPr>
                <w:sz w:val="22"/>
              </w:rPr>
              <w:t>Provide instruction for undergraduates on how to implement experiential teaching techniques.</w:t>
            </w:r>
          </w:p>
        </w:tc>
        <w:tc>
          <w:tcPr>
            <w:tcW w:w="673" w:type="pct"/>
            <w:tcBorders>
              <w:top w:val="nil"/>
              <w:bottom w:val="nil"/>
            </w:tcBorders>
          </w:tcPr>
          <w:p w:rsidR="002B5C7D" w:rsidRDefault="002B5C7D" w:rsidP="00802E34">
            <w:pPr>
              <w:spacing w:before="120"/>
              <w:jc w:val="center"/>
              <w:rPr>
                <w:sz w:val="22"/>
              </w:rPr>
            </w:pPr>
            <w:r>
              <w:rPr>
                <w:sz w:val="22"/>
              </w:rPr>
              <w:t>LG</w:t>
            </w:r>
          </w:p>
          <w:p w:rsidR="002B5C7D" w:rsidRDefault="002B5C7D" w:rsidP="00802E34">
            <w:pPr>
              <w:jc w:val="center"/>
              <w:rPr>
                <w:sz w:val="22"/>
              </w:rPr>
            </w:pPr>
            <w:r>
              <w:rPr>
                <w:sz w:val="22"/>
              </w:rPr>
              <w:t>NLG</w:t>
            </w:r>
          </w:p>
        </w:tc>
        <w:tc>
          <w:tcPr>
            <w:tcW w:w="375" w:type="pct"/>
            <w:tcBorders>
              <w:top w:val="nil"/>
              <w:bottom w:val="nil"/>
            </w:tcBorders>
          </w:tcPr>
          <w:p w:rsidR="002B5C7D" w:rsidRDefault="002B5C7D" w:rsidP="00802E34">
            <w:pPr>
              <w:spacing w:before="120"/>
              <w:jc w:val="center"/>
              <w:rPr>
                <w:sz w:val="22"/>
              </w:rPr>
            </w:pPr>
            <w:r>
              <w:rPr>
                <w:sz w:val="22"/>
              </w:rPr>
              <w:t>0.0</w:t>
            </w:r>
          </w:p>
          <w:p w:rsidR="002B5C7D" w:rsidRDefault="002B5C7D" w:rsidP="00802E34">
            <w:pPr>
              <w:jc w:val="center"/>
              <w:rPr>
                <w:sz w:val="22"/>
              </w:rPr>
            </w:pPr>
            <w:r>
              <w:rPr>
                <w:sz w:val="22"/>
              </w:rPr>
              <w:t>0.0</w:t>
            </w:r>
          </w:p>
        </w:tc>
        <w:tc>
          <w:tcPr>
            <w:tcW w:w="375" w:type="pct"/>
            <w:tcBorders>
              <w:top w:val="nil"/>
              <w:bottom w:val="nil"/>
            </w:tcBorders>
          </w:tcPr>
          <w:p w:rsidR="002B5C7D" w:rsidRDefault="002B5C7D" w:rsidP="00802E34">
            <w:pPr>
              <w:spacing w:before="120"/>
              <w:jc w:val="center"/>
              <w:rPr>
                <w:sz w:val="22"/>
              </w:rPr>
            </w:pPr>
            <w:r>
              <w:rPr>
                <w:sz w:val="22"/>
              </w:rPr>
              <w:t>0.0</w:t>
            </w:r>
          </w:p>
          <w:p w:rsidR="002B5C7D" w:rsidRDefault="002B5C7D" w:rsidP="00802E34">
            <w:pPr>
              <w:jc w:val="center"/>
              <w:rPr>
                <w:sz w:val="22"/>
              </w:rPr>
            </w:pPr>
            <w:r>
              <w:rPr>
                <w:sz w:val="22"/>
              </w:rPr>
              <w:t>4.2</w:t>
            </w:r>
          </w:p>
        </w:tc>
        <w:tc>
          <w:tcPr>
            <w:tcW w:w="375" w:type="pct"/>
            <w:tcBorders>
              <w:top w:val="nil"/>
              <w:bottom w:val="nil"/>
            </w:tcBorders>
          </w:tcPr>
          <w:p w:rsidR="002B5C7D" w:rsidRDefault="002B5C7D" w:rsidP="00802E34">
            <w:pPr>
              <w:spacing w:before="120"/>
              <w:jc w:val="center"/>
              <w:rPr>
                <w:sz w:val="22"/>
              </w:rPr>
            </w:pPr>
            <w:r>
              <w:rPr>
                <w:sz w:val="22"/>
              </w:rPr>
              <w:t>1.1</w:t>
            </w:r>
          </w:p>
          <w:p w:rsidR="002B5C7D" w:rsidRDefault="002B5C7D" w:rsidP="00802E34">
            <w:pPr>
              <w:jc w:val="center"/>
              <w:rPr>
                <w:sz w:val="22"/>
              </w:rPr>
            </w:pPr>
            <w:r>
              <w:rPr>
                <w:sz w:val="22"/>
              </w:rPr>
              <w:t>16.7</w:t>
            </w:r>
          </w:p>
        </w:tc>
        <w:tc>
          <w:tcPr>
            <w:tcW w:w="375" w:type="pct"/>
            <w:tcBorders>
              <w:top w:val="nil"/>
              <w:bottom w:val="nil"/>
            </w:tcBorders>
          </w:tcPr>
          <w:p w:rsidR="002B5C7D" w:rsidRDefault="002B5C7D" w:rsidP="00802E34">
            <w:pPr>
              <w:spacing w:before="120"/>
              <w:jc w:val="center"/>
              <w:rPr>
                <w:sz w:val="22"/>
              </w:rPr>
            </w:pPr>
            <w:r>
              <w:rPr>
                <w:sz w:val="22"/>
              </w:rPr>
              <w:t>12.5</w:t>
            </w:r>
          </w:p>
          <w:p w:rsidR="002B5C7D" w:rsidRDefault="002B5C7D" w:rsidP="00802E34">
            <w:pPr>
              <w:jc w:val="center"/>
              <w:rPr>
                <w:sz w:val="22"/>
              </w:rPr>
            </w:pPr>
            <w:r>
              <w:rPr>
                <w:sz w:val="22"/>
              </w:rPr>
              <w:t>12.5</w:t>
            </w:r>
          </w:p>
        </w:tc>
        <w:tc>
          <w:tcPr>
            <w:tcW w:w="375" w:type="pct"/>
            <w:tcBorders>
              <w:top w:val="nil"/>
              <w:bottom w:val="nil"/>
            </w:tcBorders>
          </w:tcPr>
          <w:p w:rsidR="002B5C7D" w:rsidRDefault="002B5C7D" w:rsidP="00802E34">
            <w:pPr>
              <w:spacing w:before="120"/>
              <w:jc w:val="center"/>
              <w:rPr>
                <w:sz w:val="22"/>
              </w:rPr>
            </w:pPr>
            <w:r>
              <w:rPr>
                <w:sz w:val="22"/>
              </w:rPr>
              <w:t>86.4</w:t>
            </w:r>
          </w:p>
          <w:p w:rsidR="002B5C7D" w:rsidRDefault="002B5C7D" w:rsidP="00802E34">
            <w:pPr>
              <w:jc w:val="center"/>
              <w:rPr>
                <w:sz w:val="22"/>
              </w:rPr>
            </w:pPr>
            <w:r>
              <w:rPr>
                <w:sz w:val="22"/>
              </w:rPr>
              <w:t>66.7</w:t>
            </w:r>
          </w:p>
        </w:tc>
      </w:tr>
      <w:tr w:rsidR="002B5C7D" w:rsidTr="00802E34">
        <w:tc>
          <w:tcPr>
            <w:tcW w:w="2452" w:type="pct"/>
            <w:tcBorders>
              <w:top w:val="nil"/>
              <w:bottom w:val="nil"/>
            </w:tcBorders>
          </w:tcPr>
          <w:p w:rsidR="002B5C7D" w:rsidRPr="002D6CED" w:rsidRDefault="002B5C7D" w:rsidP="00802E34">
            <w:pPr>
              <w:spacing w:before="120"/>
              <w:rPr>
                <w:sz w:val="22"/>
              </w:rPr>
            </w:pPr>
            <w:r>
              <w:rPr>
                <w:sz w:val="22"/>
              </w:rPr>
              <w:t>Place student teachers with cooperating teachers who highlight STEM during instruction.</w:t>
            </w:r>
          </w:p>
        </w:tc>
        <w:tc>
          <w:tcPr>
            <w:tcW w:w="673" w:type="pct"/>
            <w:tcBorders>
              <w:top w:val="nil"/>
              <w:bottom w:val="nil"/>
            </w:tcBorders>
          </w:tcPr>
          <w:p w:rsidR="002B5C7D" w:rsidRDefault="002B5C7D" w:rsidP="00802E34">
            <w:pPr>
              <w:spacing w:before="120"/>
              <w:jc w:val="center"/>
              <w:rPr>
                <w:sz w:val="22"/>
              </w:rPr>
            </w:pPr>
            <w:r>
              <w:rPr>
                <w:sz w:val="22"/>
              </w:rPr>
              <w:t>LG</w:t>
            </w:r>
          </w:p>
          <w:p w:rsidR="002B5C7D" w:rsidRDefault="002B5C7D" w:rsidP="00802E34">
            <w:pPr>
              <w:jc w:val="center"/>
              <w:rPr>
                <w:sz w:val="22"/>
              </w:rPr>
            </w:pPr>
            <w:r>
              <w:rPr>
                <w:sz w:val="22"/>
              </w:rPr>
              <w:t>NLG</w:t>
            </w:r>
          </w:p>
        </w:tc>
        <w:tc>
          <w:tcPr>
            <w:tcW w:w="375" w:type="pct"/>
            <w:tcBorders>
              <w:top w:val="nil"/>
              <w:bottom w:val="nil"/>
            </w:tcBorders>
          </w:tcPr>
          <w:p w:rsidR="002B5C7D" w:rsidRDefault="002B5C7D" w:rsidP="00802E34">
            <w:pPr>
              <w:spacing w:before="120"/>
              <w:jc w:val="center"/>
              <w:rPr>
                <w:sz w:val="22"/>
              </w:rPr>
            </w:pPr>
            <w:r>
              <w:rPr>
                <w:sz w:val="22"/>
              </w:rPr>
              <w:t>0.0</w:t>
            </w:r>
          </w:p>
          <w:p w:rsidR="002B5C7D" w:rsidRDefault="002B5C7D" w:rsidP="00802E34">
            <w:pPr>
              <w:jc w:val="center"/>
              <w:rPr>
                <w:sz w:val="22"/>
              </w:rPr>
            </w:pPr>
            <w:r>
              <w:rPr>
                <w:sz w:val="22"/>
              </w:rPr>
              <w:t>0.0</w:t>
            </w:r>
          </w:p>
        </w:tc>
        <w:tc>
          <w:tcPr>
            <w:tcW w:w="375" w:type="pct"/>
            <w:tcBorders>
              <w:top w:val="nil"/>
              <w:bottom w:val="nil"/>
            </w:tcBorders>
          </w:tcPr>
          <w:p w:rsidR="002B5C7D" w:rsidRDefault="002B5C7D" w:rsidP="00802E34">
            <w:pPr>
              <w:spacing w:before="120"/>
              <w:jc w:val="center"/>
              <w:rPr>
                <w:sz w:val="22"/>
              </w:rPr>
            </w:pPr>
            <w:r>
              <w:rPr>
                <w:sz w:val="22"/>
              </w:rPr>
              <w:t>2.3</w:t>
            </w:r>
          </w:p>
          <w:p w:rsidR="002B5C7D" w:rsidRDefault="002B5C7D" w:rsidP="00802E34">
            <w:pPr>
              <w:jc w:val="center"/>
              <w:rPr>
                <w:sz w:val="22"/>
              </w:rPr>
            </w:pPr>
            <w:r>
              <w:rPr>
                <w:sz w:val="22"/>
              </w:rPr>
              <w:t>4.2</w:t>
            </w:r>
          </w:p>
        </w:tc>
        <w:tc>
          <w:tcPr>
            <w:tcW w:w="375" w:type="pct"/>
            <w:tcBorders>
              <w:top w:val="nil"/>
              <w:bottom w:val="nil"/>
            </w:tcBorders>
          </w:tcPr>
          <w:p w:rsidR="002B5C7D" w:rsidRDefault="002B5C7D" w:rsidP="00802E34">
            <w:pPr>
              <w:spacing w:before="120"/>
              <w:jc w:val="center"/>
              <w:rPr>
                <w:sz w:val="22"/>
              </w:rPr>
            </w:pPr>
            <w:r>
              <w:rPr>
                <w:sz w:val="22"/>
              </w:rPr>
              <w:t>11.4</w:t>
            </w:r>
          </w:p>
          <w:p w:rsidR="002B5C7D" w:rsidRDefault="002B5C7D" w:rsidP="00802E34">
            <w:pPr>
              <w:jc w:val="center"/>
              <w:rPr>
                <w:sz w:val="22"/>
              </w:rPr>
            </w:pPr>
            <w:r>
              <w:rPr>
                <w:sz w:val="22"/>
              </w:rPr>
              <w:t>37.5</w:t>
            </w:r>
          </w:p>
        </w:tc>
        <w:tc>
          <w:tcPr>
            <w:tcW w:w="375" w:type="pct"/>
            <w:tcBorders>
              <w:top w:val="nil"/>
              <w:bottom w:val="nil"/>
            </w:tcBorders>
          </w:tcPr>
          <w:p w:rsidR="002B5C7D" w:rsidRDefault="002B5C7D" w:rsidP="00802E34">
            <w:pPr>
              <w:spacing w:before="120"/>
              <w:jc w:val="center"/>
              <w:rPr>
                <w:sz w:val="22"/>
              </w:rPr>
            </w:pPr>
            <w:r>
              <w:rPr>
                <w:sz w:val="22"/>
              </w:rPr>
              <w:t>54.5</w:t>
            </w:r>
          </w:p>
          <w:p w:rsidR="002B5C7D" w:rsidRDefault="002B5C7D" w:rsidP="00802E34">
            <w:pPr>
              <w:jc w:val="center"/>
              <w:rPr>
                <w:sz w:val="22"/>
              </w:rPr>
            </w:pPr>
            <w:r>
              <w:rPr>
                <w:sz w:val="22"/>
              </w:rPr>
              <w:t>54.2</w:t>
            </w:r>
          </w:p>
        </w:tc>
        <w:tc>
          <w:tcPr>
            <w:tcW w:w="375" w:type="pct"/>
            <w:tcBorders>
              <w:top w:val="nil"/>
              <w:bottom w:val="nil"/>
            </w:tcBorders>
          </w:tcPr>
          <w:p w:rsidR="002B5C7D" w:rsidRDefault="002B5C7D" w:rsidP="00802E34">
            <w:pPr>
              <w:spacing w:before="120"/>
              <w:jc w:val="center"/>
              <w:rPr>
                <w:sz w:val="22"/>
              </w:rPr>
            </w:pPr>
            <w:r>
              <w:rPr>
                <w:sz w:val="22"/>
              </w:rPr>
              <w:t>31.8</w:t>
            </w:r>
          </w:p>
          <w:p w:rsidR="002B5C7D" w:rsidRDefault="002B5C7D" w:rsidP="00802E34">
            <w:pPr>
              <w:jc w:val="center"/>
              <w:rPr>
                <w:sz w:val="22"/>
              </w:rPr>
            </w:pPr>
            <w:r>
              <w:rPr>
                <w:sz w:val="22"/>
              </w:rPr>
              <w:t>4.2</w:t>
            </w:r>
          </w:p>
        </w:tc>
      </w:tr>
      <w:tr w:rsidR="002B5C7D" w:rsidTr="00802E34">
        <w:tc>
          <w:tcPr>
            <w:tcW w:w="2452" w:type="pct"/>
            <w:tcBorders>
              <w:top w:val="nil"/>
              <w:bottom w:val="nil"/>
            </w:tcBorders>
          </w:tcPr>
          <w:p w:rsidR="002B5C7D" w:rsidRPr="002D6CED" w:rsidRDefault="002B5C7D" w:rsidP="00802E34">
            <w:pPr>
              <w:spacing w:before="120"/>
              <w:rPr>
                <w:sz w:val="22"/>
              </w:rPr>
            </w:pPr>
            <w:r>
              <w:rPr>
                <w:sz w:val="22"/>
              </w:rPr>
              <w:t>Increase STEM-based course requirements for undergraduates.</w:t>
            </w:r>
          </w:p>
        </w:tc>
        <w:tc>
          <w:tcPr>
            <w:tcW w:w="673" w:type="pct"/>
            <w:tcBorders>
              <w:top w:val="nil"/>
              <w:bottom w:val="nil"/>
            </w:tcBorders>
          </w:tcPr>
          <w:p w:rsidR="002B5C7D" w:rsidRDefault="002B5C7D" w:rsidP="00802E34">
            <w:pPr>
              <w:spacing w:before="120"/>
              <w:jc w:val="center"/>
              <w:rPr>
                <w:sz w:val="22"/>
              </w:rPr>
            </w:pPr>
            <w:r>
              <w:rPr>
                <w:sz w:val="22"/>
              </w:rPr>
              <w:t>LG</w:t>
            </w:r>
          </w:p>
          <w:p w:rsidR="002B5C7D" w:rsidRDefault="002B5C7D" w:rsidP="00802E34">
            <w:pPr>
              <w:jc w:val="center"/>
              <w:rPr>
                <w:sz w:val="22"/>
              </w:rPr>
            </w:pPr>
            <w:r>
              <w:rPr>
                <w:sz w:val="22"/>
              </w:rPr>
              <w:t>NLG</w:t>
            </w:r>
          </w:p>
        </w:tc>
        <w:tc>
          <w:tcPr>
            <w:tcW w:w="375" w:type="pct"/>
            <w:tcBorders>
              <w:top w:val="nil"/>
              <w:bottom w:val="nil"/>
            </w:tcBorders>
          </w:tcPr>
          <w:p w:rsidR="002B5C7D" w:rsidRDefault="002B5C7D" w:rsidP="00802E34">
            <w:pPr>
              <w:spacing w:before="120"/>
              <w:jc w:val="center"/>
              <w:rPr>
                <w:sz w:val="22"/>
              </w:rPr>
            </w:pPr>
            <w:r>
              <w:rPr>
                <w:sz w:val="22"/>
              </w:rPr>
              <w:t>1.1</w:t>
            </w:r>
          </w:p>
          <w:p w:rsidR="002B5C7D" w:rsidRDefault="002B5C7D" w:rsidP="00802E34">
            <w:pPr>
              <w:jc w:val="center"/>
              <w:rPr>
                <w:sz w:val="22"/>
              </w:rPr>
            </w:pPr>
            <w:r>
              <w:rPr>
                <w:sz w:val="22"/>
              </w:rPr>
              <w:t>8.3</w:t>
            </w:r>
          </w:p>
        </w:tc>
        <w:tc>
          <w:tcPr>
            <w:tcW w:w="375" w:type="pct"/>
            <w:tcBorders>
              <w:top w:val="nil"/>
              <w:bottom w:val="nil"/>
            </w:tcBorders>
          </w:tcPr>
          <w:p w:rsidR="002B5C7D" w:rsidRDefault="002B5C7D" w:rsidP="00802E34">
            <w:pPr>
              <w:spacing w:before="120"/>
              <w:jc w:val="center"/>
              <w:rPr>
                <w:sz w:val="22"/>
              </w:rPr>
            </w:pPr>
            <w:r>
              <w:rPr>
                <w:sz w:val="22"/>
              </w:rPr>
              <w:t>2.3</w:t>
            </w:r>
          </w:p>
          <w:p w:rsidR="002B5C7D" w:rsidRDefault="002B5C7D" w:rsidP="00802E34">
            <w:pPr>
              <w:jc w:val="center"/>
              <w:rPr>
                <w:sz w:val="22"/>
              </w:rPr>
            </w:pPr>
            <w:r>
              <w:rPr>
                <w:sz w:val="22"/>
              </w:rPr>
              <w:t>20.8</w:t>
            </w:r>
          </w:p>
        </w:tc>
        <w:tc>
          <w:tcPr>
            <w:tcW w:w="375" w:type="pct"/>
            <w:tcBorders>
              <w:top w:val="nil"/>
              <w:bottom w:val="nil"/>
            </w:tcBorders>
          </w:tcPr>
          <w:p w:rsidR="002B5C7D" w:rsidRDefault="002B5C7D" w:rsidP="00802E34">
            <w:pPr>
              <w:spacing w:before="120"/>
              <w:jc w:val="center"/>
              <w:rPr>
                <w:sz w:val="22"/>
              </w:rPr>
            </w:pPr>
            <w:r>
              <w:rPr>
                <w:sz w:val="22"/>
              </w:rPr>
              <w:t>35.2</w:t>
            </w:r>
          </w:p>
          <w:p w:rsidR="002B5C7D" w:rsidRDefault="002B5C7D" w:rsidP="00802E34">
            <w:pPr>
              <w:jc w:val="center"/>
              <w:rPr>
                <w:sz w:val="22"/>
              </w:rPr>
            </w:pPr>
            <w:r>
              <w:rPr>
                <w:sz w:val="22"/>
              </w:rPr>
              <w:t>37.5</w:t>
            </w:r>
          </w:p>
        </w:tc>
        <w:tc>
          <w:tcPr>
            <w:tcW w:w="375" w:type="pct"/>
            <w:tcBorders>
              <w:top w:val="nil"/>
              <w:bottom w:val="nil"/>
            </w:tcBorders>
          </w:tcPr>
          <w:p w:rsidR="002B5C7D" w:rsidRDefault="002B5C7D" w:rsidP="00802E34">
            <w:pPr>
              <w:spacing w:before="120"/>
              <w:jc w:val="center"/>
              <w:rPr>
                <w:sz w:val="22"/>
              </w:rPr>
            </w:pPr>
            <w:r>
              <w:rPr>
                <w:sz w:val="22"/>
              </w:rPr>
              <w:t>46.6</w:t>
            </w:r>
          </w:p>
          <w:p w:rsidR="002B5C7D" w:rsidRDefault="002B5C7D" w:rsidP="00802E34">
            <w:pPr>
              <w:jc w:val="center"/>
              <w:rPr>
                <w:sz w:val="22"/>
              </w:rPr>
            </w:pPr>
            <w:r>
              <w:rPr>
                <w:sz w:val="22"/>
              </w:rPr>
              <w:t>25.0</w:t>
            </w:r>
          </w:p>
        </w:tc>
        <w:tc>
          <w:tcPr>
            <w:tcW w:w="375" w:type="pct"/>
            <w:tcBorders>
              <w:top w:val="nil"/>
              <w:bottom w:val="nil"/>
            </w:tcBorders>
          </w:tcPr>
          <w:p w:rsidR="002B5C7D" w:rsidRDefault="002B5C7D" w:rsidP="00802E34">
            <w:pPr>
              <w:spacing w:before="120"/>
              <w:jc w:val="center"/>
              <w:rPr>
                <w:sz w:val="22"/>
              </w:rPr>
            </w:pPr>
            <w:r>
              <w:rPr>
                <w:sz w:val="22"/>
              </w:rPr>
              <w:t>14.8</w:t>
            </w:r>
          </w:p>
          <w:p w:rsidR="002B5C7D" w:rsidRDefault="002B5C7D" w:rsidP="00802E34">
            <w:pPr>
              <w:jc w:val="center"/>
              <w:rPr>
                <w:sz w:val="22"/>
              </w:rPr>
            </w:pPr>
            <w:r>
              <w:rPr>
                <w:sz w:val="22"/>
              </w:rPr>
              <w:t>8.3</w:t>
            </w:r>
          </w:p>
        </w:tc>
      </w:tr>
      <w:tr w:rsidR="002B5C7D" w:rsidTr="00802E34">
        <w:tc>
          <w:tcPr>
            <w:tcW w:w="2452" w:type="pct"/>
            <w:tcBorders>
              <w:top w:val="nil"/>
            </w:tcBorders>
          </w:tcPr>
          <w:p w:rsidR="002B5C7D" w:rsidRPr="006D50A0" w:rsidRDefault="002B5C7D" w:rsidP="00802E34">
            <w:pPr>
              <w:spacing w:before="120"/>
              <w:rPr>
                <w:sz w:val="22"/>
              </w:rPr>
            </w:pPr>
            <w:r>
              <w:rPr>
                <w:sz w:val="22"/>
              </w:rPr>
              <w:t xml:space="preserve">Place less emphasis on STEM education in agricultural </w:t>
            </w:r>
            <w:proofErr w:type="spellStart"/>
            <w:r>
              <w:rPr>
                <w:sz w:val="22"/>
              </w:rPr>
              <w:t>education.</w:t>
            </w:r>
            <w:r>
              <w:rPr>
                <w:sz w:val="22"/>
                <w:vertAlign w:val="superscript"/>
              </w:rPr>
              <w:t>a</w:t>
            </w:r>
            <w:proofErr w:type="spellEnd"/>
          </w:p>
        </w:tc>
        <w:tc>
          <w:tcPr>
            <w:tcW w:w="673" w:type="pct"/>
            <w:tcBorders>
              <w:top w:val="nil"/>
            </w:tcBorders>
          </w:tcPr>
          <w:p w:rsidR="002B5C7D" w:rsidRDefault="002B5C7D" w:rsidP="00802E34">
            <w:pPr>
              <w:spacing w:before="120"/>
              <w:jc w:val="center"/>
              <w:rPr>
                <w:sz w:val="22"/>
              </w:rPr>
            </w:pPr>
            <w:r>
              <w:rPr>
                <w:sz w:val="22"/>
              </w:rPr>
              <w:t>LG</w:t>
            </w:r>
          </w:p>
          <w:p w:rsidR="002B5C7D" w:rsidRDefault="002B5C7D" w:rsidP="00802E34">
            <w:pPr>
              <w:jc w:val="center"/>
              <w:rPr>
                <w:sz w:val="22"/>
              </w:rPr>
            </w:pPr>
            <w:r>
              <w:rPr>
                <w:sz w:val="22"/>
              </w:rPr>
              <w:t>NLG</w:t>
            </w:r>
          </w:p>
        </w:tc>
        <w:tc>
          <w:tcPr>
            <w:tcW w:w="375" w:type="pct"/>
            <w:tcBorders>
              <w:top w:val="nil"/>
            </w:tcBorders>
          </w:tcPr>
          <w:p w:rsidR="002B5C7D" w:rsidRDefault="002B5C7D" w:rsidP="00802E34">
            <w:pPr>
              <w:spacing w:before="120"/>
              <w:jc w:val="center"/>
              <w:rPr>
                <w:sz w:val="22"/>
              </w:rPr>
            </w:pPr>
            <w:r>
              <w:rPr>
                <w:sz w:val="22"/>
              </w:rPr>
              <w:t>42.0</w:t>
            </w:r>
          </w:p>
          <w:p w:rsidR="002B5C7D" w:rsidRDefault="002B5C7D" w:rsidP="00802E34">
            <w:pPr>
              <w:jc w:val="center"/>
              <w:rPr>
                <w:sz w:val="22"/>
              </w:rPr>
            </w:pPr>
            <w:r>
              <w:rPr>
                <w:sz w:val="22"/>
              </w:rPr>
              <w:t>25.0</w:t>
            </w:r>
          </w:p>
        </w:tc>
        <w:tc>
          <w:tcPr>
            <w:tcW w:w="375" w:type="pct"/>
            <w:tcBorders>
              <w:top w:val="nil"/>
            </w:tcBorders>
          </w:tcPr>
          <w:p w:rsidR="002B5C7D" w:rsidRDefault="002B5C7D" w:rsidP="00802E34">
            <w:pPr>
              <w:spacing w:before="120"/>
              <w:jc w:val="center"/>
              <w:rPr>
                <w:sz w:val="22"/>
              </w:rPr>
            </w:pPr>
            <w:r>
              <w:rPr>
                <w:sz w:val="22"/>
              </w:rPr>
              <w:t>46.6</w:t>
            </w:r>
          </w:p>
          <w:p w:rsidR="002B5C7D" w:rsidRDefault="002B5C7D" w:rsidP="00802E34">
            <w:pPr>
              <w:jc w:val="center"/>
              <w:rPr>
                <w:sz w:val="22"/>
              </w:rPr>
            </w:pPr>
            <w:r>
              <w:rPr>
                <w:sz w:val="22"/>
              </w:rPr>
              <w:t>50.0</w:t>
            </w:r>
          </w:p>
        </w:tc>
        <w:tc>
          <w:tcPr>
            <w:tcW w:w="375" w:type="pct"/>
            <w:tcBorders>
              <w:top w:val="nil"/>
            </w:tcBorders>
          </w:tcPr>
          <w:p w:rsidR="002B5C7D" w:rsidRDefault="002B5C7D" w:rsidP="00802E34">
            <w:pPr>
              <w:spacing w:before="120"/>
              <w:jc w:val="center"/>
              <w:rPr>
                <w:sz w:val="22"/>
              </w:rPr>
            </w:pPr>
            <w:r>
              <w:rPr>
                <w:sz w:val="22"/>
              </w:rPr>
              <w:t>8.0</w:t>
            </w:r>
          </w:p>
          <w:p w:rsidR="002B5C7D" w:rsidRDefault="002B5C7D" w:rsidP="00802E34">
            <w:pPr>
              <w:jc w:val="center"/>
              <w:rPr>
                <w:sz w:val="22"/>
              </w:rPr>
            </w:pPr>
            <w:r>
              <w:rPr>
                <w:sz w:val="22"/>
              </w:rPr>
              <w:t>25.0</w:t>
            </w:r>
          </w:p>
        </w:tc>
        <w:tc>
          <w:tcPr>
            <w:tcW w:w="375" w:type="pct"/>
            <w:tcBorders>
              <w:top w:val="nil"/>
            </w:tcBorders>
          </w:tcPr>
          <w:p w:rsidR="002B5C7D" w:rsidRDefault="002B5C7D" w:rsidP="00802E34">
            <w:pPr>
              <w:spacing w:before="120"/>
              <w:jc w:val="center"/>
              <w:rPr>
                <w:sz w:val="22"/>
              </w:rPr>
            </w:pPr>
            <w:r>
              <w:rPr>
                <w:sz w:val="22"/>
              </w:rPr>
              <w:t>3.4</w:t>
            </w:r>
          </w:p>
          <w:p w:rsidR="002B5C7D" w:rsidRDefault="002B5C7D" w:rsidP="00802E34">
            <w:pPr>
              <w:jc w:val="center"/>
              <w:rPr>
                <w:sz w:val="22"/>
              </w:rPr>
            </w:pPr>
            <w:r>
              <w:rPr>
                <w:sz w:val="22"/>
              </w:rPr>
              <w:t>0.0</w:t>
            </w:r>
          </w:p>
        </w:tc>
        <w:tc>
          <w:tcPr>
            <w:tcW w:w="375" w:type="pct"/>
            <w:tcBorders>
              <w:top w:val="nil"/>
            </w:tcBorders>
          </w:tcPr>
          <w:p w:rsidR="002B5C7D" w:rsidRDefault="002B5C7D" w:rsidP="00802E34">
            <w:pPr>
              <w:spacing w:before="120"/>
              <w:jc w:val="center"/>
              <w:rPr>
                <w:sz w:val="22"/>
              </w:rPr>
            </w:pPr>
            <w:r>
              <w:rPr>
                <w:sz w:val="22"/>
              </w:rPr>
              <w:t>0.0</w:t>
            </w:r>
          </w:p>
          <w:p w:rsidR="002B5C7D" w:rsidRDefault="002B5C7D" w:rsidP="00802E34">
            <w:pPr>
              <w:jc w:val="center"/>
              <w:rPr>
                <w:sz w:val="22"/>
              </w:rPr>
            </w:pPr>
            <w:r>
              <w:rPr>
                <w:sz w:val="22"/>
              </w:rPr>
              <w:t>0.0</w:t>
            </w:r>
          </w:p>
        </w:tc>
      </w:tr>
    </w:tbl>
    <w:p w:rsidR="002B5C7D" w:rsidRPr="002B5C7D" w:rsidRDefault="002B5C7D" w:rsidP="002B5C7D">
      <w:pPr>
        <w:pStyle w:val="NoSpacing"/>
        <w:rPr>
          <w:rFonts w:ascii="Times New Roman" w:hAnsi="Times New Roman" w:cs="Times New Roman"/>
          <w:sz w:val="24"/>
        </w:rPr>
      </w:pPr>
      <w:r>
        <w:rPr>
          <w:rFonts w:ascii="Times New Roman" w:hAnsi="Times New Roman" w:cs="Times New Roman"/>
          <w:i/>
          <w:sz w:val="24"/>
        </w:rPr>
        <w:t>Note.</w:t>
      </w:r>
      <w:r>
        <w:rPr>
          <w:rFonts w:ascii="Times New Roman" w:hAnsi="Times New Roman" w:cs="Times New Roman"/>
          <w:sz w:val="24"/>
        </w:rPr>
        <w:t xml:space="preserve"> </w:t>
      </w:r>
      <w:proofErr w:type="gramStart"/>
      <w:r w:rsidR="00D4241E">
        <w:rPr>
          <w:rFonts w:ascii="Times New Roman" w:hAnsi="Times New Roman" w:cs="Times New Roman"/>
          <w:sz w:val="24"/>
          <w:vertAlign w:val="superscript"/>
        </w:rPr>
        <w:t>a</w:t>
      </w:r>
      <w:proofErr w:type="gramEnd"/>
      <w:r w:rsidR="00D4241E">
        <w:rPr>
          <w:rFonts w:ascii="Times New Roman" w:hAnsi="Times New Roman" w:cs="Times New Roman"/>
          <w:sz w:val="24"/>
          <w:vertAlign w:val="superscript"/>
        </w:rPr>
        <w:t xml:space="preserve"> </w:t>
      </w:r>
      <w:r w:rsidR="00D4241E">
        <w:rPr>
          <w:rFonts w:ascii="Times New Roman" w:hAnsi="Times New Roman" w:cs="Times New Roman"/>
          <w:sz w:val="24"/>
        </w:rPr>
        <w:t xml:space="preserve">reversed scored. </w:t>
      </w:r>
      <w:r w:rsidRPr="00D4241E">
        <w:rPr>
          <w:rFonts w:ascii="Times New Roman" w:hAnsi="Times New Roman" w:cs="Times New Roman"/>
          <w:sz w:val="24"/>
        </w:rPr>
        <w:t>Mean</w:t>
      </w:r>
      <w:r w:rsidRPr="002B5C7D">
        <w:rPr>
          <w:rFonts w:ascii="Times New Roman" w:hAnsi="Times New Roman" w:cs="Times New Roman"/>
          <w:sz w:val="24"/>
        </w:rPr>
        <w:t>-item summated scores, Land Grant: Mean = 4.25; Median = 4.28; Mode = 5.00; Std. Dev. = 0.48. Mean-item Summated Scores, Non-Land Grant: Mean = 3.87; Median = 3.88; Mode: 3.57, 3.88, 4.17; Std. Dev. = 0.43</w:t>
      </w:r>
    </w:p>
    <w:p w:rsidR="00940D76" w:rsidRDefault="00940D76" w:rsidP="00CB6140">
      <w:pPr>
        <w:pStyle w:val="NoSpacing"/>
        <w:rPr>
          <w:rFonts w:ascii="Times New Roman" w:hAnsi="Times New Roman" w:cs="Times New Roman"/>
          <w:sz w:val="24"/>
        </w:rPr>
      </w:pPr>
    </w:p>
    <w:p w:rsidR="00DC2D0F" w:rsidRDefault="002B5C7D" w:rsidP="002B5C7D">
      <w:pPr>
        <w:pStyle w:val="NoSpacing"/>
        <w:jc w:val="center"/>
        <w:rPr>
          <w:rFonts w:ascii="Times New Roman" w:hAnsi="Times New Roman" w:cs="Times New Roman"/>
          <w:sz w:val="24"/>
        </w:rPr>
      </w:pPr>
      <w:r>
        <w:rPr>
          <w:rFonts w:ascii="Times New Roman" w:hAnsi="Times New Roman" w:cs="Times New Roman"/>
          <w:b/>
          <w:sz w:val="24"/>
        </w:rPr>
        <w:t>Conclusions</w:t>
      </w:r>
    </w:p>
    <w:p w:rsidR="002B5C7D" w:rsidRDefault="002B5C7D" w:rsidP="002B5C7D">
      <w:pPr>
        <w:pStyle w:val="NoSpacing"/>
        <w:rPr>
          <w:rFonts w:ascii="Times New Roman" w:hAnsi="Times New Roman" w:cs="Times New Roman"/>
          <w:sz w:val="24"/>
        </w:rPr>
      </w:pPr>
      <w:r>
        <w:rPr>
          <w:rFonts w:ascii="Times New Roman" w:hAnsi="Times New Roman" w:cs="Times New Roman"/>
          <w:sz w:val="24"/>
        </w:rPr>
        <w:tab/>
      </w:r>
      <w:r w:rsidR="00D4241E">
        <w:rPr>
          <w:rFonts w:ascii="Times New Roman" w:hAnsi="Times New Roman" w:cs="Times New Roman"/>
          <w:sz w:val="24"/>
        </w:rPr>
        <w:t xml:space="preserve">Agricultural education teacher preparation faculty tended to hold positive attitudes toward STEM education, however, differences existed.  Over 98% of land grant faculty agreed that instruction on how to implement experiential teaching be provided to undergraduates, while less than 80% of non-land grant faculty held similar beliefs.  </w:t>
      </w:r>
      <w:r w:rsidR="00E66A80">
        <w:rPr>
          <w:rFonts w:ascii="Times New Roman" w:hAnsi="Times New Roman" w:cs="Times New Roman"/>
          <w:sz w:val="24"/>
        </w:rPr>
        <w:t xml:space="preserve">Additionally, over 85% of land grant faculty agreed that student teachers should be placed with cooperating teachers who highlighted STEM during instruction yet, less than 60% of non-land grant faculty identified similar attitudes. </w:t>
      </w:r>
    </w:p>
    <w:p w:rsidR="00E66A80" w:rsidRDefault="00E66A80" w:rsidP="002B5C7D">
      <w:pPr>
        <w:pStyle w:val="NoSpacing"/>
        <w:rPr>
          <w:rFonts w:ascii="Times New Roman" w:hAnsi="Times New Roman" w:cs="Times New Roman"/>
          <w:sz w:val="24"/>
        </w:rPr>
      </w:pPr>
    </w:p>
    <w:p w:rsidR="00E66A80" w:rsidRPr="00E66A80" w:rsidRDefault="00E66A80" w:rsidP="00E66A80">
      <w:pPr>
        <w:pStyle w:val="NoSpacing"/>
        <w:jc w:val="center"/>
        <w:rPr>
          <w:rFonts w:ascii="Times New Roman" w:hAnsi="Times New Roman" w:cs="Times New Roman"/>
          <w:b/>
          <w:sz w:val="24"/>
        </w:rPr>
      </w:pPr>
      <w:r>
        <w:rPr>
          <w:rFonts w:ascii="Times New Roman" w:hAnsi="Times New Roman" w:cs="Times New Roman"/>
          <w:b/>
          <w:sz w:val="24"/>
        </w:rPr>
        <w:t>Implications/Recommendations/Impact on Profession</w:t>
      </w:r>
    </w:p>
    <w:p w:rsidR="00940D76" w:rsidRDefault="00E66A80" w:rsidP="00CB6140">
      <w:pPr>
        <w:pStyle w:val="NoSpacing"/>
        <w:rPr>
          <w:rFonts w:ascii="Times New Roman" w:hAnsi="Times New Roman" w:cs="Times New Roman"/>
          <w:sz w:val="24"/>
        </w:rPr>
      </w:pPr>
      <w:r>
        <w:rPr>
          <w:rFonts w:ascii="Times New Roman" w:hAnsi="Times New Roman" w:cs="Times New Roman"/>
          <w:sz w:val="24"/>
        </w:rPr>
        <w:tab/>
        <w:t>Teacher educators have a responsibili</w:t>
      </w:r>
      <w:r w:rsidR="001B4AD6">
        <w:rPr>
          <w:rFonts w:ascii="Times New Roman" w:hAnsi="Times New Roman" w:cs="Times New Roman"/>
          <w:sz w:val="24"/>
        </w:rPr>
        <w:t>ty to prepare students for the future</w:t>
      </w:r>
      <w:r>
        <w:rPr>
          <w:rFonts w:ascii="Times New Roman" w:hAnsi="Times New Roman" w:cs="Times New Roman"/>
          <w:sz w:val="24"/>
        </w:rPr>
        <w:t xml:space="preserve">.  However, it is clear there are differences in attitudes toward STEM education in agricultural education.  To ensure consistency among programs, it is imperative teacher educators must continue to work together to establish a foundation from which the profession can build a comprehensive model to prepare future teachers to enter contemporary classrooms.  Sharing ideas through open communication and collaboration will ensure future teachers are better </w:t>
      </w:r>
      <w:r w:rsidR="004B73DA">
        <w:rPr>
          <w:rFonts w:ascii="Times New Roman" w:hAnsi="Times New Roman" w:cs="Times New Roman"/>
          <w:sz w:val="24"/>
        </w:rPr>
        <w:t>able</w:t>
      </w:r>
      <w:r>
        <w:rPr>
          <w:rFonts w:ascii="Times New Roman" w:hAnsi="Times New Roman" w:cs="Times New Roman"/>
          <w:sz w:val="24"/>
        </w:rPr>
        <w:t xml:space="preserve"> to </w:t>
      </w:r>
      <w:r w:rsidR="004B73DA">
        <w:rPr>
          <w:rFonts w:ascii="Times New Roman" w:hAnsi="Times New Roman" w:cs="Times New Roman"/>
          <w:sz w:val="24"/>
        </w:rPr>
        <w:t xml:space="preserve">prepare their future students to </w:t>
      </w:r>
      <w:r>
        <w:rPr>
          <w:rFonts w:ascii="Times New Roman" w:hAnsi="Times New Roman" w:cs="Times New Roman"/>
          <w:sz w:val="24"/>
        </w:rPr>
        <w:t xml:space="preserve">meet the demands of a STEM-based agriculture economy. </w:t>
      </w:r>
    </w:p>
    <w:p w:rsidR="001B4AD6" w:rsidRDefault="001B4AD6" w:rsidP="0084446B">
      <w:pPr>
        <w:pStyle w:val="NoSpacing"/>
        <w:jc w:val="center"/>
        <w:rPr>
          <w:rFonts w:ascii="Times New Roman" w:hAnsi="Times New Roman" w:cs="Times New Roman"/>
          <w:b/>
          <w:sz w:val="24"/>
        </w:rPr>
      </w:pPr>
    </w:p>
    <w:p w:rsidR="001B4AD6" w:rsidRDefault="001B4AD6" w:rsidP="0084446B">
      <w:pPr>
        <w:pStyle w:val="NoSpacing"/>
        <w:jc w:val="center"/>
        <w:rPr>
          <w:rFonts w:ascii="Times New Roman" w:hAnsi="Times New Roman" w:cs="Times New Roman"/>
          <w:b/>
          <w:sz w:val="24"/>
        </w:rPr>
      </w:pPr>
    </w:p>
    <w:p w:rsidR="00940D76" w:rsidRDefault="0084446B" w:rsidP="0084446B">
      <w:pPr>
        <w:pStyle w:val="NoSpacing"/>
        <w:jc w:val="center"/>
        <w:rPr>
          <w:rFonts w:ascii="Times New Roman" w:hAnsi="Times New Roman" w:cs="Times New Roman"/>
          <w:sz w:val="24"/>
        </w:rPr>
      </w:pPr>
      <w:r>
        <w:rPr>
          <w:rFonts w:ascii="Times New Roman" w:hAnsi="Times New Roman" w:cs="Times New Roman"/>
          <w:b/>
          <w:sz w:val="24"/>
        </w:rPr>
        <w:lastRenderedPageBreak/>
        <w:t>References</w:t>
      </w:r>
    </w:p>
    <w:p w:rsidR="0084446B" w:rsidRDefault="0084446B" w:rsidP="0084446B">
      <w:pPr>
        <w:pStyle w:val="NoSpacing"/>
        <w:jc w:val="center"/>
        <w:rPr>
          <w:rFonts w:ascii="Times New Roman" w:hAnsi="Times New Roman" w:cs="Times New Roman"/>
          <w:sz w:val="24"/>
        </w:rPr>
      </w:pPr>
    </w:p>
    <w:p w:rsidR="00D67C6E" w:rsidRPr="00CC37F7" w:rsidRDefault="00D67C6E" w:rsidP="00D67C6E">
      <w:pPr>
        <w:pStyle w:val="NoSpacing"/>
        <w:rPr>
          <w:rFonts w:ascii="Times New Roman" w:hAnsi="Times New Roman" w:cs="Times New Roman"/>
          <w:sz w:val="24"/>
          <w:szCs w:val="24"/>
        </w:rPr>
      </w:pPr>
      <w:proofErr w:type="spellStart"/>
      <w:r w:rsidRPr="00CC37F7">
        <w:rPr>
          <w:rFonts w:ascii="Times New Roman" w:hAnsi="Times New Roman" w:cs="Times New Roman"/>
          <w:sz w:val="24"/>
          <w:szCs w:val="24"/>
        </w:rPr>
        <w:t>Ajzen</w:t>
      </w:r>
      <w:proofErr w:type="spellEnd"/>
      <w:r w:rsidRPr="00CC37F7">
        <w:rPr>
          <w:rFonts w:ascii="Times New Roman" w:hAnsi="Times New Roman" w:cs="Times New Roman"/>
          <w:sz w:val="24"/>
          <w:szCs w:val="24"/>
        </w:rPr>
        <w:t xml:space="preserve">, I. (1991). The theory of planned behavior. </w:t>
      </w:r>
      <w:r w:rsidRPr="00CC37F7">
        <w:rPr>
          <w:rFonts w:ascii="Times New Roman" w:hAnsi="Times New Roman" w:cs="Times New Roman"/>
          <w:i/>
          <w:sz w:val="24"/>
          <w:szCs w:val="24"/>
        </w:rPr>
        <w:t xml:space="preserve">Organizational Behavior and Human Decision </w:t>
      </w:r>
      <w:r>
        <w:rPr>
          <w:i/>
          <w:szCs w:val="24"/>
        </w:rPr>
        <w:tab/>
      </w:r>
      <w:r w:rsidRPr="00CC37F7">
        <w:rPr>
          <w:rFonts w:ascii="Times New Roman" w:hAnsi="Times New Roman" w:cs="Times New Roman"/>
          <w:i/>
          <w:sz w:val="24"/>
          <w:szCs w:val="24"/>
        </w:rPr>
        <w:t>Processes, 50</w:t>
      </w:r>
      <w:r w:rsidRPr="00CC37F7">
        <w:rPr>
          <w:rFonts w:ascii="Times New Roman" w:hAnsi="Times New Roman" w:cs="Times New Roman"/>
          <w:sz w:val="24"/>
          <w:szCs w:val="24"/>
        </w:rPr>
        <w:t>, 179-211.</w:t>
      </w:r>
    </w:p>
    <w:p w:rsidR="00D67C6E" w:rsidRDefault="00D67C6E" w:rsidP="00D67C6E">
      <w:pPr>
        <w:pStyle w:val="NoSpacing"/>
        <w:rPr>
          <w:szCs w:val="24"/>
        </w:rPr>
      </w:pPr>
    </w:p>
    <w:p w:rsidR="00D67C6E" w:rsidRPr="00CC37F7" w:rsidRDefault="00D67C6E" w:rsidP="00D67C6E">
      <w:pPr>
        <w:pStyle w:val="NoSpacing"/>
        <w:rPr>
          <w:rFonts w:ascii="Times New Roman" w:hAnsi="Times New Roman" w:cs="Times New Roman"/>
          <w:sz w:val="24"/>
          <w:szCs w:val="24"/>
        </w:rPr>
      </w:pPr>
      <w:proofErr w:type="spellStart"/>
      <w:r w:rsidRPr="00CC37F7">
        <w:rPr>
          <w:rFonts w:ascii="Times New Roman" w:hAnsi="Times New Roman" w:cs="Times New Roman"/>
          <w:sz w:val="24"/>
          <w:szCs w:val="24"/>
        </w:rPr>
        <w:t>Ajzen</w:t>
      </w:r>
      <w:proofErr w:type="spellEnd"/>
      <w:r w:rsidRPr="00CC37F7">
        <w:rPr>
          <w:rFonts w:ascii="Times New Roman" w:hAnsi="Times New Roman" w:cs="Times New Roman"/>
          <w:sz w:val="24"/>
          <w:szCs w:val="24"/>
        </w:rPr>
        <w:t xml:space="preserve">, I. (2006). </w:t>
      </w:r>
      <w:r w:rsidRPr="00CC37F7">
        <w:rPr>
          <w:rFonts w:ascii="Times New Roman" w:hAnsi="Times New Roman" w:cs="Times New Roman"/>
          <w:i/>
          <w:sz w:val="24"/>
          <w:szCs w:val="24"/>
        </w:rPr>
        <w:t xml:space="preserve">Behavioral interventions based on the theory of planned behavior. </w:t>
      </w:r>
      <w:r w:rsidRPr="00CC37F7">
        <w:rPr>
          <w:rFonts w:ascii="Times New Roman" w:hAnsi="Times New Roman" w:cs="Times New Roman"/>
          <w:sz w:val="24"/>
          <w:szCs w:val="24"/>
        </w:rPr>
        <w:t xml:space="preserve">Amherst, </w:t>
      </w:r>
      <w:r>
        <w:rPr>
          <w:szCs w:val="24"/>
        </w:rPr>
        <w:tab/>
      </w:r>
      <w:r w:rsidRPr="00CC37F7">
        <w:rPr>
          <w:rFonts w:ascii="Times New Roman" w:hAnsi="Times New Roman" w:cs="Times New Roman"/>
          <w:sz w:val="24"/>
          <w:szCs w:val="24"/>
        </w:rPr>
        <w:t xml:space="preserve">MA: University of Massachusetts System. Retrieved from </w:t>
      </w:r>
      <w:r>
        <w:rPr>
          <w:szCs w:val="24"/>
        </w:rPr>
        <w:tab/>
      </w:r>
      <w:hyperlink r:id="rId6">
        <w:r w:rsidRPr="00CC37F7">
          <w:rPr>
            <w:rFonts w:ascii="Times New Roman" w:hAnsi="Times New Roman" w:cs="Times New Roman"/>
            <w:sz w:val="24"/>
            <w:szCs w:val="24"/>
          </w:rPr>
          <w:t>http://www.people.umass.edu/aizen/pdf/tpb.intervention.pdf</w:t>
        </w:r>
      </w:hyperlink>
    </w:p>
    <w:p w:rsidR="00D67C6E" w:rsidRDefault="00D67C6E" w:rsidP="00D67C6E">
      <w:pPr>
        <w:pStyle w:val="NoSpacing"/>
        <w:rPr>
          <w:szCs w:val="24"/>
        </w:rPr>
      </w:pPr>
    </w:p>
    <w:p w:rsidR="00D67C6E" w:rsidRPr="00CC37F7" w:rsidRDefault="00D67C6E" w:rsidP="00D67C6E">
      <w:pPr>
        <w:pStyle w:val="NoSpacing"/>
        <w:rPr>
          <w:rFonts w:ascii="Times New Roman" w:hAnsi="Times New Roman" w:cs="Times New Roman"/>
          <w:sz w:val="24"/>
          <w:szCs w:val="24"/>
        </w:rPr>
      </w:pPr>
      <w:proofErr w:type="spellStart"/>
      <w:r w:rsidRPr="00CC37F7">
        <w:rPr>
          <w:rFonts w:ascii="Times New Roman" w:hAnsi="Times New Roman" w:cs="Times New Roman"/>
          <w:sz w:val="24"/>
          <w:szCs w:val="24"/>
        </w:rPr>
        <w:t>Ajzen</w:t>
      </w:r>
      <w:proofErr w:type="spellEnd"/>
      <w:r w:rsidRPr="00CC37F7">
        <w:rPr>
          <w:rFonts w:ascii="Times New Roman" w:hAnsi="Times New Roman" w:cs="Times New Roman"/>
          <w:sz w:val="24"/>
          <w:szCs w:val="24"/>
        </w:rPr>
        <w:t xml:space="preserve">, I., &amp; </w:t>
      </w:r>
      <w:proofErr w:type="spellStart"/>
      <w:r w:rsidRPr="00CC37F7">
        <w:rPr>
          <w:rFonts w:ascii="Times New Roman" w:hAnsi="Times New Roman" w:cs="Times New Roman"/>
          <w:sz w:val="24"/>
          <w:szCs w:val="24"/>
        </w:rPr>
        <w:t>Fishbein</w:t>
      </w:r>
      <w:proofErr w:type="spellEnd"/>
      <w:r w:rsidRPr="00CC37F7">
        <w:rPr>
          <w:rFonts w:ascii="Times New Roman" w:hAnsi="Times New Roman" w:cs="Times New Roman"/>
          <w:sz w:val="24"/>
          <w:szCs w:val="24"/>
        </w:rPr>
        <w:t xml:space="preserve">, M. (2005). The influence of attitudes on behavior. In D. </w:t>
      </w:r>
      <w:proofErr w:type="spellStart"/>
      <w:r w:rsidRPr="00CC37F7">
        <w:rPr>
          <w:rFonts w:ascii="Times New Roman" w:hAnsi="Times New Roman" w:cs="Times New Roman"/>
          <w:sz w:val="24"/>
          <w:szCs w:val="24"/>
        </w:rPr>
        <w:t>Albarracin</w:t>
      </w:r>
      <w:proofErr w:type="spellEnd"/>
      <w:r w:rsidRPr="00CC37F7">
        <w:rPr>
          <w:rFonts w:ascii="Times New Roman" w:hAnsi="Times New Roman" w:cs="Times New Roman"/>
          <w:sz w:val="24"/>
          <w:szCs w:val="24"/>
        </w:rPr>
        <w:t xml:space="preserve">, B. T. </w:t>
      </w:r>
      <w:r>
        <w:rPr>
          <w:szCs w:val="24"/>
        </w:rPr>
        <w:tab/>
      </w:r>
      <w:r w:rsidRPr="00CC37F7">
        <w:rPr>
          <w:rFonts w:ascii="Times New Roman" w:hAnsi="Times New Roman" w:cs="Times New Roman"/>
          <w:sz w:val="24"/>
          <w:szCs w:val="24"/>
        </w:rPr>
        <w:t xml:space="preserve">Johnson, &amp; M. P. </w:t>
      </w:r>
      <w:proofErr w:type="spellStart"/>
      <w:r w:rsidRPr="00CC37F7">
        <w:rPr>
          <w:rFonts w:ascii="Times New Roman" w:hAnsi="Times New Roman" w:cs="Times New Roman"/>
          <w:sz w:val="24"/>
          <w:szCs w:val="24"/>
        </w:rPr>
        <w:t>Zanna</w:t>
      </w:r>
      <w:proofErr w:type="spellEnd"/>
      <w:r w:rsidRPr="00CC37F7">
        <w:rPr>
          <w:rFonts w:ascii="Times New Roman" w:hAnsi="Times New Roman" w:cs="Times New Roman"/>
          <w:sz w:val="24"/>
          <w:szCs w:val="24"/>
        </w:rPr>
        <w:t xml:space="preserve"> (Eds.), </w:t>
      </w:r>
      <w:proofErr w:type="gramStart"/>
      <w:r w:rsidRPr="00CC37F7">
        <w:rPr>
          <w:rFonts w:ascii="Times New Roman" w:hAnsi="Times New Roman" w:cs="Times New Roman"/>
          <w:i/>
          <w:sz w:val="24"/>
          <w:szCs w:val="24"/>
        </w:rPr>
        <w:t>The</w:t>
      </w:r>
      <w:proofErr w:type="gramEnd"/>
      <w:r w:rsidRPr="00CC37F7">
        <w:rPr>
          <w:rFonts w:ascii="Times New Roman" w:hAnsi="Times New Roman" w:cs="Times New Roman"/>
          <w:i/>
          <w:sz w:val="24"/>
          <w:szCs w:val="24"/>
        </w:rPr>
        <w:t xml:space="preserve"> handbook of attitudes </w:t>
      </w:r>
      <w:r w:rsidRPr="00CC37F7">
        <w:rPr>
          <w:rFonts w:ascii="Times New Roman" w:hAnsi="Times New Roman" w:cs="Times New Roman"/>
          <w:sz w:val="24"/>
          <w:szCs w:val="24"/>
        </w:rPr>
        <w:t xml:space="preserve">(pp. 173-221). New York, NY: </w:t>
      </w:r>
      <w:r>
        <w:rPr>
          <w:szCs w:val="24"/>
        </w:rPr>
        <w:tab/>
      </w:r>
      <w:r w:rsidRPr="00CC37F7">
        <w:rPr>
          <w:rFonts w:ascii="Times New Roman" w:hAnsi="Times New Roman" w:cs="Times New Roman"/>
          <w:sz w:val="24"/>
          <w:szCs w:val="24"/>
        </w:rPr>
        <w:t>Lawrence Erlbaum Associates.</w:t>
      </w:r>
    </w:p>
    <w:p w:rsidR="00D67C6E" w:rsidRDefault="00D67C6E" w:rsidP="00D67C6E">
      <w:pPr>
        <w:pStyle w:val="NoSpacing"/>
        <w:rPr>
          <w:szCs w:val="24"/>
        </w:rPr>
      </w:pPr>
    </w:p>
    <w:p w:rsidR="00D67C6E" w:rsidRPr="00CC37F7" w:rsidRDefault="00D67C6E" w:rsidP="00D67C6E">
      <w:pPr>
        <w:pStyle w:val="NoSpacing"/>
        <w:rPr>
          <w:rFonts w:ascii="Times New Roman" w:hAnsi="Times New Roman" w:cs="Times New Roman"/>
          <w:sz w:val="24"/>
          <w:szCs w:val="24"/>
        </w:rPr>
      </w:pPr>
      <w:proofErr w:type="spellStart"/>
      <w:r w:rsidRPr="00CC37F7">
        <w:rPr>
          <w:rFonts w:ascii="Times New Roman" w:hAnsi="Times New Roman" w:cs="Times New Roman"/>
          <w:sz w:val="24"/>
          <w:szCs w:val="24"/>
        </w:rPr>
        <w:t>Chiasson</w:t>
      </w:r>
      <w:proofErr w:type="spellEnd"/>
      <w:r w:rsidRPr="00CC37F7">
        <w:rPr>
          <w:rFonts w:ascii="Times New Roman" w:hAnsi="Times New Roman" w:cs="Times New Roman"/>
          <w:sz w:val="24"/>
          <w:szCs w:val="24"/>
        </w:rPr>
        <w:t>, T. C., &amp; Burnett, M. F. (2001). The influence of enrollment in agriscience courses on</w:t>
      </w:r>
    </w:p>
    <w:p w:rsidR="00D67C6E" w:rsidRPr="00CC37F7" w:rsidRDefault="00D67C6E" w:rsidP="00D67C6E">
      <w:pPr>
        <w:pStyle w:val="NoSpacing"/>
        <w:rPr>
          <w:rFonts w:ascii="Times New Roman" w:hAnsi="Times New Roman" w:cs="Times New Roman"/>
          <w:i/>
          <w:iCs/>
          <w:sz w:val="24"/>
          <w:szCs w:val="24"/>
        </w:rPr>
      </w:pPr>
      <w:r>
        <w:rPr>
          <w:szCs w:val="24"/>
        </w:rPr>
        <w:tab/>
      </w:r>
      <w:proofErr w:type="gramStart"/>
      <w:r w:rsidRPr="00CC37F7">
        <w:rPr>
          <w:rFonts w:ascii="Times New Roman" w:hAnsi="Times New Roman" w:cs="Times New Roman"/>
          <w:sz w:val="24"/>
          <w:szCs w:val="24"/>
        </w:rPr>
        <w:t>the</w:t>
      </w:r>
      <w:proofErr w:type="gramEnd"/>
      <w:r w:rsidRPr="00CC37F7">
        <w:rPr>
          <w:rFonts w:ascii="Times New Roman" w:hAnsi="Times New Roman" w:cs="Times New Roman"/>
          <w:sz w:val="24"/>
          <w:szCs w:val="24"/>
        </w:rPr>
        <w:t xml:space="preserve"> science achievement of high school students. </w:t>
      </w:r>
      <w:r w:rsidRPr="00CC37F7">
        <w:rPr>
          <w:rFonts w:ascii="Times New Roman" w:hAnsi="Times New Roman" w:cs="Times New Roman"/>
          <w:i/>
          <w:iCs/>
          <w:sz w:val="24"/>
          <w:szCs w:val="24"/>
        </w:rPr>
        <w:t>Journal of Agricultural Education,</w:t>
      </w:r>
    </w:p>
    <w:p w:rsidR="00D67C6E" w:rsidRPr="00CC37F7" w:rsidRDefault="00D67C6E" w:rsidP="00D67C6E">
      <w:pPr>
        <w:pStyle w:val="NoSpacing"/>
        <w:rPr>
          <w:rFonts w:ascii="Times New Roman" w:hAnsi="Times New Roman" w:cs="Times New Roman"/>
          <w:sz w:val="24"/>
          <w:szCs w:val="24"/>
        </w:rPr>
      </w:pPr>
      <w:r>
        <w:rPr>
          <w:i/>
          <w:iCs/>
          <w:szCs w:val="24"/>
        </w:rPr>
        <w:tab/>
      </w:r>
      <w:r w:rsidRPr="00CC37F7">
        <w:rPr>
          <w:rFonts w:ascii="Times New Roman" w:hAnsi="Times New Roman" w:cs="Times New Roman"/>
          <w:i/>
          <w:iCs/>
          <w:sz w:val="24"/>
          <w:szCs w:val="24"/>
        </w:rPr>
        <w:t>42</w:t>
      </w:r>
      <w:r w:rsidRPr="00CC37F7">
        <w:rPr>
          <w:rFonts w:ascii="Times New Roman" w:hAnsi="Times New Roman" w:cs="Times New Roman"/>
          <w:sz w:val="24"/>
          <w:szCs w:val="24"/>
        </w:rPr>
        <w:t>(1), 60-70. doi:10.5032/jae.2001.01061</w:t>
      </w:r>
    </w:p>
    <w:p w:rsidR="00D67C6E" w:rsidRPr="00CC37F7" w:rsidRDefault="00D67C6E" w:rsidP="00D67C6E">
      <w:pPr>
        <w:pStyle w:val="NoSpacing"/>
        <w:rPr>
          <w:rFonts w:ascii="Times New Roman" w:hAnsi="Times New Roman" w:cs="Times New Roman"/>
          <w:sz w:val="24"/>
          <w:szCs w:val="24"/>
        </w:rPr>
      </w:pPr>
    </w:p>
    <w:p w:rsidR="00D67C6E" w:rsidRPr="00CC37F7" w:rsidRDefault="00D67C6E" w:rsidP="00D67C6E">
      <w:pPr>
        <w:pStyle w:val="NoSpacing"/>
        <w:rPr>
          <w:rFonts w:ascii="Times New Roman" w:hAnsi="Times New Roman" w:cs="Times New Roman"/>
          <w:sz w:val="24"/>
          <w:szCs w:val="24"/>
        </w:rPr>
      </w:pPr>
      <w:r w:rsidRPr="00CC37F7">
        <w:rPr>
          <w:rFonts w:ascii="Times New Roman" w:hAnsi="Times New Roman" w:cs="Times New Roman"/>
          <w:sz w:val="24"/>
          <w:szCs w:val="24"/>
        </w:rPr>
        <w:t xml:space="preserve">Conroy, C. A., &amp; Walker, N. J. (2000). An examination of integration of academic and </w:t>
      </w:r>
      <w:r>
        <w:rPr>
          <w:szCs w:val="24"/>
        </w:rPr>
        <w:tab/>
      </w:r>
      <w:r w:rsidRPr="00CC37F7">
        <w:rPr>
          <w:rFonts w:ascii="Times New Roman" w:hAnsi="Times New Roman" w:cs="Times New Roman"/>
          <w:sz w:val="24"/>
          <w:szCs w:val="24"/>
        </w:rPr>
        <w:t>vocational</w:t>
      </w:r>
      <w:r>
        <w:rPr>
          <w:szCs w:val="24"/>
        </w:rPr>
        <w:t xml:space="preserve"> </w:t>
      </w:r>
      <w:r w:rsidRPr="00CC37F7">
        <w:rPr>
          <w:rFonts w:ascii="Times New Roman" w:hAnsi="Times New Roman" w:cs="Times New Roman"/>
          <w:sz w:val="24"/>
          <w:szCs w:val="24"/>
        </w:rPr>
        <w:t xml:space="preserve">subject matter in the aquaculture classroom. </w:t>
      </w:r>
      <w:r w:rsidRPr="00CC37F7">
        <w:rPr>
          <w:rFonts w:ascii="Times New Roman" w:hAnsi="Times New Roman" w:cs="Times New Roman"/>
          <w:i/>
          <w:iCs/>
          <w:sz w:val="24"/>
          <w:szCs w:val="24"/>
        </w:rPr>
        <w:t xml:space="preserve">Journal of Agricultural </w:t>
      </w:r>
      <w:r>
        <w:rPr>
          <w:i/>
          <w:iCs/>
          <w:szCs w:val="24"/>
        </w:rPr>
        <w:tab/>
      </w:r>
      <w:r w:rsidRPr="00CC37F7">
        <w:rPr>
          <w:rFonts w:ascii="Times New Roman" w:hAnsi="Times New Roman" w:cs="Times New Roman"/>
          <w:i/>
          <w:iCs/>
          <w:sz w:val="24"/>
          <w:szCs w:val="24"/>
        </w:rPr>
        <w:t>Education, 41</w:t>
      </w:r>
      <w:r w:rsidRPr="00CC37F7">
        <w:rPr>
          <w:rFonts w:ascii="Times New Roman" w:hAnsi="Times New Roman" w:cs="Times New Roman"/>
          <w:sz w:val="24"/>
          <w:szCs w:val="24"/>
        </w:rPr>
        <w:t>(2),</w:t>
      </w:r>
      <w:r>
        <w:rPr>
          <w:szCs w:val="24"/>
        </w:rPr>
        <w:t xml:space="preserve"> </w:t>
      </w:r>
      <w:r w:rsidRPr="00CC37F7">
        <w:rPr>
          <w:rFonts w:ascii="Times New Roman" w:hAnsi="Times New Roman" w:cs="Times New Roman"/>
          <w:sz w:val="24"/>
          <w:szCs w:val="24"/>
        </w:rPr>
        <w:t>54-64. doi:10.5032/jae.2000.0205</w:t>
      </w:r>
    </w:p>
    <w:p w:rsidR="00D67C6E" w:rsidRPr="00CC37F7" w:rsidRDefault="00D67C6E" w:rsidP="00D67C6E">
      <w:pPr>
        <w:pStyle w:val="NoSpacing"/>
        <w:rPr>
          <w:rFonts w:ascii="Times New Roman" w:hAnsi="Times New Roman" w:cs="Times New Roman"/>
          <w:sz w:val="24"/>
          <w:szCs w:val="24"/>
        </w:rPr>
      </w:pPr>
    </w:p>
    <w:p w:rsidR="00D67C6E" w:rsidRPr="00CC37F7" w:rsidRDefault="00D67C6E" w:rsidP="00D67C6E">
      <w:pPr>
        <w:pStyle w:val="NoSpacing"/>
        <w:rPr>
          <w:rFonts w:ascii="Times New Roman" w:hAnsi="Times New Roman" w:cs="Times New Roman"/>
          <w:sz w:val="24"/>
          <w:szCs w:val="24"/>
        </w:rPr>
      </w:pPr>
      <w:proofErr w:type="spellStart"/>
      <w:r w:rsidRPr="00CC37F7">
        <w:rPr>
          <w:rFonts w:ascii="Times New Roman" w:hAnsi="Times New Roman" w:cs="Times New Roman"/>
          <w:sz w:val="24"/>
          <w:szCs w:val="24"/>
        </w:rPr>
        <w:t>Dillman</w:t>
      </w:r>
      <w:proofErr w:type="spellEnd"/>
      <w:r w:rsidRPr="00CC37F7">
        <w:rPr>
          <w:rFonts w:ascii="Times New Roman" w:hAnsi="Times New Roman" w:cs="Times New Roman"/>
          <w:sz w:val="24"/>
          <w:szCs w:val="24"/>
        </w:rPr>
        <w:t xml:space="preserve">, D., Smyth, &amp; Christian, L. (2009). </w:t>
      </w:r>
      <w:r w:rsidRPr="00CC37F7">
        <w:rPr>
          <w:rFonts w:ascii="Times New Roman" w:hAnsi="Times New Roman" w:cs="Times New Roman"/>
          <w:i/>
          <w:sz w:val="24"/>
          <w:szCs w:val="24"/>
        </w:rPr>
        <w:t xml:space="preserve">Internet, mail, and mixed-mode surveys: The </w:t>
      </w:r>
      <w:r w:rsidRPr="00CC37F7">
        <w:rPr>
          <w:rFonts w:ascii="Times New Roman" w:hAnsi="Times New Roman" w:cs="Times New Roman"/>
          <w:i/>
          <w:sz w:val="24"/>
          <w:szCs w:val="24"/>
        </w:rPr>
        <w:tab/>
        <w:t xml:space="preserve">tailored design method, </w:t>
      </w:r>
      <w:r w:rsidRPr="00CC37F7">
        <w:rPr>
          <w:rFonts w:ascii="Times New Roman" w:hAnsi="Times New Roman" w:cs="Times New Roman"/>
          <w:sz w:val="24"/>
          <w:szCs w:val="24"/>
        </w:rPr>
        <w:t xml:space="preserve">New York: Wiley. </w:t>
      </w:r>
    </w:p>
    <w:p w:rsidR="00D67C6E" w:rsidRDefault="00D67C6E" w:rsidP="00D67C6E">
      <w:pPr>
        <w:pStyle w:val="NoSpacing"/>
        <w:rPr>
          <w:szCs w:val="24"/>
        </w:rPr>
      </w:pPr>
    </w:p>
    <w:p w:rsidR="00D67C6E" w:rsidRPr="00CC37F7" w:rsidRDefault="00D67C6E" w:rsidP="00D67C6E">
      <w:pPr>
        <w:pStyle w:val="NoSpacing"/>
        <w:rPr>
          <w:rFonts w:ascii="Times New Roman" w:hAnsi="Times New Roman" w:cs="Times New Roman"/>
          <w:sz w:val="24"/>
          <w:szCs w:val="24"/>
        </w:rPr>
      </w:pPr>
      <w:proofErr w:type="spellStart"/>
      <w:r w:rsidRPr="00CC37F7">
        <w:rPr>
          <w:rFonts w:ascii="Times New Roman" w:hAnsi="Times New Roman" w:cs="Times New Roman"/>
          <w:sz w:val="24"/>
          <w:szCs w:val="24"/>
        </w:rPr>
        <w:t>Murphrey</w:t>
      </w:r>
      <w:proofErr w:type="spellEnd"/>
      <w:r w:rsidRPr="00CC37F7">
        <w:rPr>
          <w:rFonts w:ascii="Times New Roman" w:hAnsi="Times New Roman" w:cs="Times New Roman"/>
          <w:sz w:val="24"/>
          <w:szCs w:val="24"/>
        </w:rPr>
        <w:t xml:space="preserve"> </w:t>
      </w:r>
      <w:proofErr w:type="spellStart"/>
      <w:r w:rsidRPr="00CC37F7">
        <w:rPr>
          <w:rFonts w:ascii="Times New Roman" w:hAnsi="Times New Roman" w:cs="Times New Roman"/>
          <w:sz w:val="24"/>
          <w:szCs w:val="24"/>
        </w:rPr>
        <w:t>Pesl</w:t>
      </w:r>
      <w:proofErr w:type="spellEnd"/>
      <w:r w:rsidRPr="00CC37F7">
        <w:rPr>
          <w:rFonts w:ascii="Times New Roman" w:hAnsi="Times New Roman" w:cs="Times New Roman"/>
          <w:sz w:val="24"/>
          <w:szCs w:val="24"/>
        </w:rPr>
        <w:t xml:space="preserve">, T., Lane, K., </w:t>
      </w:r>
      <w:proofErr w:type="spellStart"/>
      <w:r w:rsidRPr="00CC37F7">
        <w:rPr>
          <w:rFonts w:ascii="Times New Roman" w:hAnsi="Times New Roman" w:cs="Times New Roman"/>
          <w:sz w:val="24"/>
          <w:szCs w:val="24"/>
        </w:rPr>
        <w:t>Harlin</w:t>
      </w:r>
      <w:proofErr w:type="spellEnd"/>
      <w:r w:rsidRPr="00CC37F7">
        <w:rPr>
          <w:rFonts w:ascii="Times New Roman" w:hAnsi="Times New Roman" w:cs="Times New Roman"/>
          <w:sz w:val="24"/>
          <w:szCs w:val="24"/>
        </w:rPr>
        <w:t xml:space="preserve">, J., &amp; Cherry, A. L. (2016). An examination of pre-service </w:t>
      </w:r>
      <w:r>
        <w:rPr>
          <w:szCs w:val="24"/>
        </w:rPr>
        <w:tab/>
      </w:r>
      <w:r w:rsidRPr="00CC37F7">
        <w:rPr>
          <w:rFonts w:ascii="Times New Roman" w:hAnsi="Times New Roman" w:cs="Times New Roman"/>
          <w:sz w:val="24"/>
          <w:szCs w:val="24"/>
        </w:rPr>
        <w:t xml:space="preserve">agricultural science teachers’ interest and participation in international experiences: </w:t>
      </w:r>
      <w:r>
        <w:rPr>
          <w:szCs w:val="24"/>
        </w:rPr>
        <w:tab/>
      </w:r>
      <w:r w:rsidRPr="00CC37F7">
        <w:rPr>
          <w:rFonts w:ascii="Times New Roman" w:hAnsi="Times New Roman" w:cs="Times New Roman"/>
          <w:sz w:val="24"/>
          <w:szCs w:val="24"/>
        </w:rPr>
        <w:t xml:space="preserve">Motivations and barriers. </w:t>
      </w:r>
      <w:r w:rsidRPr="00CC37F7">
        <w:rPr>
          <w:rFonts w:ascii="Times New Roman" w:hAnsi="Times New Roman" w:cs="Times New Roman"/>
          <w:i/>
          <w:sz w:val="24"/>
          <w:szCs w:val="24"/>
        </w:rPr>
        <w:t>Journal of Agricultural Education, 57</w:t>
      </w:r>
      <w:r w:rsidRPr="00CC37F7">
        <w:rPr>
          <w:rFonts w:ascii="Times New Roman" w:hAnsi="Times New Roman" w:cs="Times New Roman"/>
          <w:sz w:val="24"/>
          <w:szCs w:val="24"/>
        </w:rPr>
        <w:t xml:space="preserve">(1), 12-29. </w:t>
      </w:r>
      <w:proofErr w:type="gramStart"/>
      <w:r w:rsidRPr="00CC37F7">
        <w:rPr>
          <w:rFonts w:ascii="Times New Roman" w:hAnsi="Times New Roman" w:cs="Times New Roman"/>
          <w:sz w:val="24"/>
          <w:szCs w:val="24"/>
        </w:rPr>
        <w:t>doi</w:t>
      </w:r>
      <w:proofErr w:type="gramEnd"/>
      <w:r w:rsidRPr="00CC37F7">
        <w:rPr>
          <w:rFonts w:ascii="Times New Roman" w:hAnsi="Times New Roman" w:cs="Times New Roman"/>
          <w:sz w:val="24"/>
          <w:szCs w:val="24"/>
        </w:rPr>
        <w:t xml:space="preserve">: </w:t>
      </w:r>
      <w:r>
        <w:rPr>
          <w:szCs w:val="24"/>
        </w:rPr>
        <w:tab/>
      </w:r>
      <w:r w:rsidRPr="00CC37F7">
        <w:rPr>
          <w:rFonts w:ascii="Times New Roman" w:hAnsi="Times New Roman" w:cs="Times New Roman"/>
          <w:sz w:val="24"/>
          <w:szCs w:val="24"/>
        </w:rPr>
        <w:t>10.5032/jae.2016.01012</w:t>
      </w:r>
    </w:p>
    <w:p w:rsidR="00D67C6E" w:rsidRDefault="00D67C6E" w:rsidP="00D67C6E">
      <w:pPr>
        <w:pStyle w:val="NoSpacing"/>
        <w:rPr>
          <w:szCs w:val="24"/>
        </w:rPr>
      </w:pPr>
    </w:p>
    <w:p w:rsidR="00D67C6E" w:rsidRPr="00CC37F7" w:rsidRDefault="00D67C6E" w:rsidP="00D67C6E">
      <w:pPr>
        <w:pStyle w:val="NoSpacing"/>
        <w:rPr>
          <w:rFonts w:ascii="Times New Roman" w:hAnsi="Times New Roman" w:cs="Times New Roman"/>
          <w:sz w:val="24"/>
          <w:szCs w:val="24"/>
        </w:rPr>
      </w:pPr>
      <w:r w:rsidRPr="00CC37F7">
        <w:rPr>
          <w:rFonts w:ascii="Times New Roman" w:hAnsi="Times New Roman" w:cs="Times New Roman"/>
          <w:color w:val="000000"/>
          <w:sz w:val="24"/>
          <w:szCs w:val="24"/>
        </w:rPr>
        <w:t xml:space="preserve">Myers, B. E., Thoron, A. C., &amp; Thompson, G. W. (2009). Perceptions of the National </w:t>
      </w:r>
      <w:r>
        <w:rPr>
          <w:color w:val="000000"/>
          <w:szCs w:val="24"/>
        </w:rPr>
        <w:tab/>
      </w:r>
      <w:r w:rsidRPr="00CC37F7">
        <w:rPr>
          <w:rFonts w:ascii="Times New Roman" w:hAnsi="Times New Roman" w:cs="Times New Roman"/>
          <w:color w:val="000000"/>
          <w:sz w:val="24"/>
          <w:szCs w:val="24"/>
        </w:rPr>
        <w:t xml:space="preserve">Agriscience Teacher Ambassador Academy toward integrating science into school–based </w:t>
      </w:r>
      <w:r>
        <w:rPr>
          <w:color w:val="000000"/>
          <w:szCs w:val="24"/>
        </w:rPr>
        <w:tab/>
      </w:r>
      <w:r w:rsidRPr="00CC37F7">
        <w:rPr>
          <w:rFonts w:ascii="Times New Roman" w:hAnsi="Times New Roman" w:cs="Times New Roman"/>
          <w:color w:val="000000"/>
          <w:sz w:val="24"/>
          <w:szCs w:val="24"/>
        </w:rPr>
        <w:t xml:space="preserve">agricultural education curriculum. </w:t>
      </w:r>
      <w:r w:rsidRPr="00CC37F7">
        <w:rPr>
          <w:rFonts w:ascii="Times New Roman" w:hAnsi="Times New Roman" w:cs="Times New Roman"/>
          <w:i/>
          <w:iCs/>
          <w:color w:val="000000"/>
          <w:sz w:val="24"/>
          <w:szCs w:val="24"/>
        </w:rPr>
        <w:t>Journal of Agricultural Education, 50</w:t>
      </w:r>
      <w:r w:rsidRPr="00CC37F7">
        <w:rPr>
          <w:rFonts w:ascii="Times New Roman" w:hAnsi="Times New Roman" w:cs="Times New Roman"/>
          <w:color w:val="000000"/>
          <w:sz w:val="24"/>
          <w:szCs w:val="24"/>
        </w:rPr>
        <w:t xml:space="preserve">(4), 120-133. </w:t>
      </w:r>
      <w:r>
        <w:rPr>
          <w:color w:val="000000"/>
          <w:szCs w:val="24"/>
        </w:rPr>
        <w:tab/>
      </w:r>
      <w:r w:rsidRPr="00CC37F7">
        <w:rPr>
          <w:rFonts w:ascii="Times New Roman" w:hAnsi="Times New Roman" w:cs="Times New Roman"/>
          <w:color w:val="000000"/>
          <w:sz w:val="24"/>
          <w:szCs w:val="24"/>
        </w:rPr>
        <w:t>doi:10.5032/jae.2010.02070</w:t>
      </w:r>
    </w:p>
    <w:p w:rsidR="00D67C6E" w:rsidRDefault="00D67C6E" w:rsidP="00D67C6E">
      <w:pPr>
        <w:pStyle w:val="NoSpacing"/>
        <w:rPr>
          <w:szCs w:val="24"/>
        </w:rPr>
      </w:pPr>
    </w:p>
    <w:p w:rsidR="00D67C6E" w:rsidRPr="00CC37F7" w:rsidRDefault="00D67C6E" w:rsidP="00D67C6E">
      <w:pPr>
        <w:pStyle w:val="NoSpacing"/>
        <w:rPr>
          <w:rFonts w:ascii="Times New Roman" w:hAnsi="Times New Roman" w:cs="Times New Roman"/>
          <w:sz w:val="24"/>
          <w:szCs w:val="24"/>
        </w:rPr>
      </w:pPr>
      <w:r w:rsidRPr="00CC37F7">
        <w:rPr>
          <w:rFonts w:ascii="Times New Roman" w:hAnsi="Times New Roman" w:cs="Times New Roman"/>
          <w:sz w:val="24"/>
          <w:szCs w:val="24"/>
        </w:rPr>
        <w:t xml:space="preserve">Parr, B. A., Edwards, M. C., &amp; </w:t>
      </w:r>
      <w:proofErr w:type="spellStart"/>
      <w:r w:rsidRPr="00CC37F7">
        <w:rPr>
          <w:rFonts w:ascii="Times New Roman" w:hAnsi="Times New Roman" w:cs="Times New Roman"/>
          <w:sz w:val="24"/>
          <w:szCs w:val="24"/>
        </w:rPr>
        <w:t>Leising</w:t>
      </w:r>
      <w:proofErr w:type="spellEnd"/>
      <w:r w:rsidRPr="00CC37F7">
        <w:rPr>
          <w:rFonts w:ascii="Times New Roman" w:hAnsi="Times New Roman" w:cs="Times New Roman"/>
          <w:sz w:val="24"/>
          <w:szCs w:val="24"/>
        </w:rPr>
        <w:t>, J. (2006). Effects of a math-enhanced curriculum and</w:t>
      </w:r>
    </w:p>
    <w:p w:rsidR="00D67C6E" w:rsidRPr="00CC37F7" w:rsidRDefault="00D67C6E" w:rsidP="00D67C6E">
      <w:pPr>
        <w:pStyle w:val="NoSpacing"/>
        <w:rPr>
          <w:rFonts w:ascii="Times New Roman" w:hAnsi="Times New Roman" w:cs="Times New Roman"/>
          <w:sz w:val="24"/>
          <w:szCs w:val="24"/>
        </w:rPr>
      </w:pPr>
      <w:r>
        <w:rPr>
          <w:szCs w:val="24"/>
        </w:rPr>
        <w:tab/>
      </w:r>
      <w:proofErr w:type="gramStart"/>
      <w:r w:rsidRPr="00CC37F7">
        <w:rPr>
          <w:rFonts w:ascii="Times New Roman" w:hAnsi="Times New Roman" w:cs="Times New Roman"/>
          <w:sz w:val="24"/>
          <w:szCs w:val="24"/>
        </w:rPr>
        <w:t>instructional</w:t>
      </w:r>
      <w:proofErr w:type="gramEnd"/>
      <w:r w:rsidRPr="00CC37F7">
        <w:rPr>
          <w:rFonts w:ascii="Times New Roman" w:hAnsi="Times New Roman" w:cs="Times New Roman"/>
          <w:sz w:val="24"/>
          <w:szCs w:val="24"/>
        </w:rPr>
        <w:t xml:space="preserve"> approach on the mathematics achievement of agricultural power and</w:t>
      </w:r>
    </w:p>
    <w:p w:rsidR="00D67C6E" w:rsidRPr="00CC37F7" w:rsidRDefault="00D67C6E" w:rsidP="00D67C6E">
      <w:pPr>
        <w:pStyle w:val="NoSpacing"/>
        <w:rPr>
          <w:rFonts w:ascii="Times New Roman" w:hAnsi="Times New Roman" w:cs="Times New Roman"/>
          <w:sz w:val="24"/>
          <w:szCs w:val="24"/>
        </w:rPr>
      </w:pPr>
      <w:r>
        <w:rPr>
          <w:szCs w:val="24"/>
        </w:rPr>
        <w:tab/>
      </w:r>
      <w:proofErr w:type="gramStart"/>
      <w:r w:rsidRPr="00CC37F7">
        <w:rPr>
          <w:rFonts w:ascii="Times New Roman" w:hAnsi="Times New Roman" w:cs="Times New Roman"/>
          <w:sz w:val="24"/>
          <w:szCs w:val="24"/>
        </w:rPr>
        <w:t>technology</w:t>
      </w:r>
      <w:proofErr w:type="gramEnd"/>
      <w:r w:rsidRPr="00CC37F7">
        <w:rPr>
          <w:rFonts w:ascii="Times New Roman" w:hAnsi="Times New Roman" w:cs="Times New Roman"/>
          <w:sz w:val="24"/>
          <w:szCs w:val="24"/>
        </w:rPr>
        <w:t xml:space="preserve"> students: An experimental study. </w:t>
      </w:r>
      <w:r w:rsidRPr="00CC37F7">
        <w:rPr>
          <w:rFonts w:ascii="Times New Roman" w:hAnsi="Times New Roman" w:cs="Times New Roman"/>
          <w:i/>
          <w:iCs/>
          <w:sz w:val="24"/>
          <w:szCs w:val="24"/>
        </w:rPr>
        <w:t>Journal of Agricultural Education, 47</w:t>
      </w:r>
      <w:r w:rsidRPr="00CC37F7">
        <w:rPr>
          <w:rFonts w:ascii="Times New Roman" w:hAnsi="Times New Roman" w:cs="Times New Roman"/>
          <w:sz w:val="24"/>
          <w:szCs w:val="24"/>
        </w:rPr>
        <w:t>(3),</w:t>
      </w:r>
    </w:p>
    <w:p w:rsidR="00D67C6E" w:rsidRPr="00CC37F7" w:rsidRDefault="00D67C6E" w:rsidP="00D67C6E">
      <w:pPr>
        <w:pStyle w:val="NoSpacing"/>
        <w:rPr>
          <w:rFonts w:ascii="Times New Roman" w:hAnsi="Times New Roman" w:cs="Times New Roman"/>
          <w:sz w:val="24"/>
          <w:szCs w:val="24"/>
        </w:rPr>
      </w:pPr>
      <w:r>
        <w:rPr>
          <w:szCs w:val="24"/>
        </w:rPr>
        <w:tab/>
      </w:r>
      <w:r w:rsidRPr="00CC37F7">
        <w:rPr>
          <w:rFonts w:ascii="Times New Roman" w:hAnsi="Times New Roman" w:cs="Times New Roman"/>
          <w:sz w:val="24"/>
          <w:szCs w:val="24"/>
        </w:rPr>
        <w:t>81-93. doi:10.5032/jae.2006.03081</w:t>
      </w:r>
    </w:p>
    <w:p w:rsidR="00D67C6E" w:rsidRPr="00CC37F7" w:rsidRDefault="00D67C6E" w:rsidP="00D67C6E">
      <w:pPr>
        <w:pStyle w:val="NoSpacing"/>
        <w:rPr>
          <w:rFonts w:ascii="Times New Roman" w:hAnsi="Times New Roman" w:cs="Times New Roman"/>
          <w:sz w:val="24"/>
          <w:szCs w:val="24"/>
        </w:rPr>
      </w:pPr>
    </w:p>
    <w:p w:rsidR="00D67C6E" w:rsidRPr="00CC37F7" w:rsidRDefault="00D67C6E" w:rsidP="00D67C6E">
      <w:pPr>
        <w:pStyle w:val="NoSpacing"/>
        <w:rPr>
          <w:rFonts w:ascii="Times New Roman" w:hAnsi="Times New Roman" w:cs="Times New Roman"/>
          <w:sz w:val="24"/>
          <w:szCs w:val="24"/>
        </w:rPr>
      </w:pPr>
      <w:r w:rsidRPr="00CC37F7">
        <w:rPr>
          <w:rFonts w:ascii="Times New Roman" w:hAnsi="Times New Roman" w:cs="Times New Roman"/>
          <w:sz w:val="24"/>
          <w:szCs w:val="24"/>
        </w:rPr>
        <w:t>Ricketts, J. C., Duncan, D. W., &amp; Peake, J. B. (2006). Science achievement of high school</w:t>
      </w:r>
    </w:p>
    <w:p w:rsidR="00D67C6E" w:rsidRPr="00CC37F7" w:rsidRDefault="00D67C6E" w:rsidP="00D67C6E">
      <w:pPr>
        <w:pStyle w:val="NoSpacing"/>
        <w:rPr>
          <w:rFonts w:ascii="Times New Roman" w:hAnsi="Times New Roman" w:cs="Times New Roman"/>
          <w:i/>
          <w:iCs/>
          <w:sz w:val="24"/>
          <w:szCs w:val="24"/>
        </w:rPr>
      </w:pPr>
      <w:r>
        <w:rPr>
          <w:szCs w:val="24"/>
        </w:rPr>
        <w:tab/>
      </w:r>
      <w:proofErr w:type="gramStart"/>
      <w:r w:rsidRPr="00CC37F7">
        <w:rPr>
          <w:rFonts w:ascii="Times New Roman" w:hAnsi="Times New Roman" w:cs="Times New Roman"/>
          <w:sz w:val="24"/>
          <w:szCs w:val="24"/>
        </w:rPr>
        <w:t>students</w:t>
      </w:r>
      <w:proofErr w:type="gramEnd"/>
      <w:r w:rsidRPr="00CC37F7">
        <w:rPr>
          <w:rFonts w:ascii="Times New Roman" w:hAnsi="Times New Roman" w:cs="Times New Roman"/>
          <w:sz w:val="24"/>
          <w:szCs w:val="24"/>
        </w:rPr>
        <w:t xml:space="preserve"> in complete programs of agriscience education. </w:t>
      </w:r>
      <w:r w:rsidRPr="00CC37F7">
        <w:rPr>
          <w:rFonts w:ascii="Times New Roman" w:hAnsi="Times New Roman" w:cs="Times New Roman"/>
          <w:i/>
          <w:iCs/>
          <w:sz w:val="24"/>
          <w:szCs w:val="24"/>
        </w:rPr>
        <w:t>Journal of Agricultural</w:t>
      </w:r>
    </w:p>
    <w:p w:rsidR="00D67C6E" w:rsidRPr="00CC37F7" w:rsidRDefault="00D67C6E" w:rsidP="00D67C6E">
      <w:pPr>
        <w:pStyle w:val="NoSpacing"/>
        <w:rPr>
          <w:rFonts w:ascii="Times New Roman" w:hAnsi="Times New Roman" w:cs="Times New Roman"/>
          <w:sz w:val="24"/>
          <w:szCs w:val="24"/>
        </w:rPr>
      </w:pPr>
      <w:r>
        <w:rPr>
          <w:i/>
          <w:iCs/>
          <w:szCs w:val="24"/>
        </w:rPr>
        <w:tab/>
      </w:r>
      <w:r w:rsidRPr="00CC37F7">
        <w:rPr>
          <w:rFonts w:ascii="Times New Roman" w:hAnsi="Times New Roman" w:cs="Times New Roman"/>
          <w:i/>
          <w:iCs/>
          <w:sz w:val="24"/>
          <w:szCs w:val="24"/>
        </w:rPr>
        <w:t>Education, 47</w:t>
      </w:r>
      <w:r w:rsidRPr="00CC37F7">
        <w:rPr>
          <w:rFonts w:ascii="Times New Roman" w:hAnsi="Times New Roman" w:cs="Times New Roman"/>
          <w:sz w:val="24"/>
          <w:szCs w:val="24"/>
        </w:rPr>
        <w:t>(2), 48-56. doi:10.5032/jae.2006.02048</w:t>
      </w:r>
    </w:p>
    <w:p w:rsidR="00D67C6E" w:rsidRPr="00CC37F7" w:rsidRDefault="00D67C6E" w:rsidP="00D67C6E">
      <w:pPr>
        <w:pStyle w:val="NoSpacing"/>
        <w:rPr>
          <w:rFonts w:ascii="Times New Roman" w:hAnsi="Times New Roman" w:cs="Times New Roman"/>
          <w:sz w:val="24"/>
          <w:szCs w:val="24"/>
        </w:rPr>
      </w:pPr>
    </w:p>
    <w:p w:rsidR="007926D5" w:rsidRDefault="007926D5" w:rsidP="00D67C6E">
      <w:pPr>
        <w:pStyle w:val="NoSpacing"/>
        <w:rPr>
          <w:rFonts w:ascii="Times New Roman" w:hAnsi="Times New Roman" w:cs="Times New Roman"/>
          <w:sz w:val="24"/>
        </w:rPr>
      </w:pPr>
    </w:p>
    <w:p w:rsidR="007926D5" w:rsidRDefault="007926D5" w:rsidP="00D67C6E">
      <w:pPr>
        <w:pStyle w:val="NoSpacing"/>
        <w:rPr>
          <w:rFonts w:ascii="Times New Roman" w:hAnsi="Times New Roman" w:cs="Times New Roman"/>
          <w:sz w:val="24"/>
        </w:rPr>
      </w:pPr>
    </w:p>
    <w:p w:rsidR="007926D5" w:rsidRDefault="007926D5" w:rsidP="00D67C6E">
      <w:pPr>
        <w:pStyle w:val="NoSpacing"/>
        <w:rPr>
          <w:rFonts w:ascii="Times New Roman" w:hAnsi="Times New Roman" w:cs="Times New Roman"/>
          <w:sz w:val="24"/>
        </w:rPr>
      </w:pPr>
    </w:p>
    <w:p w:rsidR="007926D5" w:rsidRDefault="007926D5" w:rsidP="00D67C6E">
      <w:pPr>
        <w:pStyle w:val="NoSpacing"/>
        <w:rPr>
          <w:rFonts w:ascii="Times New Roman" w:hAnsi="Times New Roman" w:cs="Times New Roman"/>
          <w:sz w:val="24"/>
        </w:rPr>
      </w:pPr>
    </w:p>
    <w:p w:rsidR="00D67C6E" w:rsidRPr="00D67C6E" w:rsidRDefault="00D67C6E" w:rsidP="00D67C6E">
      <w:pPr>
        <w:pStyle w:val="NoSpacing"/>
        <w:rPr>
          <w:rFonts w:ascii="Times New Roman" w:hAnsi="Times New Roman" w:cs="Times New Roman"/>
          <w:sz w:val="24"/>
        </w:rPr>
      </w:pPr>
      <w:r w:rsidRPr="00D67C6E">
        <w:rPr>
          <w:rFonts w:ascii="Times New Roman" w:hAnsi="Times New Roman" w:cs="Times New Roman"/>
          <w:sz w:val="24"/>
        </w:rPr>
        <w:lastRenderedPageBreak/>
        <w:t xml:space="preserve">Stripling, C. T., &amp; Ricketts, J. C. (2016). Research priority 3: Sufficient scientific and </w:t>
      </w:r>
      <w:r w:rsidRPr="00D67C6E">
        <w:rPr>
          <w:rFonts w:ascii="Times New Roman" w:hAnsi="Times New Roman" w:cs="Times New Roman"/>
          <w:sz w:val="24"/>
        </w:rPr>
        <w:tab/>
        <w:t xml:space="preserve">professional workforce that addresses the challenges of the 21st century. In T. G. </w:t>
      </w:r>
      <w:r w:rsidRPr="00D67C6E">
        <w:rPr>
          <w:rFonts w:ascii="Times New Roman" w:hAnsi="Times New Roman" w:cs="Times New Roman"/>
          <w:sz w:val="24"/>
        </w:rPr>
        <w:tab/>
        <w:t xml:space="preserve">Roberts, A. Harder, M. T. </w:t>
      </w:r>
      <w:proofErr w:type="spellStart"/>
      <w:r w:rsidRPr="00D67C6E">
        <w:rPr>
          <w:rFonts w:ascii="Times New Roman" w:hAnsi="Times New Roman" w:cs="Times New Roman"/>
          <w:sz w:val="24"/>
        </w:rPr>
        <w:t>Brashears</w:t>
      </w:r>
      <w:proofErr w:type="spellEnd"/>
      <w:r w:rsidRPr="00D67C6E">
        <w:rPr>
          <w:rFonts w:ascii="Times New Roman" w:hAnsi="Times New Roman" w:cs="Times New Roman"/>
          <w:sz w:val="24"/>
        </w:rPr>
        <w:t xml:space="preserve"> (Eds.), </w:t>
      </w:r>
      <w:r w:rsidRPr="00D67C6E">
        <w:rPr>
          <w:rFonts w:ascii="Times New Roman" w:hAnsi="Times New Roman" w:cs="Times New Roman"/>
          <w:i/>
          <w:sz w:val="24"/>
        </w:rPr>
        <w:t xml:space="preserve">American Association for Agricultural </w:t>
      </w:r>
      <w:r w:rsidRPr="00D67C6E">
        <w:rPr>
          <w:rFonts w:ascii="Times New Roman" w:hAnsi="Times New Roman" w:cs="Times New Roman"/>
          <w:i/>
          <w:sz w:val="24"/>
        </w:rPr>
        <w:tab/>
        <w:t xml:space="preserve">Education national research agenda: 2016-2020 </w:t>
      </w:r>
      <w:r w:rsidRPr="00D67C6E">
        <w:rPr>
          <w:rFonts w:ascii="Times New Roman" w:hAnsi="Times New Roman" w:cs="Times New Roman"/>
          <w:sz w:val="24"/>
        </w:rPr>
        <w:t xml:space="preserve">(pp. 29-36). Gainesville, FL: </w:t>
      </w:r>
      <w:r w:rsidRPr="00D67C6E">
        <w:rPr>
          <w:rFonts w:ascii="Times New Roman" w:hAnsi="Times New Roman" w:cs="Times New Roman"/>
          <w:sz w:val="24"/>
        </w:rPr>
        <w:tab/>
        <w:t>Department of Agricultural Education and Communication.</w:t>
      </w:r>
    </w:p>
    <w:p w:rsidR="00D67C6E" w:rsidRDefault="00D67C6E" w:rsidP="00D67C6E">
      <w:pPr>
        <w:pStyle w:val="NoSpacing"/>
        <w:rPr>
          <w:rFonts w:ascii="Times New Roman" w:hAnsi="Times New Roman" w:cs="Times New Roman"/>
          <w:sz w:val="24"/>
          <w:szCs w:val="24"/>
        </w:rPr>
      </w:pPr>
    </w:p>
    <w:p w:rsidR="00D67C6E" w:rsidRPr="00CC37F7" w:rsidRDefault="00D67C6E" w:rsidP="00D67C6E">
      <w:pPr>
        <w:pStyle w:val="NoSpacing"/>
        <w:rPr>
          <w:rFonts w:ascii="Times New Roman" w:hAnsi="Times New Roman" w:cs="Times New Roman"/>
          <w:sz w:val="24"/>
          <w:szCs w:val="24"/>
        </w:rPr>
      </w:pPr>
      <w:r w:rsidRPr="00CC37F7">
        <w:rPr>
          <w:rFonts w:ascii="Times New Roman" w:hAnsi="Times New Roman" w:cs="Times New Roman"/>
          <w:sz w:val="24"/>
          <w:szCs w:val="24"/>
        </w:rPr>
        <w:t xml:space="preserve">Stubbs, E. A., &amp; Myers, B. E. (2016). Part of what we do: Teacher perceptions of STEM </w:t>
      </w:r>
      <w:r>
        <w:rPr>
          <w:szCs w:val="24"/>
        </w:rPr>
        <w:tab/>
      </w:r>
      <w:r w:rsidRPr="00CC37F7">
        <w:rPr>
          <w:rFonts w:ascii="Times New Roman" w:hAnsi="Times New Roman" w:cs="Times New Roman"/>
          <w:sz w:val="24"/>
          <w:szCs w:val="24"/>
        </w:rPr>
        <w:t xml:space="preserve">integration. Journal of Agricultural Education, 57(3), 87-100. </w:t>
      </w:r>
      <w:proofErr w:type="gramStart"/>
      <w:r w:rsidRPr="00CC37F7">
        <w:rPr>
          <w:rFonts w:ascii="Times New Roman" w:hAnsi="Times New Roman" w:cs="Times New Roman"/>
          <w:sz w:val="24"/>
          <w:szCs w:val="24"/>
        </w:rPr>
        <w:t>doi</w:t>
      </w:r>
      <w:proofErr w:type="gramEnd"/>
      <w:r w:rsidRPr="00CC37F7">
        <w:rPr>
          <w:rFonts w:ascii="Times New Roman" w:hAnsi="Times New Roman" w:cs="Times New Roman"/>
          <w:sz w:val="24"/>
          <w:szCs w:val="24"/>
        </w:rPr>
        <w:t xml:space="preserve">: </w:t>
      </w:r>
      <w:r>
        <w:rPr>
          <w:szCs w:val="24"/>
        </w:rPr>
        <w:tab/>
      </w:r>
      <w:r w:rsidRPr="00CC37F7">
        <w:rPr>
          <w:rFonts w:ascii="Times New Roman" w:hAnsi="Times New Roman" w:cs="Times New Roman"/>
          <w:sz w:val="24"/>
          <w:szCs w:val="24"/>
        </w:rPr>
        <w:t>10.5032/jae.2016.03087</w:t>
      </w:r>
    </w:p>
    <w:p w:rsidR="0084446B" w:rsidRPr="0084446B" w:rsidRDefault="0084446B" w:rsidP="0084446B">
      <w:pPr>
        <w:pStyle w:val="NoSpacing"/>
        <w:rPr>
          <w:rFonts w:ascii="Times New Roman" w:hAnsi="Times New Roman" w:cs="Times New Roman"/>
          <w:sz w:val="24"/>
        </w:rPr>
      </w:pPr>
    </w:p>
    <w:sectPr w:rsidR="0084446B" w:rsidRPr="0084446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59E" w:rsidRDefault="00D6559E" w:rsidP="00D6559E">
      <w:pPr>
        <w:spacing w:after="0" w:line="240" w:lineRule="auto"/>
      </w:pPr>
      <w:r>
        <w:separator/>
      </w:r>
    </w:p>
  </w:endnote>
  <w:endnote w:type="continuationSeparator" w:id="0">
    <w:p w:rsidR="00D6559E" w:rsidRDefault="00D6559E" w:rsidP="00D65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59E" w:rsidRDefault="00D6559E" w:rsidP="00D6559E">
      <w:pPr>
        <w:spacing w:after="0" w:line="240" w:lineRule="auto"/>
      </w:pPr>
      <w:r>
        <w:separator/>
      </w:r>
    </w:p>
  </w:footnote>
  <w:footnote w:type="continuationSeparator" w:id="0">
    <w:p w:rsidR="00D6559E" w:rsidRDefault="00D6559E" w:rsidP="00D65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59E" w:rsidRPr="00D6559E" w:rsidRDefault="00D6559E" w:rsidP="00D6559E">
    <w:pPr>
      <w:pStyle w:val="Header"/>
      <w:jc w:val="right"/>
      <w:rPr>
        <w:rFonts w:ascii="Times New Roman" w:hAnsi="Times New Roman" w:cs="Times New Roman"/>
        <w:b/>
        <w:sz w:val="24"/>
      </w:rPr>
    </w:pPr>
    <w:r>
      <w:rPr>
        <w:rFonts w:ascii="Times New Roman" w:hAnsi="Times New Roman" w:cs="Times New Roman"/>
        <w:b/>
        <w:sz w:val="24"/>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59E"/>
    <w:rsid w:val="001B4AD6"/>
    <w:rsid w:val="00283CA3"/>
    <w:rsid w:val="002B5C7D"/>
    <w:rsid w:val="003F6921"/>
    <w:rsid w:val="00406D66"/>
    <w:rsid w:val="00492549"/>
    <w:rsid w:val="004B73DA"/>
    <w:rsid w:val="006A0001"/>
    <w:rsid w:val="007926D5"/>
    <w:rsid w:val="007C3282"/>
    <w:rsid w:val="0084446B"/>
    <w:rsid w:val="00893152"/>
    <w:rsid w:val="00940960"/>
    <w:rsid w:val="00940D76"/>
    <w:rsid w:val="00CB6140"/>
    <w:rsid w:val="00D4241E"/>
    <w:rsid w:val="00D6559E"/>
    <w:rsid w:val="00D67C6E"/>
    <w:rsid w:val="00DC2D0F"/>
    <w:rsid w:val="00E66A80"/>
    <w:rsid w:val="00F76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4ECB8"/>
  <w15:chartTrackingRefBased/>
  <w15:docId w15:val="{8CD39C1F-D791-4BD1-BFEC-BD835FD8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559E"/>
    <w:pPr>
      <w:spacing w:after="0" w:line="240" w:lineRule="auto"/>
    </w:pPr>
  </w:style>
  <w:style w:type="paragraph" w:styleId="Header">
    <w:name w:val="header"/>
    <w:basedOn w:val="Normal"/>
    <w:link w:val="HeaderChar"/>
    <w:uiPriority w:val="99"/>
    <w:unhideWhenUsed/>
    <w:rsid w:val="00D655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59E"/>
  </w:style>
  <w:style w:type="paragraph" w:styleId="Footer">
    <w:name w:val="footer"/>
    <w:basedOn w:val="Normal"/>
    <w:link w:val="FooterChar"/>
    <w:uiPriority w:val="99"/>
    <w:unhideWhenUsed/>
    <w:rsid w:val="00D655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59E"/>
  </w:style>
  <w:style w:type="table" w:styleId="TableGrid">
    <w:name w:val="Table Grid"/>
    <w:basedOn w:val="TableNormal"/>
    <w:uiPriority w:val="39"/>
    <w:rsid w:val="002B5C7D"/>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4A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eople.umass.edu/aizen/pdf/tpb.intervention.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1433</Words>
  <Characters>8173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Swafford, Marshall</dc:creator>
  <cp:keywords/>
  <dc:description/>
  <cp:lastModifiedBy>Swafford, Marshall</cp:lastModifiedBy>
  <cp:revision>2</cp:revision>
  <cp:lastPrinted>2018-07-02T22:55:00Z</cp:lastPrinted>
  <dcterms:created xsi:type="dcterms:W3CDTF">2018-09-05T02:53:00Z</dcterms:created>
  <dcterms:modified xsi:type="dcterms:W3CDTF">2018-09-05T02:53:00Z</dcterms:modified>
</cp:coreProperties>
</file>