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EAC58" w14:textId="77777777" w:rsidR="000415EB" w:rsidRDefault="000415EB" w:rsidP="000415EB">
      <w:pPr>
        <w:jc w:val="center"/>
        <w:rPr>
          <w:rFonts w:ascii="Times" w:eastAsia="Times" w:hAnsi="Times" w:cs="Times"/>
          <w:b/>
        </w:rPr>
      </w:pPr>
    </w:p>
    <w:p w14:paraId="2BBCDF5D" w14:textId="77777777" w:rsidR="000415EB" w:rsidRDefault="000415EB" w:rsidP="000415EB">
      <w:pPr>
        <w:jc w:val="center"/>
        <w:rPr>
          <w:rFonts w:ascii="Times" w:eastAsia="Times" w:hAnsi="Times" w:cs="Times"/>
          <w:b/>
        </w:rPr>
      </w:pPr>
    </w:p>
    <w:p w14:paraId="155676CD" w14:textId="77777777" w:rsidR="000415EB" w:rsidRDefault="000415EB" w:rsidP="000415EB">
      <w:pPr>
        <w:jc w:val="center"/>
        <w:rPr>
          <w:rFonts w:ascii="Times" w:eastAsia="Times" w:hAnsi="Times" w:cs="Times"/>
          <w:b/>
        </w:rPr>
      </w:pPr>
    </w:p>
    <w:p w14:paraId="47A65AFA" w14:textId="07D1C3F0" w:rsidR="000415EB" w:rsidRDefault="000415EB" w:rsidP="000415EB">
      <w:pPr>
        <w:jc w:val="center"/>
        <w:rPr>
          <w:rFonts w:ascii="Times" w:eastAsia="Times" w:hAnsi="Times" w:cs="Times"/>
          <w:b/>
        </w:rPr>
      </w:pPr>
      <w:r>
        <w:rPr>
          <w:rFonts w:ascii="Times" w:eastAsia="Times" w:hAnsi="Times" w:cs="Times"/>
          <w:b/>
        </w:rPr>
        <w:t>The Exploration of Undergraduate Attitudes and Knowledge about International Agricultural Issues and US Agricultural Policy</w:t>
      </w:r>
    </w:p>
    <w:p w14:paraId="241B555B" w14:textId="77777777" w:rsidR="000415EB" w:rsidRDefault="000415EB" w:rsidP="000E2B35">
      <w:pPr>
        <w:pStyle w:val="BodyText"/>
        <w:spacing w:line="275" w:lineRule="exact"/>
        <w:ind w:left="100" w:right="76"/>
        <w:jc w:val="center"/>
      </w:pPr>
    </w:p>
    <w:p w14:paraId="62B8246D" w14:textId="23F90AAD" w:rsidR="000E2B35" w:rsidRDefault="000E2B35" w:rsidP="000E2B35">
      <w:pPr>
        <w:pStyle w:val="BodyText"/>
        <w:spacing w:line="275" w:lineRule="exact"/>
        <w:ind w:left="100" w:right="76"/>
        <w:jc w:val="center"/>
      </w:pPr>
      <w:r>
        <w:t>Megan Gould, Dr. Jack Elliot</w:t>
      </w:r>
    </w:p>
    <w:p w14:paraId="25B4DFF6" w14:textId="7CC3E07C" w:rsidR="000415EB" w:rsidRDefault="000415EB" w:rsidP="000E2B35">
      <w:pPr>
        <w:pStyle w:val="BodyText"/>
        <w:spacing w:line="275" w:lineRule="exact"/>
        <w:ind w:left="100" w:right="88"/>
        <w:jc w:val="center"/>
      </w:pPr>
      <w:r>
        <w:t>Department of Agricultural Leadership, Education, and Communications</w:t>
      </w:r>
    </w:p>
    <w:p w14:paraId="27B1CDAF" w14:textId="6B2C8345" w:rsidR="000415EB" w:rsidRDefault="000E2B35" w:rsidP="000E2B35">
      <w:pPr>
        <w:pStyle w:val="BodyText"/>
        <w:spacing w:line="275" w:lineRule="exact"/>
        <w:ind w:left="100" w:right="88"/>
        <w:jc w:val="center"/>
      </w:pPr>
      <w:r>
        <w:t xml:space="preserve">Texas A&amp;M University, </w:t>
      </w:r>
    </w:p>
    <w:p w14:paraId="4D5A4396" w14:textId="10159996" w:rsidR="000E2B35" w:rsidRDefault="000E2B35" w:rsidP="000E2B35">
      <w:pPr>
        <w:pStyle w:val="BodyText"/>
        <w:spacing w:line="275" w:lineRule="exact"/>
        <w:ind w:left="100" w:right="88"/>
        <w:jc w:val="center"/>
      </w:pPr>
      <w:r>
        <w:t xml:space="preserve">Norman Borlaug Institute for International Agriculture </w:t>
      </w:r>
      <w:r w:rsidR="000415EB">
        <w:t xml:space="preserve">and </w:t>
      </w:r>
      <w:r>
        <w:t>Development</w:t>
      </w:r>
    </w:p>
    <w:p w14:paraId="1ADFB11A" w14:textId="77777777" w:rsidR="000E2B35" w:rsidRDefault="000E2B35" w:rsidP="000E2B35">
      <w:pPr>
        <w:pStyle w:val="BodyText"/>
        <w:spacing w:before="10"/>
        <w:rPr>
          <w:sz w:val="23"/>
        </w:rPr>
      </w:pPr>
    </w:p>
    <w:p w14:paraId="129A0399" w14:textId="77777777" w:rsidR="000E2B35" w:rsidRDefault="000E2B35" w:rsidP="000E2B35">
      <w:pPr>
        <w:pStyle w:val="BodyText"/>
        <w:ind w:left="3396" w:right="3371"/>
        <w:jc w:val="center"/>
      </w:pPr>
      <w:r>
        <w:t xml:space="preserve">Dr. Cailtin </w:t>
      </w:r>
      <w:proofErr w:type="spellStart"/>
      <w:r>
        <w:t>Bletscher</w:t>
      </w:r>
      <w:proofErr w:type="spellEnd"/>
      <w:r>
        <w:t xml:space="preserve"> Washington State University</w:t>
      </w:r>
    </w:p>
    <w:p w14:paraId="3988AD32" w14:textId="77777777" w:rsidR="000E2B35" w:rsidRDefault="000E2B35" w:rsidP="000E2B35">
      <w:pPr>
        <w:pStyle w:val="BodyText"/>
        <w:spacing w:before="2"/>
      </w:pPr>
    </w:p>
    <w:p w14:paraId="4B691BDF" w14:textId="77777777" w:rsidR="000E2B35" w:rsidRDefault="000E2B35" w:rsidP="000E2B35">
      <w:pPr>
        <w:pStyle w:val="BodyText"/>
        <w:ind w:left="3756" w:right="3732"/>
        <w:jc w:val="center"/>
      </w:pPr>
      <w:r>
        <w:t xml:space="preserve">Dr. </w:t>
      </w:r>
      <w:proofErr w:type="spellStart"/>
      <w:r>
        <w:t>Shuyang</w:t>
      </w:r>
      <w:proofErr w:type="spellEnd"/>
      <w:r>
        <w:t xml:space="preserve"> Qu Iowa State</w:t>
      </w:r>
      <w:r>
        <w:rPr>
          <w:spacing w:val="7"/>
        </w:rPr>
        <w:t xml:space="preserve"> </w:t>
      </w:r>
      <w:r>
        <w:rPr>
          <w:spacing w:val="-3"/>
        </w:rPr>
        <w:t>University</w:t>
      </w:r>
    </w:p>
    <w:p w14:paraId="08BF1C96" w14:textId="1A5F2982" w:rsidR="000E2B35" w:rsidRDefault="000E2B35">
      <w:pPr>
        <w:rPr>
          <w:rFonts w:ascii="Times" w:eastAsia="Times" w:hAnsi="Times" w:cs="Times"/>
          <w:b/>
        </w:rPr>
      </w:pPr>
    </w:p>
    <w:p w14:paraId="3A1DF236" w14:textId="77777777" w:rsidR="000E2B35" w:rsidRDefault="000E2B35">
      <w:pPr>
        <w:rPr>
          <w:rFonts w:ascii="Times" w:eastAsia="Times" w:hAnsi="Times" w:cs="Times"/>
          <w:b/>
        </w:rPr>
      </w:pPr>
      <w:r>
        <w:rPr>
          <w:rFonts w:ascii="Times" w:eastAsia="Times" w:hAnsi="Times" w:cs="Times"/>
          <w:b/>
        </w:rPr>
        <w:br w:type="page"/>
      </w:r>
    </w:p>
    <w:p w14:paraId="0F99D580" w14:textId="32E9458D" w:rsidR="000F0427" w:rsidRDefault="009B3DDE" w:rsidP="009D47B6">
      <w:pPr>
        <w:jc w:val="center"/>
        <w:rPr>
          <w:rFonts w:ascii="Times" w:eastAsia="Times" w:hAnsi="Times" w:cs="Times"/>
          <w:b/>
        </w:rPr>
      </w:pPr>
      <w:r>
        <w:rPr>
          <w:rFonts w:ascii="Times" w:eastAsia="Times" w:hAnsi="Times" w:cs="Times"/>
          <w:b/>
        </w:rPr>
        <w:lastRenderedPageBreak/>
        <w:t>The Exploration of Undergraduate Attitudes and Knowledge about International Agricultural Issues and US Agricultural Policy</w:t>
      </w:r>
    </w:p>
    <w:p w14:paraId="1BA053D6" w14:textId="77777777" w:rsidR="000F0427" w:rsidRDefault="000F0427" w:rsidP="003F0A4F">
      <w:pPr>
        <w:jc w:val="center"/>
        <w:rPr>
          <w:b/>
        </w:rPr>
      </w:pPr>
    </w:p>
    <w:p w14:paraId="71A43959" w14:textId="1C64AF81" w:rsidR="0068173A" w:rsidRPr="00DD1FC0" w:rsidRDefault="009B3DDE" w:rsidP="00DD1FC0">
      <w:pPr>
        <w:jc w:val="center"/>
        <w:rPr>
          <w:b/>
        </w:rPr>
      </w:pPr>
      <w:r>
        <w:rPr>
          <w:b/>
        </w:rPr>
        <w:t>Introduction</w:t>
      </w:r>
    </w:p>
    <w:p w14:paraId="1E84C691" w14:textId="32121EF3" w:rsidR="000F0427" w:rsidRDefault="009B3DDE" w:rsidP="00DD1FC0">
      <w:r>
        <w:t>In today’s globalized world, it becomes essential for undergraduate agricultural students to develop a sound understanding of global agricultural issues and policy. Such understanding is critical, as employers are looking to hire graduates with the skills and competencies to thrive in the global workplace</w:t>
      </w:r>
      <w:r w:rsidR="0068173A">
        <w:t xml:space="preserve">. Competencies include; </w:t>
      </w:r>
      <w:r>
        <w:t xml:space="preserve">working effectively across differing cultures, acknowledging the issues affecting our global agricultural industry (Irani et al., 2006), thinking with global perspectives, awareness, and citizenship, and understanding our international markets (Bruening &amp; Frick, 2004; Morgan &amp; King, 2013). Therefore, many United States (US) agricultural institutions of higher education have established missions and/or curricular programming to increase students’ global awareness and competencies </w:t>
      </w:r>
      <w:r w:rsidR="00E63CFE">
        <w:t xml:space="preserve">such as the Cultural Competency Certificate at Texas A&amp;M University </w:t>
      </w:r>
      <w:r>
        <w:t>(Moriba &amp; Edwards, 2015).</w:t>
      </w:r>
    </w:p>
    <w:p w14:paraId="6BA28271" w14:textId="77777777" w:rsidR="00DD1FC0" w:rsidRDefault="00DD1FC0" w:rsidP="00DD1FC0"/>
    <w:p w14:paraId="66C25841" w14:textId="5DADB26A" w:rsidR="000F0427" w:rsidRDefault="009B3DDE" w:rsidP="00DD1FC0">
      <w:r>
        <w:t xml:space="preserve">The question has been raised about whether undergraduate students have sufficient understanding of global issues and agricultural policy to make a meaningful impact on the world’s critical agricultural and food issues (Wingenbach et al., 2003). Researchers have called educators to bring a heightened awareness of our globally, interconnected society into the classroom (Morgan &amp; King, 2013). Although undergraduate students acknowledge the importance of global awareness and understanding in their future careers (Page &amp; Williams, 2001), research has shown that students in US Colleges of Agriculture lack knowledge in international agricultural policies, practices, products, people, and cultures (Morgan &amp; King, 2013). While efforts to internationalize institutions of higher education vary significantly by university (Estes et al., 2016), US Colleges of Agriculture are continually looking for ways to best integrate global issues, policy, and cultures into their curriculum. </w:t>
      </w:r>
    </w:p>
    <w:p w14:paraId="6072BAD3" w14:textId="77777777" w:rsidR="00DD1FC0" w:rsidRDefault="00DD1FC0" w:rsidP="00DD1FC0"/>
    <w:p w14:paraId="48C09C91" w14:textId="54732581" w:rsidR="000F0427" w:rsidRDefault="009B3DDE" w:rsidP="00DD1FC0">
      <w:pPr>
        <w:rPr>
          <w:b/>
        </w:rPr>
      </w:pPr>
      <w:r>
        <w:t>Few studies have examined the impact of international experiences on students’ knowledge and attitudes about international agricultural issues and policies. Does studying abroad enhance an undergraduate student’s level of understanding and/or attitudes towards international agricultural issues? As tomorrow’s leaders in agriculture, do our undergraduate agricultural students hold a foundational, appropriate level of knowledge of US agricultural policy, in order to make informed, globally focused decisions in their industry? If not, do international experiences help address this lack of knowledge? Furthermore, do we need to cater these experiences among specific types of students, to ensure most appropriate programming and curriculum? This study intends to bridge this gap.</w:t>
      </w:r>
    </w:p>
    <w:p w14:paraId="2043302F" w14:textId="77777777" w:rsidR="003F0A4F" w:rsidRDefault="003F0A4F" w:rsidP="003F0A4F">
      <w:pPr>
        <w:jc w:val="center"/>
        <w:rPr>
          <w:b/>
        </w:rPr>
      </w:pPr>
    </w:p>
    <w:p w14:paraId="4C9C35D1" w14:textId="4438EF10" w:rsidR="000F0427" w:rsidRDefault="009B3DDE" w:rsidP="003F0A4F">
      <w:pPr>
        <w:jc w:val="center"/>
        <w:rPr>
          <w:b/>
        </w:rPr>
      </w:pPr>
      <w:r>
        <w:rPr>
          <w:b/>
        </w:rPr>
        <w:t>Purpose and Objectives</w:t>
      </w:r>
    </w:p>
    <w:p w14:paraId="1FC97C5A" w14:textId="2C761F3F" w:rsidR="000F0427" w:rsidRDefault="009B3DDE" w:rsidP="00DD1FC0">
      <w:r>
        <w:t xml:space="preserve">The intent of this research study was to examine undergraduate students’ knowledge and attitude about international agricultural (ag) issues and agricultural (ag) policy. The following objectives were outlined in this study: </w:t>
      </w:r>
    </w:p>
    <w:p w14:paraId="0FB451FA" w14:textId="77777777" w:rsidR="000F0427" w:rsidRDefault="009B3DDE" w:rsidP="003F0A4F">
      <w:pPr>
        <w:numPr>
          <w:ilvl w:val="0"/>
          <w:numId w:val="1"/>
        </w:numPr>
      </w:pPr>
      <w:r>
        <w:t xml:space="preserve">Compare student knowledge of international ag issues and policy between agriculture majors (ag majors) and non-agriculture majors (non-ag majors); </w:t>
      </w:r>
    </w:p>
    <w:p w14:paraId="13B9B007" w14:textId="77777777" w:rsidR="000F0427" w:rsidRDefault="009B3DDE" w:rsidP="003F0A4F">
      <w:pPr>
        <w:numPr>
          <w:ilvl w:val="0"/>
          <w:numId w:val="1"/>
        </w:numPr>
      </w:pPr>
      <w:r>
        <w:t>Compare student attitudes towards the importance of international ag issues and ag policy between ag and non-ag majors;</w:t>
      </w:r>
    </w:p>
    <w:p w14:paraId="55A2A59A" w14:textId="77777777" w:rsidR="000F0427" w:rsidRDefault="009B3DDE" w:rsidP="003F0A4F">
      <w:pPr>
        <w:numPr>
          <w:ilvl w:val="0"/>
          <w:numId w:val="1"/>
        </w:numPr>
      </w:pPr>
      <w:r>
        <w:lastRenderedPageBreak/>
        <w:t>Determine the relationships among knowledge, attitudes, and student demographics (gender, self-reported GPA, and year in school); and</w:t>
      </w:r>
    </w:p>
    <w:p w14:paraId="5BB7F377" w14:textId="77777777" w:rsidR="000F0427" w:rsidRPr="009D47B6" w:rsidRDefault="009B3DDE" w:rsidP="009D47B6">
      <w:pPr>
        <w:numPr>
          <w:ilvl w:val="0"/>
          <w:numId w:val="1"/>
        </w:numPr>
      </w:pPr>
      <w:r>
        <w:t>Determine the relationships among knowledge, attitudes, and student international experience (study abroad participation and agricultural experience outside of the US).</w:t>
      </w:r>
    </w:p>
    <w:p w14:paraId="3337DA1E" w14:textId="77777777" w:rsidR="0068173A" w:rsidRDefault="0068173A" w:rsidP="003F0A4F">
      <w:pPr>
        <w:jc w:val="center"/>
        <w:rPr>
          <w:b/>
        </w:rPr>
      </w:pPr>
    </w:p>
    <w:p w14:paraId="3B03F300" w14:textId="1BD771DD" w:rsidR="000F0427" w:rsidRDefault="009B3DDE" w:rsidP="003F0A4F">
      <w:pPr>
        <w:jc w:val="center"/>
        <w:rPr>
          <w:b/>
        </w:rPr>
      </w:pPr>
      <w:r>
        <w:rPr>
          <w:b/>
        </w:rPr>
        <w:t>Methods</w:t>
      </w:r>
    </w:p>
    <w:p w14:paraId="60C3157D" w14:textId="0C1AA83B" w:rsidR="000F0427" w:rsidRDefault="009B3DDE" w:rsidP="00DD1FC0">
      <w:r>
        <w:rPr>
          <w:b/>
        </w:rPr>
        <w:t>Sample</w:t>
      </w:r>
      <w:r w:rsidR="00DD1FC0">
        <w:rPr>
          <w:b/>
        </w:rPr>
        <w:t>:</w:t>
      </w:r>
      <w:r>
        <w:rPr>
          <w:b/>
        </w:rPr>
        <w:t xml:space="preserve"> </w:t>
      </w:r>
      <w:r>
        <w:t xml:space="preserve">A </w:t>
      </w:r>
      <w:r>
        <w:rPr>
          <w:color w:val="212121"/>
        </w:rPr>
        <w:t xml:space="preserve">voluntary nonprobability sampling method was used to recruit online survey respondents in this study. </w:t>
      </w:r>
      <w:r w:rsidR="0068173A">
        <w:rPr>
          <w:color w:val="212121"/>
        </w:rPr>
        <w:t xml:space="preserve">The population was </w:t>
      </w:r>
      <w:r>
        <w:rPr>
          <w:color w:val="212121"/>
        </w:rPr>
        <w:t>970 students who were taking one or more of the ten selected agricultural courses that span across all ag majors (</w:t>
      </w:r>
      <w:r>
        <w:t>crop and soil science, animal science, food security, agronomy, and agricultural mechanics), including two upper-division courses that specifically had a global focus, as well as one non-agricultural (communications) general education course</w:t>
      </w:r>
      <w:r>
        <w:rPr>
          <w:color w:val="212121"/>
        </w:rPr>
        <w:t xml:space="preserve"> in the spring of 2019 in</w:t>
      </w:r>
      <w:r>
        <w:t xml:space="preserve"> the [College of Agriculture] at a large, Land Grant institution in the US</w:t>
      </w:r>
      <w:r>
        <w:rPr>
          <w:color w:val="212121"/>
        </w:rPr>
        <w:t xml:space="preserve">. Although the classes are housed in the </w:t>
      </w:r>
      <w:r>
        <w:t>[College of Agriculture], a portion of the students majored in non-agricultural related fields. This survey opportunity was announced by an undergraduate</w:t>
      </w:r>
      <w:r>
        <w:rPr>
          <w:color w:val="212121"/>
        </w:rPr>
        <w:t xml:space="preserve"> student research assistant </w:t>
      </w:r>
      <w:r>
        <w:t>at the beginning of the spring 2019 semester.</w:t>
      </w:r>
      <w:r>
        <w:rPr>
          <w:color w:val="212121"/>
        </w:rPr>
        <w:t xml:space="preserve"> Students were introduced with the purpose of the study and then self-selected as volunteers to complete an online survey. To allow for further student accessibility to all students enrolled in the course (even if not present in class), the survey link and announcements was also distributed by the course Instructor via the online learning platform with the IRB information as well as a QR code for students to take the survey on their own time if needed. Although appropriate, considering the nature of the preassigned classes, the authors note the limitations and higher risk of sampling bias through voluntary response samples, considering the bias to those students more likely to self-select to volunteer to complete the survey.</w:t>
      </w:r>
      <w:r>
        <w:t xml:space="preserve"> After removing incomplete answers, a total of 170 respondents (17.53% response rate) were used for </w:t>
      </w:r>
      <w:r w:rsidR="00185EED">
        <w:t>analysis.</w:t>
      </w:r>
      <w:r>
        <w:t xml:space="preserve"> Among these variables, gender, international experience, and discipline were nominal variables, while year in school was considered </w:t>
      </w:r>
      <w:r w:rsidR="00185EED">
        <w:t xml:space="preserve">ordinal </w:t>
      </w:r>
      <w:r>
        <w:t>(freshman is defined as students in [university] who have taken 30 semester hours or less; sophomore is 30-59.5 hours; junior is 60-89.5 hours, and senior is above 90 hours) ([University], n.d.). Self-reported GPA is a continuous variable between 0.0 to 4.0.</w:t>
      </w:r>
    </w:p>
    <w:p w14:paraId="371C41A4" w14:textId="77777777" w:rsidR="000F0427" w:rsidRDefault="000F0427" w:rsidP="003F0A4F">
      <w:pPr>
        <w:rPr>
          <w:b/>
        </w:rPr>
      </w:pPr>
    </w:p>
    <w:p w14:paraId="22974482" w14:textId="2C31B631" w:rsidR="000F0427" w:rsidRDefault="009B3DDE" w:rsidP="00DD1FC0">
      <w:r>
        <w:rPr>
          <w:b/>
        </w:rPr>
        <w:t>Instrument</w:t>
      </w:r>
      <w:r w:rsidR="00DD1FC0">
        <w:rPr>
          <w:b/>
        </w:rPr>
        <w:t xml:space="preserve">: </w:t>
      </w:r>
      <w:r>
        <w:t>In previous literature, a variety of instruments have been</w:t>
      </w:r>
      <w:r w:rsidR="0068173A">
        <w:t xml:space="preserve"> </w:t>
      </w:r>
      <w:r w:rsidR="00185EED">
        <w:t>administered</w:t>
      </w:r>
      <w:r>
        <w:t xml:space="preserve">, but none that met the specific objectives of this study. First, eleven multiple choice questions were developed to measure student </w:t>
      </w:r>
      <w:r>
        <w:rPr>
          <w:i/>
        </w:rPr>
        <w:t>knowledge</w:t>
      </w:r>
      <w:r>
        <w:t xml:space="preserve"> level about global ag policy. These knowledge-based questions were developed using resources including: the World Bank Group (2014), Office of United States Trade Representation (2018), World Economic Forum (2018), The United States Foreign Agriculture Service (2018), the Food and Agriculture Organization of the United Nations (2018), the World Food Program (2017), the Global Policy Report (2018), European Commission (2018), the US Department of Agriculture (2018), and the US Committee of Agriculture (2018). Researchers decided to use a global aptitude assessment of knowledge, which provided a more accurate measure of student growth than student perception of knowledge. </w:t>
      </w:r>
      <w:r w:rsidR="00220734">
        <w:t xml:space="preserve">A pretest was given to both ag and non-ag students to establish content validity. </w:t>
      </w:r>
      <w:r>
        <w:t xml:space="preserve">To calculate the knowledge score, respondents earned one point with each correctly answered question. </w:t>
      </w:r>
    </w:p>
    <w:p w14:paraId="20720066" w14:textId="77777777" w:rsidR="00DD1FC0" w:rsidRDefault="00DD1FC0" w:rsidP="00DD1FC0"/>
    <w:p w14:paraId="202BE9AC" w14:textId="0A274AEC" w:rsidR="000F0427" w:rsidRDefault="009B3DDE" w:rsidP="00DD1FC0">
      <w:r>
        <w:t xml:space="preserve">Initially, a 5-point 10-statement Likert scale was developed to measure student </w:t>
      </w:r>
      <w:r>
        <w:rPr>
          <w:i/>
        </w:rPr>
        <w:t>attitude</w:t>
      </w:r>
      <w:r>
        <w:t xml:space="preserve"> toward the importance of global agricultural issues and policy (adapted from Coers et al., 2012; Elliot &amp; </w:t>
      </w:r>
      <w:r>
        <w:lastRenderedPageBreak/>
        <w:t xml:space="preserve">Yanik, 2004; Wingenbach et al., 2003). After analyzing internal reliability, three statements were removed. The internal reliability was then deemed to be acceptable (Cronbach's alpha = .744). All seven statements were summed and averaged to create an overall attitude index score for analysis. In this instrument, the researchers operationalized “attitude” in terms of affective and cognitive attitude (Borg &amp; Gall, 1989), capturing students’ feelings and cognitive beliefs of international agricultural issues and agricultural policy. Students’ international experiences were measured by study abroad participation and agricultural experiences outside of the US. Specifically, participants were asked “Have you ever studied abroad?” and “Have you ever had an agricultural experience outside of the United States?” </w:t>
      </w:r>
    </w:p>
    <w:p w14:paraId="168AA8BB" w14:textId="77777777" w:rsidR="00DD1FC0" w:rsidRDefault="00DD1FC0" w:rsidP="00DD1FC0"/>
    <w:p w14:paraId="4FB03909" w14:textId="40624F58" w:rsidR="000F0427" w:rsidRDefault="009B3DDE" w:rsidP="00DD1FC0">
      <w:r>
        <w:t>Researchers analyzed the data using SPSS. T-test was initially used to achieve the first and second objectives; however, the variables violated the assumption of normality and homogeneity of variance. Hahs-Vaughn and Lomax (2013) recommended that when neither normality or homogeneity of variances can be assumed, Welch t’ test with ranked scores should be performed. Therefore, we transformed the raw score to ranked score, followed by a Welch’s t test for the first two objectives. To fulfill objective three, Pearson correlation tests were used to determine the relationship among continuous and interval variables including knowledge, attitude, self-reported GPA, and year in school. Due to violation of normality but satisfaction of homogeneity, t-test using ranked mean was used to determine the relationship between gender and knowledge, as well as between gender and attitude (Hahs-Vaughn &amp; Lomax, 2013). Similarly, t-tests using ranked scores were used to fulfill objective four.</w:t>
      </w:r>
    </w:p>
    <w:p w14:paraId="3688E809" w14:textId="77777777" w:rsidR="003F0A4F" w:rsidRDefault="003F0A4F" w:rsidP="003F0A4F">
      <w:pPr>
        <w:jc w:val="center"/>
        <w:rPr>
          <w:b/>
        </w:rPr>
      </w:pPr>
    </w:p>
    <w:p w14:paraId="3D3A6BF9" w14:textId="77777777" w:rsidR="000F0427" w:rsidRDefault="009B3DDE" w:rsidP="003F0A4F">
      <w:pPr>
        <w:jc w:val="center"/>
        <w:rPr>
          <w:b/>
        </w:rPr>
      </w:pPr>
      <w:r>
        <w:rPr>
          <w:b/>
        </w:rPr>
        <w:t>Results</w:t>
      </w:r>
    </w:p>
    <w:p w14:paraId="77F753F1" w14:textId="091DAD4E" w:rsidR="000F0427" w:rsidRDefault="009B3DDE" w:rsidP="00DD1FC0">
      <w:bookmarkStart w:id="0" w:name="_heading=h.gjdgxs" w:colFirst="0" w:colLast="0"/>
      <w:bookmarkEnd w:id="0"/>
      <w:r>
        <w:rPr>
          <w:b/>
        </w:rPr>
        <w:t>Objective One</w:t>
      </w:r>
      <w:r w:rsidR="00DD1FC0">
        <w:rPr>
          <w:b/>
        </w:rPr>
        <w:t xml:space="preserve">: </w:t>
      </w:r>
      <w:bookmarkStart w:id="1" w:name="_heading=h.30j0zll" w:colFirst="0" w:colLast="0"/>
      <w:bookmarkEnd w:id="1"/>
      <w:r>
        <w:t xml:space="preserve">Table </w:t>
      </w:r>
      <w:r w:rsidR="009D47B6">
        <w:t>1</w:t>
      </w:r>
      <w:r>
        <w:t xml:space="preserve"> summarizes the knowledge-based questions, correct answers, and the rate of accuracy for each question. Each correctly answered question received one point. The average knowledge score of all participants was 3.61 out of a full score of 11 ranging from 0 to 9 (</w:t>
      </w:r>
      <w:r>
        <w:rPr>
          <w:i/>
        </w:rPr>
        <w:t xml:space="preserve">n </w:t>
      </w:r>
      <w:r>
        <w:t xml:space="preserve">= 170, </w:t>
      </w:r>
      <w:r>
        <w:rPr>
          <w:i/>
        </w:rPr>
        <w:t xml:space="preserve">SD </w:t>
      </w:r>
      <w:r>
        <w:t xml:space="preserve">= 1.61), indicating that, on average, students did not hold a high knowledge of international ag issues and policy. </w:t>
      </w:r>
    </w:p>
    <w:p w14:paraId="2514D008" w14:textId="41E99DD4" w:rsidR="00DD1FC0" w:rsidRDefault="00DD1FC0" w:rsidP="00DD1FC0"/>
    <w:p w14:paraId="3E795AFB" w14:textId="4A997F11" w:rsidR="00DD1FC0" w:rsidRDefault="00DD1FC0" w:rsidP="00DD1FC0">
      <w:pPr>
        <w:rPr>
          <w:b/>
        </w:rPr>
      </w:pPr>
      <w:r>
        <w:rPr>
          <w:b/>
        </w:rPr>
        <w:t>Objective Two</w:t>
      </w:r>
      <w:r>
        <w:rPr>
          <w:b/>
        </w:rPr>
        <w:t xml:space="preserve">: </w:t>
      </w:r>
      <w:r>
        <w:t>When determining student attitudes towards the importance of global ag issues and policy, respondents were asked to indicate their level of agreement or disagreement of seven statements. The percentage of agreement of each statement is summarized below (Table 2) with the highest response bolded. On average, the attitude of all participants was 3.89. Ag students (</w:t>
      </w:r>
      <w:r>
        <w:rPr>
          <w:i/>
        </w:rPr>
        <w:t>n =</w:t>
      </w:r>
      <w:r>
        <w:t xml:space="preserve"> 55</w:t>
      </w:r>
      <w:r>
        <w:rPr>
          <w:i/>
        </w:rPr>
        <w:t>, m =</w:t>
      </w:r>
      <w:r>
        <w:t xml:space="preserve"> 4.06, ranked </w:t>
      </w:r>
      <w:r>
        <w:rPr>
          <w:i/>
        </w:rPr>
        <w:t xml:space="preserve">m </w:t>
      </w:r>
      <w:r>
        <w:t>= 104.49</w:t>
      </w:r>
      <w:r>
        <w:rPr>
          <w:i/>
        </w:rPr>
        <w:t>)</w:t>
      </w:r>
      <w:r>
        <w:t xml:space="preserve"> held a more favorable attitude overall towards the importance of international agriculture and policy education than non-ag students (</w:t>
      </w:r>
      <w:r>
        <w:rPr>
          <w:i/>
        </w:rPr>
        <w:t xml:space="preserve">n </w:t>
      </w:r>
      <w:r>
        <w:t>= 115</w:t>
      </w:r>
      <w:r>
        <w:rPr>
          <w:i/>
        </w:rPr>
        <w:t xml:space="preserve">, m = </w:t>
      </w:r>
      <w:r>
        <w:t xml:space="preserve">3.80, ranked </w:t>
      </w:r>
      <w:r>
        <w:rPr>
          <w:i/>
        </w:rPr>
        <w:t xml:space="preserve">m </w:t>
      </w:r>
      <w:r>
        <w:t xml:space="preserve">= 76.42, </w:t>
      </w:r>
      <w:r>
        <w:rPr>
          <w:i/>
        </w:rPr>
        <w:t xml:space="preserve">t </w:t>
      </w:r>
      <w:r>
        <w:t xml:space="preserve">= 3.56, </w:t>
      </w:r>
      <w:r>
        <w:rPr>
          <w:i/>
        </w:rPr>
        <w:t xml:space="preserve">p </w:t>
      </w:r>
      <w:r>
        <w:t>= 0.001). The effect size (</w:t>
      </w:r>
      <w:proofErr w:type="spellStart"/>
      <w:r>
        <w:rPr>
          <w:i/>
        </w:rPr>
        <w:t>cohen’s</w:t>
      </w:r>
      <w:proofErr w:type="spellEnd"/>
      <w:r>
        <w:rPr>
          <w:i/>
        </w:rPr>
        <w:t xml:space="preserve"> d</w:t>
      </w:r>
      <w:r>
        <w:t xml:space="preserve"> = 0.59) shows a medium effect size. </w:t>
      </w:r>
    </w:p>
    <w:p w14:paraId="2DD0F5A2" w14:textId="77777777" w:rsidR="00DD1FC0" w:rsidRDefault="00DD1FC0" w:rsidP="00DD1FC0"/>
    <w:p w14:paraId="5E5098CA" w14:textId="69152CE7" w:rsidR="00DD1FC0" w:rsidRDefault="00DD1FC0">
      <w:pPr>
        <w:rPr>
          <w:b/>
        </w:rPr>
      </w:pPr>
      <w:bookmarkStart w:id="2" w:name="_heading=h.1fob9te" w:colFirst="0" w:colLast="0"/>
      <w:bookmarkEnd w:id="2"/>
      <w:r>
        <w:rPr>
          <w:b/>
        </w:rPr>
        <w:t>Objective Three</w:t>
      </w:r>
      <w:r>
        <w:rPr>
          <w:b/>
        </w:rPr>
        <w:t xml:space="preserve">: </w:t>
      </w:r>
      <w:r>
        <w:t>A low correlation was found between attitude and student’s year in school (</w:t>
      </w:r>
      <w:r>
        <w:rPr>
          <w:i/>
        </w:rPr>
        <w:t>r</w:t>
      </w:r>
      <w:r>
        <w:t xml:space="preserve"> = .154, </w:t>
      </w:r>
      <w:r>
        <w:rPr>
          <w:i/>
        </w:rPr>
        <w:t xml:space="preserve">p = </w:t>
      </w:r>
      <w:r>
        <w:t>.045) and between student knowledge and self-reported GPA (</w:t>
      </w:r>
      <w:r>
        <w:rPr>
          <w:i/>
        </w:rPr>
        <w:t xml:space="preserve">r = </w:t>
      </w:r>
      <w:r>
        <w:t xml:space="preserve">.170, </w:t>
      </w:r>
      <w:r>
        <w:rPr>
          <w:i/>
        </w:rPr>
        <w:t xml:space="preserve">p = </w:t>
      </w:r>
      <w:r>
        <w:t>.029). T- test using ranked mean showed that there was a statistically significant difference in knowledge score between female (</w:t>
      </w:r>
      <w:r>
        <w:rPr>
          <w:i/>
        </w:rPr>
        <w:t xml:space="preserve">m = </w:t>
      </w:r>
      <w:r>
        <w:t xml:space="preserve">3.83, ranked </w:t>
      </w:r>
      <w:r>
        <w:rPr>
          <w:i/>
        </w:rPr>
        <w:t>m = 108</w:t>
      </w:r>
      <w:r>
        <w:t>) and male (</w:t>
      </w:r>
      <w:r>
        <w:rPr>
          <w:i/>
        </w:rPr>
        <w:t xml:space="preserve">m = </w:t>
      </w:r>
      <w:r>
        <w:t xml:space="preserve">3.23, ranked </w:t>
      </w:r>
      <w:r>
        <w:rPr>
          <w:i/>
        </w:rPr>
        <w:t>m = 62</w:t>
      </w:r>
      <w:r>
        <w:t>), (</w:t>
      </w:r>
      <w:proofErr w:type="gramStart"/>
      <w:r>
        <w:rPr>
          <w:i/>
        </w:rPr>
        <w:t>t</w:t>
      </w:r>
      <w:r>
        <w:t>(</w:t>
      </w:r>
      <w:proofErr w:type="gramEnd"/>
      <w:r>
        <w:t xml:space="preserve">2) = -2.07 , </w:t>
      </w:r>
      <w:r>
        <w:rPr>
          <w:i/>
        </w:rPr>
        <w:t>p</w:t>
      </w:r>
      <w:r>
        <w:t xml:space="preserve"> = 0.04),. No significance was found between gender and students’ attitudes. All participants identified as either male or female; no participants identified as “Other.” No significance was found between year in school and knowledge, nor between self-reported GPA and attitude.</w:t>
      </w:r>
      <w:r>
        <w:rPr>
          <w:b/>
        </w:rPr>
        <w:br w:type="page"/>
      </w:r>
    </w:p>
    <w:p w14:paraId="7B31242B" w14:textId="7DAC83FE" w:rsidR="000F0427" w:rsidRDefault="009B3DDE" w:rsidP="003F0A4F">
      <w:pPr>
        <w:rPr>
          <w:b/>
        </w:rPr>
      </w:pPr>
      <w:r>
        <w:rPr>
          <w:b/>
        </w:rPr>
        <w:lastRenderedPageBreak/>
        <w:t xml:space="preserve">Table </w:t>
      </w:r>
      <w:r w:rsidR="009D47B6">
        <w:rPr>
          <w:b/>
        </w:rPr>
        <w:t>1</w:t>
      </w:r>
    </w:p>
    <w:p w14:paraId="27457292" w14:textId="77777777" w:rsidR="000F0427" w:rsidRDefault="009B3DDE" w:rsidP="003F0A4F">
      <w:pPr>
        <w:rPr>
          <w:i/>
        </w:rPr>
      </w:pPr>
      <w:bookmarkStart w:id="3" w:name="_heading=h.3znysh7" w:colFirst="0" w:colLast="0"/>
      <w:bookmarkEnd w:id="3"/>
      <w:r>
        <w:rPr>
          <w:i/>
        </w:rPr>
        <w:t>Knowledge Statements about Global Agricultural Issues and Policy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2250"/>
        <w:gridCol w:w="1520"/>
      </w:tblGrid>
      <w:tr w:rsidR="006D057C" w:rsidRPr="003F0A4F" w14:paraId="04F88D98" w14:textId="77777777" w:rsidTr="00E63CFE">
        <w:tc>
          <w:tcPr>
            <w:tcW w:w="5580" w:type="dxa"/>
            <w:tcBorders>
              <w:top w:val="single" w:sz="4" w:space="0" w:color="auto"/>
              <w:bottom w:val="single" w:sz="4" w:space="0" w:color="auto"/>
            </w:tcBorders>
            <w:tcMar>
              <w:left w:w="0" w:type="dxa"/>
              <w:right w:w="29" w:type="dxa"/>
            </w:tcMar>
          </w:tcPr>
          <w:p w14:paraId="1C6F4D21" w14:textId="77777777" w:rsidR="006D057C" w:rsidRPr="003F0A4F" w:rsidRDefault="006D057C" w:rsidP="003F0A4F">
            <w:pPr>
              <w:jc w:val="center"/>
            </w:pPr>
            <w:r>
              <w:t>Question</w:t>
            </w:r>
          </w:p>
        </w:tc>
        <w:tc>
          <w:tcPr>
            <w:tcW w:w="2250" w:type="dxa"/>
            <w:tcBorders>
              <w:top w:val="single" w:sz="4" w:space="0" w:color="auto"/>
              <w:bottom w:val="single" w:sz="4" w:space="0" w:color="auto"/>
            </w:tcBorders>
            <w:tcMar>
              <w:left w:w="29" w:type="dxa"/>
              <w:right w:w="29" w:type="dxa"/>
            </w:tcMar>
          </w:tcPr>
          <w:p w14:paraId="74EEAD72" w14:textId="77777777" w:rsidR="006D057C" w:rsidRPr="003F0A4F" w:rsidRDefault="006D057C" w:rsidP="003F0A4F">
            <w:pPr>
              <w:jc w:val="center"/>
            </w:pPr>
            <w:r>
              <w:t>Answer</w:t>
            </w:r>
          </w:p>
        </w:tc>
        <w:tc>
          <w:tcPr>
            <w:tcW w:w="1520" w:type="dxa"/>
            <w:tcBorders>
              <w:top w:val="single" w:sz="4" w:space="0" w:color="auto"/>
              <w:bottom w:val="single" w:sz="4" w:space="0" w:color="auto"/>
            </w:tcBorders>
            <w:tcMar>
              <w:left w:w="29" w:type="dxa"/>
              <w:right w:w="29" w:type="dxa"/>
            </w:tcMar>
          </w:tcPr>
          <w:p w14:paraId="0380F30B" w14:textId="77777777" w:rsidR="006D057C" w:rsidRPr="003F0A4F" w:rsidRDefault="006D057C" w:rsidP="003F0A4F">
            <w:pPr>
              <w:jc w:val="center"/>
            </w:pPr>
            <w:r>
              <w:t>% of Accuracy</w:t>
            </w:r>
          </w:p>
        </w:tc>
      </w:tr>
      <w:tr w:rsidR="006D057C" w:rsidRPr="003F0A4F" w14:paraId="552BFF7F" w14:textId="77777777" w:rsidTr="00E63CFE">
        <w:tc>
          <w:tcPr>
            <w:tcW w:w="5580" w:type="dxa"/>
            <w:tcBorders>
              <w:top w:val="single" w:sz="4" w:space="0" w:color="auto"/>
            </w:tcBorders>
            <w:tcMar>
              <w:left w:w="0" w:type="dxa"/>
              <w:right w:w="29" w:type="dxa"/>
            </w:tcMar>
          </w:tcPr>
          <w:p w14:paraId="4E5CB438" w14:textId="77777777" w:rsidR="006D057C" w:rsidRPr="003F0A4F" w:rsidRDefault="006D057C" w:rsidP="003F0A4F">
            <w:r>
              <w:t>What country wasted the most food?</w:t>
            </w:r>
          </w:p>
        </w:tc>
        <w:tc>
          <w:tcPr>
            <w:tcW w:w="2250" w:type="dxa"/>
            <w:tcBorders>
              <w:top w:val="single" w:sz="4" w:space="0" w:color="auto"/>
            </w:tcBorders>
            <w:tcMar>
              <w:left w:w="29" w:type="dxa"/>
              <w:right w:w="29" w:type="dxa"/>
            </w:tcMar>
          </w:tcPr>
          <w:p w14:paraId="557AA46E" w14:textId="77777777" w:rsidR="006D057C" w:rsidRPr="003F0A4F" w:rsidRDefault="006D057C" w:rsidP="003F0A4F">
            <w:pPr>
              <w:jc w:val="center"/>
            </w:pPr>
            <w:r>
              <w:t>United States</w:t>
            </w:r>
          </w:p>
        </w:tc>
        <w:tc>
          <w:tcPr>
            <w:tcW w:w="1520" w:type="dxa"/>
            <w:tcBorders>
              <w:top w:val="single" w:sz="4" w:space="0" w:color="auto"/>
            </w:tcBorders>
            <w:tcMar>
              <w:left w:w="29" w:type="dxa"/>
              <w:right w:w="29" w:type="dxa"/>
            </w:tcMar>
          </w:tcPr>
          <w:p w14:paraId="5D02F2DD" w14:textId="77777777" w:rsidR="006D057C" w:rsidRPr="003F0A4F" w:rsidRDefault="006D057C" w:rsidP="003F0A4F">
            <w:pPr>
              <w:jc w:val="center"/>
            </w:pPr>
            <w:r>
              <w:t>81.8</w:t>
            </w:r>
          </w:p>
        </w:tc>
      </w:tr>
      <w:tr w:rsidR="006D057C" w:rsidRPr="003F0A4F" w14:paraId="4B6C9378" w14:textId="77777777" w:rsidTr="00E63CFE">
        <w:tc>
          <w:tcPr>
            <w:tcW w:w="5580" w:type="dxa"/>
            <w:tcMar>
              <w:left w:w="0" w:type="dxa"/>
              <w:right w:w="29" w:type="dxa"/>
            </w:tcMar>
          </w:tcPr>
          <w:p w14:paraId="13F5849B" w14:textId="77777777" w:rsidR="006D057C" w:rsidRPr="003F0A4F" w:rsidRDefault="006D057C" w:rsidP="003F0A4F">
            <w:r>
              <w:t>What is the type of food that is wasted the most?</w:t>
            </w:r>
          </w:p>
        </w:tc>
        <w:tc>
          <w:tcPr>
            <w:tcW w:w="2250" w:type="dxa"/>
            <w:tcMar>
              <w:left w:w="29" w:type="dxa"/>
              <w:right w:w="29" w:type="dxa"/>
            </w:tcMar>
          </w:tcPr>
          <w:p w14:paraId="4CECDD23" w14:textId="12FDCE78" w:rsidR="006D057C" w:rsidRPr="003F0A4F" w:rsidRDefault="006D057C" w:rsidP="003F0A4F">
            <w:pPr>
              <w:jc w:val="center"/>
            </w:pPr>
            <w:r>
              <w:t>Fruits, veggies</w:t>
            </w:r>
            <w:r w:rsidR="00E63CFE">
              <w:t>,</w:t>
            </w:r>
            <w:r>
              <w:t xml:space="preserve"> tubers</w:t>
            </w:r>
          </w:p>
        </w:tc>
        <w:tc>
          <w:tcPr>
            <w:tcW w:w="1520" w:type="dxa"/>
            <w:tcMar>
              <w:left w:w="29" w:type="dxa"/>
              <w:right w:w="29" w:type="dxa"/>
            </w:tcMar>
          </w:tcPr>
          <w:p w14:paraId="35EC75B6" w14:textId="77777777" w:rsidR="006D057C" w:rsidRPr="003F0A4F" w:rsidRDefault="006D057C" w:rsidP="003F0A4F">
            <w:pPr>
              <w:jc w:val="center"/>
            </w:pPr>
            <w:r>
              <w:t>67.6</w:t>
            </w:r>
          </w:p>
        </w:tc>
      </w:tr>
      <w:tr w:rsidR="006D057C" w:rsidRPr="003F0A4F" w14:paraId="50CEDB4C" w14:textId="77777777" w:rsidTr="00E63CFE">
        <w:tc>
          <w:tcPr>
            <w:tcW w:w="5580" w:type="dxa"/>
            <w:tcMar>
              <w:left w:w="0" w:type="dxa"/>
              <w:right w:w="29" w:type="dxa"/>
            </w:tcMar>
          </w:tcPr>
          <w:p w14:paraId="1F623FF5" w14:textId="77777777" w:rsidR="006D057C" w:rsidRPr="003F0A4F" w:rsidRDefault="006D057C" w:rsidP="003F0A4F">
            <w:r>
              <w:t>The economic strength of a country can be measured by:</w:t>
            </w:r>
          </w:p>
        </w:tc>
        <w:tc>
          <w:tcPr>
            <w:tcW w:w="2250" w:type="dxa"/>
            <w:tcMar>
              <w:left w:w="29" w:type="dxa"/>
              <w:right w:w="29" w:type="dxa"/>
            </w:tcMar>
          </w:tcPr>
          <w:p w14:paraId="173C59EC" w14:textId="77777777" w:rsidR="006D057C" w:rsidRPr="003F0A4F" w:rsidRDefault="006D057C" w:rsidP="003F0A4F">
            <w:pPr>
              <w:jc w:val="center"/>
            </w:pPr>
            <w:r>
              <w:t>GDP</w:t>
            </w:r>
          </w:p>
        </w:tc>
        <w:tc>
          <w:tcPr>
            <w:tcW w:w="1520" w:type="dxa"/>
            <w:tcMar>
              <w:left w:w="29" w:type="dxa"/>
              <w:right w:w="29" w:type="dxa"/>
            </w:tcMar>
          </w:tcPr>
          <w:p w14:paraId="015263E4" w14:textId="77777777" w:rsidR="006D057C" w:rsidRPr="003F0A4F" w:rsidRDefault="006D057C" w:rsidP="003F0A4F">
            <w:pPr>
              <w:jc w:val="center"/>
            </w:pPr>
            <w:r>
              <w:t>50.0</w:t>
            </w:r>
          </w:p>
        </w:tc>
      </w:tr>
      <w:tr w:rsidR="006D057C" w:rsidRPr="003F0A4F" w14:paraId="6C1B6C2B" w14:textId="77777777" w:rsidTr="00E63CFE">
        <w:tc>
          <w:tcPr>
            <w:tcW w:w="5580" w:type="dxa"/>
            <w:tcMar>
              <w:left w:w="0" w:type="dxa"/>
              <w:right w:w="29" w:type="dxa"/>
            </w:tcMar>
          </w:tcPr>
          <w:p w14:paraId="2ABFD8AA" w14:textId="77777777" w:rsidR="006D057C" w:rsidRPr="003F0A4F" w:rsidRDefault="006D057C" w:rsidP="003F0A4F">
            <w:r>
              <w:rPr>
                <w:color w:val="000000"/>
              </w:rPr>
              <w:t>Who is the leading producer of agricultural products in the world?</w:t>
            </w:r>
          </w:p>
        </w:tc>
        <w:tc>
          <w:tcPr>
            <w:tcW w:w="2250" w:type="dxa"/>
            <w:tcMar>
              <w:left w:w="29" w:type="dxa"/>
              <w:right w:w="29" w:type="dxa"/>
            </w:tcMar>
          </w:tcPr>
          <w:p w14:paraId="1CE7BFD6" w14:textId="77777777" w:rsidR="006D057C" w:rsidRPr="003F0A4F" w:rsidRDefault="006D057C" w:rsidP="003F0A4F">
            <w:pPr>
              <w:jc w:val="center"/>
            </w:pPr>
            <w:r>
              <w:t>China</w:t>
            </w:r>
          </w:p>
        </w:tc>
        <w:tc>
          <w:tcPr>
            <w:tcW w:w="1520" w:type="dxa"/>
            <w:tcMar>
              <w:left w:w="29" w:type="dxa"/>
              <w:right w:w="29" w:type="dxa"/>
            </w:tcMar>
          </w:tcPr>
          <w:p w14:paraId="01B73290" w14:textId="77777777" w:rsidR="006D057C" w:rsidRPr="003F0A4F" w:rsidRDefault="006D057C" w:rsidP="003F0A4F">
            <w:pPr>
              <w:jc w:val="center"/>
            </w:pPr>
            <w:r>
              <w:t>41.2</w:t>
            </w:r>
          </w:p>
        </w:tc>
      </w:tr>
      <w:tr w:rsidR="006D057C" w:rsidRPr="003F0A4F" w14:paraId="49193E3E" w14:textId="77777777" w:rsidTr="00E63CFE">
        <w:tc>
          <w:tcPr>
            <w:tcW w:w="5580" w:type="dxa"/>
            <w:tcMar>
              <w:left w:w="0" w:type="dxa"/>
              <w:right w:w="29" w:type="dxa"/>
            </w:tcMar>
          </w:tcPr>
          <w:p w14:paraId="73118DC1" w14:textId="77777777" w:rsidR="006D057C" w:rsidRPr="003F0A4F" w:rsidRDefault="006D057C" w:rsidP="003F0A4F">
            <w:r>
              <w:rPr>
                <w:color w:val="000000"/>
              </w:rPr>
              <w:t xml:space="preserve">The percentage of land that is available for food production in the US is: </w:t>
            </w:r>
          </w:p>
        </w:tc>
        <w:tc>
          <w:tcPr>
            <w:tcW w:w="2250" w:type="dxa"/>
            <w:tcMar>
              <w:left w:w="29" w:type="dxa"/>
              <w:right w:w="29" w:type="dxa"/>
            </w:tcMar>
          </w:tcPr>
          <w:p w14:paraId="037817AF" w14:textId="77777777" w:rsidR="006D057C" w:rsidRPr="003F0A4F" w:rsidRDefault="006D057C" w:rsidP="003F0A4F">
            <w:pPr>
              <w:jc w:val="center"/>
            </w:pPr>
            <w:r>
              <w:t>44%</w:t>
            </w:r>
          </w:p>
        </w:tc>
        <w:tc>
          <w:tcPr>
            <w:tcW w:w="1520" w:type="dxa"/>
            <w:tcMar>
              <w:left w:w="29" w:type="dxa"/>
              <w:right w:w="29" w:type="dxa"/>
            </w:tcMar>
          </w:tcPr>
          <w:p w14:paraId="31313DB6" w14:textId="77777777" w:rsidR="006D057C" w:rsidRPr="003F0A4F" w:rsidRDefault="006D057C" w:rsidP="003F0A4F">
            <w:pPr>
              <w:jc w:val="center"/>
            </w:pPr>
            <w:r>
              <w:t>32.4</w:t>
            </w:r>
          </w:p>
        </w:tc>
      </w:tr>
      <w:tr w:rsidR="006D057C" w:rsidRPr="003F0A4F" w14:paraId="579B23F3" w14:textId="77777777" w:rsidTr="00E63CFE">
        <w:tc>
          <w:tcPr>
            <w:tcW w:w="5580" w:type="dxa"/>
            <w:tcMar>
              <w:left w:w="0" w:type="dxa"/>
              <w:right w:w="29" w:type="dxa"/>
            </w:tcMar>
          </w:tcPr>
          <w:p w14:paraId="6875A32B" w14:textId="77777777" w:rsidR="006D057C" w:rsidRPr="003F0A4F" w:rsidRDefault="006D057C" w:rsidP="003F0A4F">
            <w:r>
              <w:t>The United States trades with other countries agricultural products because:</w:t>
            </w:r>
          </w:p>
        </w:tc>
        <w:tc>
          <w:tcPr>
            <w:tcW w:w="2250" w:type="dxa"/>
            <w:tcMar>
              <w:left w:w="29" w:type="dxa"/>
              <w:right w:w="29" w:type="dxa"/>
            </w:tcMar>
          </w:tcPr>
          <w:p w14:paraId="04018FE0" w14:textId="77777777" w:rsidR="006D057C" w:rsidRPr="003F0A4F" w:rsidRDefault="006D057C" w:rsidP="003F0A4F">
            <w:pPr>
              <w:jc w:val="center"/>
            </w:pPr>
            <w:r>
              <w:t>they do not have the resources themselves</w:t>
            </w:r>
          </w:p>
        </w:tc>
        <w:tc>
          <w:tcPr>
            <w:tcW w:w="1520" w:type="dxa"/>
            <w:tcMar>
              <w:left w:w="29" w:type="dxa"/>
              <w:right w:w="29" w:type="dxa"/>
            </w:tcMar>
          </w:tcPr>
          <w:p w14:paraId="4AF94364" w14:textId="77777777" w:rsidR="006D057C" w:rsidRPr="003F0A4F" w:rsidRDefault="006D057C" w:rsidP="003F0A4F">
            <w:pPr>
              <w:jc w:val="center"/>
            </w:pPr>
            <w:r>
              <w:t>22.4</w:t>
            </w:r>
          </w:p>
        </w:tc>
      </w:tr>
      <w:tr w:rsidR="006D057C" w:rsidRPr="003F0A4F" w14:paraId="28CEC129" w14:textId="77777777" w:rsidTr="00E63CFE">
        <w:tc>
          <w:tcPr>
            <w:tcW w:w="5580" w:type="dxa"/>
            <w:tcMar>
              <w:left w:w="0" w:type="dxa"/>
              <w:right w:w="29" w:type="dxa"/>
            </w:tcMar>
          </w:tcPr>
          <w:p w14:paraId="75BF0C32" w14:textId="77777777" w:rsidR="006D057C" w:rsidRPr="003F0A4F" w:rsidRDefault="006D057C" w:rsidP="003F0A4F">
            <w:r>
              <w:rPr>
                <w:color w:val="000000"/>
              </w:rPr>
              <w:t>How many countries spend more than 40% of their household income on food?</w:t>
            </w:r>
          </w:p>
        </w:tc>
        <w:tc>
          <w:tcPr>
            <w:tcW w:w="2250" w:type="dxa"/>
            <w:tcMar>
              <w:left w:w="29" w:type="dxa"/>
              <w:right w:w="29" w:type="dxa"/>
            </w:tcMar>
          </w:tcPr>
          <w:p w14:paraId="3D43E216" w14:textId="77777777" w:rsidR="006D057C" w:rsidRPr="003F0A4F" w:rsidRDefault="006D057C" w:rsidP="003F0A4F">
            <w:pPr>
              <w:jc w:val="center"/>
            </w:pPr>
            <w:r>
              <w:t>10</w:t>
            </w:r>
          </w:p>
        </w:tc>
        <w:tc>
          <w:tcPr>
            <w:tcW w:w="1520" w:type="dxa"/>
            <w:tcMar>
              <w:left w:w="29" w:type="dxa"/>
              <w:right w:w="29" w:type="dxa"/>
            </w:tcMar>
          </w:tcPr>
          <w:p w14:paraId="70452CA6" w14:textId="77777777" w:rsidR="006D057C" w:rsidRPr="003F0A4F" w:rsidRDefault="006D057C" w:rsidP="003F0A4F">
            <w:pPr>
              <w:jc w:val="center"/>
            </w:pPr>
            <w:r>
              <w:t>18.2</w:t>
            </w:r>
          </w:p>
        </w:tc>
      </w:tr>
      <w:tr w:rsidR="006D057C" w:rsidRPr="003F0A4F" w14:paraId="407431A1" w14:textId="77777777" w:rsidTr="00E63CFE">
        <w:tc>
          <w:tcPr>
            <w:tcW w:w="5580" w:type="dxa"/>
            <w:tcMar>
              <w:left w:w="0" w:type="dxa"/>
              <w:right w:w="29" w:type="dxa"/>
            </w:tcMar>
          </w:tcPr>
          <w:p w14:paraId="1ED50841" w14:textId="77777777" w:rsidR="006D057C" w:rsidRPr="003F0A4F" w:rsidRDefault="006D057C" w:rsidP="003F0A4F">
            <w:r>
              <w:t>How many people are food insecure in the world?</w:t>
            </w:r>
          </w:p>
        </w:tc>
        <w:tc>
          <w:tcPr>
            <w:tcW w:w="2250" w:type="dxa"/>
            <w:tcMar>
              <w:left w:w="29" w:type="dxa"/>
              <w:right w:w="29" w:type="dxa"/>
            </w:tcMar>
          </w:tcPr>
          <w:p w14:paraId="6DAA6E97" w14:textId="77777777" w:rsidR="006D057C" w:rsidRPr="003F0A4F" w:rsidRDefault="006D057C" w:rsidP="003F0A4F">
            <w:pPr>
              <w:jc w:val="center"/>
            </w:pPr>
            <w:r>
              <w:t>108 million</w:t>
            </w:r>
          </w:p>
        </w:tc>
        <w:tc>
          <w:tcPr>
            <w:tcW w:w="1520" w:type="dxa"/>
            <w:tcMar>
              <w:left w:w="29" w:type="dxa"/>
              <w:right w:w="29" w:type="dxa"/>
            </w:tcMar>
          </w:tcPr>
          <w:p w14:paraId="3E6193E9" w14:textId="77777777" w:rsidR="006D057C" w:rsidRPr="003F0A4F" w:rsidRDefault="006D057C" w:rsidP="003F0A4F">
            <w:pPr>
              <w:jc w:val="center"/>
            </w:pPr>
            <w:r>
              <w:t>17.6</w:t>
            </w:r>
          </w:p>
        </w:tc>
      </w:tr>
      <w:tr w:rsidR="006D057C" w:rsidRPr="003F0A4F" w14:paraId="69AFAF30" w14:textId="77777777" w:rsidTr="00E63CFE">
        <w:tc>
          <w:tcPr>
            <w:tcW w:w="5580" w:type="dxa"/>
            <w:tcMar>
              <w:left w:w="0" w:type="dxa"/>
              <w:right w:w="29" w:type="dxa"/>
            </w:tcMar>
          </w:tcPr>
          <w:p w14:paraId="44A0BB1D" w14:textId="77777777" w:rsidR="006D057C" w:rsidRPr="003F0A4F" w:rsidRDefault="006D057C" w:rsidP="003F0A4F">
            <w:r>
              <w:rPr>
                <w:color w:val="000000"/>
              </w:rPr>
              <w:t>How many countries spend less than 10% of their household income on food?</w:t>
            </w:r>
          </w:p>
        </w:tc>
        <w:tc>
          <w:tcPr>
            <w:tcW w:w="2250" w:type="dxa"/>
            <w:tcMar>
              <w:left w:w="29" w:type="dxa"/>
              <w:right w:w="29" w:type="dxa"/>
            </w:tcMar>
          </w:tcPr>
          <w:p w14:paraId="65372844" w14:textId="77777777" w:rsidR="006D057C" w:rsidRPr="003F0A4F" w:rsidRDefault="006D057C" w:rsidP="003F0A4F">
            <w:pPr>
              <w:jc w:val="center"/>
            </w:pPr>
            <w:r>
              <w:t>8</w:t>
            </w:r>
          </w:p>
        </w:tc>
        <w:tc>
          <w:tcPr>
            <w:tcW w:w="1520" w:type="dxa"/>
            <w:tcMar>
              <w:left w:w="29" w:type="dxa"/>
              <w:right w:w="29" w:type="dxa"/>
            </w:tcMar>
          </w:tcPr>
          <w:p w14:paraId="1010A5A7" w14:textId="77777777" w:rsidR="006D057C" w:rsidRPr="003F0A4F" w:rsidRDefault="006D057C" w:rsidP="003F0A4F">
            <w:pPr>
              <w:jc w:val="center"/>
            </w:pPr>
            <w:r>
              <w:t>14.7</w:t>
            </w:r>
          </w:p>
        </w:tc>
      </w:tr>
      <w:tr w:rsidR="006D057C" w:rsidRPr="003F0A4F" w14:paraId="6BA858D4" w14:textId="77777777" w:rsidTr="00E63CFE">
        <w:tc>
          <w:tcPr>
            <w:tcW w:w="5580" w:type="dxa"/>
            <w:tcMar>
              <w:left w:w="0" w:type="dxa"/>
              <w:right w:w="29" w:type="dxa"/>
            </w:tcMar>
          </w:tcPr>
          <w:p w14:paraId="13E0B522" w14:textId="77777777" w:rsidR="006D057C" w:rsidRPr="003F0A4F" w:rsidRDefault="006D057C" w:rsidP="003F0A4F">
            <w:r>
              <w:rPr>
                <w:color w:val="000000"/>
              </w:rPr>
              <w:t>How much food does the world waste every year?</w:t>
            </w:r>
          </w:p>
        </w:tc>
        <w:tc>
          <w:tcPr>
            <w:tcW w:w="2250" w:type="dxa"/>
            <w:tcMar>
              <w:left w:w="29" w:type="dxa"/>
              <w:right w:w="29" w:type="dxa"/>
            </w:tcMar>
          </w:tcPr>
          <w:p w14:paraId="2E919406" w14:textId="77777777" w:rsidR="006D057C" w:rsidRPr="003F0A4F" w:rsidRDefault="006D057C" w:rsidP="003F0A4F">
            <w:pPr>
              <w:jc w:val="center"/>
            </w:pPr>
            <w:r>
              <w:t>1.3 billion tons</w:t>
            </w:r>
          </w:p>
        </w:tc>
        <w:tc>
          <w:tcPr>
            <w:tcW w:w="1520" w:type="dxa"/>
            <w:tcMar>
              <w:left w:w="29" w:type="dxa"/>
              <w:right w:w="29" w:type="dxa"/>
            </w:tcMar>
          </w:tcPr>
          <w:p w14:paraId="21E86646" w14:textId="77777777" w:rsidR="006D057C" w:rsidRPr="003F0A4F" w:rsidRDefault="006D057C" w:rsidP="003F0A4F">
            <w:pPr>
              <w:jc w:val="center"/>
            </w:pPr>
            <w:r>
              <w:t>10.0</w:t>
            </w:r>
          </w:p>
        </w:tc>
      </w:tr>
      <w:tr w:rsidR="006D057C" w:rsidRPr="003F0A4F" w14:paraId="3C6217C7" w14:textId="77777777" w:rsidTr="00E63CFE">
        <w:tc>
          <w:tcPr>
            <w:tcW w:w="5580" w:type="dxa"/>
            <w:tcMar>
              <w:left w:w="0" w:type="dxa"/>
              <w:right w:w="29" w:type="dxa"/>
            </w:tcMar>
          </w:tcPr>
          <w:p w14:paraId="3464AF35" w14:textId="77777777" w:rsidR="006D057C" w:rsidRPr="003F0A4F" w:rsidRDefault="006D057C" w:rsidP="003F0A4F">
            <w:r>
              <w:rPr>
                <w:color w:val="000000"/>
              </w:rPr>
              <w:t>What percentage of US household income is spent on food?</w:t>
            </w:r>
          </w:p>
        </w:tc>
        <w:tc>
          <w:tcPr>
            <w:tcW w:w="2250" w:type="dxa"/>
            <w:tcMar>
              <w:left w:w="29" w:type="dxa"/>
              <w:right w:w="29" w:type="dxa"/>
            </w:tcMar>
          </w:tcPr>
          <w:p w14:paraId="15A25734" w14:textId="77777777" w:rsidR="006D057C" w:rsidRPr="003F0A4F" w:rsidRDefault="006D057C" w:rsidP="003F0A4F">
            <w:pPr>
              <w:jc w:val="center"/>
            </w:pPr>
            <w:r>
              <w:t>6.40%</w:t>
            </w:r>
          </w:p>
        </w:tc>
        <w:tc>
          <w:tcPr>
            <w:tcW w:w="1520" w:type="dxa"/>
            <w:tcMar>
              <w:left w:w="29" w:type="dxa"/>
              <w:right w:w="29" w:type="dxa"/>
            </w:tcMar>
          </w:tcPr>
          <w:p w14:paraId="0FF81C4B" w14:textId="77777777" w:rsidR="006D057C" w:rsidRPr="003F0A4F" w:rsidRDefault="006D057C" w:rsidP="003F0A4F">
            <w:pPr>
              <w:jc w:val="center"/>
            </w:pPr>
            <w:r>
              <w:t>5.3</w:t>
            </w:r>
          </w:p>
        </w:tc>
      </w:tr>
    </w:tbl>
    <w:p w14:paraId="69AE9861" w14:textId="4AF16258" w:rsidR="000F0427" w:rsidRDefault="009B3DDE" w:rsidP="009D47B6">
      <w:pPr>
        <w:ind w:firstLine="720"/>
      </w:pPr>
      <w:bookmarkStart w:id="4" w:name="_heading=h.2et92p0" w:colFirst="0" w:colLast="0"/>
      <w:bookmarkStart w:id="5" w:name="_heading=h.tyjcwt" w:colFirst="0" w:colLast="0"/>
      <w:bookmarkEnd w:id="4"/>
      <w:bookmarkEnd w:id="5"/>
      <w:r>
        <w:t>Welch’s t-test using ranked scores was used to compare the knowledge scores between ag and non-ag students. Results did not show a significant difference between students in ag students (</w:t>
      </w:r>
      <w:r>
        <w:rPr>
          <w:i/>
        </w:rPr>
        <w:t xml:space="preserve">m = </w:t>
      </w:r>
      <w:r>
        <w:t xml:space="preserve">3.51, ranked </w:t>
      </w:r>
      <w:r>
        <w:rPr>
          <w:i/>
        </w:rPr>
        <w:t>m = 83.56</w:t>
      </w:r>
      <w:r>
        <w:t>) than non-ag majors (</w:t>
      </w:r>
      <w:r>
        <w:rPr>
          <w:i/>
        </w:rPr>
        <w:t xml:space="preserve">m = </w:t>
      </w:r>
      <w:r>
        <w:t xml:space="preserve">3.67, ranked </w:t>
      </w:r>
      <w:r>
        <w:rPr>
          <w:i/>
        </w:rPr>
        <w:t xml:space="preserve">m </w:t>
      </w:r>
      <w:r>
        <w:t>= 86.43) (</w:t>
      </w:r>
      <w:r>
        <w:rPr>
          <w:i/>
        </w:rPr>
        <w:t>t</w:t>
      </w:r>
      <w:r>
        <w:t xml:space="preserve"> = -.345, </w:t>
      </w:r>
      <w:r>
        <w:rPr>
          <w:i/>
        </w:rPr>
        <w:t>p</w:t>
      </w:r>
      <w:r>
        <w:t xml:space="preserve"> = .09, </w:t>
      </w:r>
      <w:proofErr w:type="spellStart"/>
      <w:r>
        <w:rPr>
          <w:i/>
        </w:rPr>
        <w:t>df</w:t>
      </w:r>
      <w:proofErr w:type="spellEnd"/>
      <w:r>
        <w:rPr>
          <w:i/>
        </w:rPr>
        <w:t xml:space="preserve"> </w:t>
      </w:r>
      <w:r>
        <w:t xml:space="preserve">= 94.9). </w:t>
      </w:r>
    </w:p>
    <w:p w14:paraId="6A18A3B1" w14:textId="77777777" w:rsidR="003F0A4F" w:rsidRDefault="003F0A4F" w:rsidP="003F0A4F">
      <w:pPr>
        <w:rPr>
          <w:b/>
        </w:rPr>
      </w:pPr>
    </w:p>
    <w:p w14:paraId="5279523E" w14:textId="24E0D145" w:rsidR="00DD1FC0" w:rsidRDefault="00DD1FC0" w:rsidP="00DD1FC0">
      <w:r>
        <w:rPr>
          <w:b/>
        </w:rPr>
        <w:t>Objective Four</w:t>
      </w:r>
      <w:r>
        <w:rPr>
          <w:b/>
        </w:rPr>
        <w:t xml:space="preserve">: </w:t>
      </w:r>
      <w:r>
        <w:t xml:space="preserve">A negligible correlation as found between the total knowledge scores and attitude. No significance of knowledge or attitudes was found among students who did or did not have an international experience. Students with an experience abroad did not have a significantly more favorable attitude than those that had no experience abroad. Study abroad experience was not found to have a significant association with students’ attitude or knowledge level regarding agricultural issues and policy. </w:t>
      </w:r>
    </w:p>
    <w:p w14:paraId="7CAC6281" w14:textId="77777777" w:rsidR="00204471" w:rsidRDefault="00204471">
      <w:pPr>
        <w:rPr>
          <w:b/>
        </w:rPr>
      </w:pPr>
    </w:p>
    <w:p w14:paraId="7C4BE7B8" w14:textId="77777777" w:rsidR="00204471" w:rsidRDefault="00204471" w:rsidP="00204471">
      <w:pPr>
        <w:jc w:val="center"/>
        <w:rPr>
          <w:b/>
        </w:rPr>
      </w:pPr>
      <w:r>
        <w:rPr>
          <w:b/>
        </w:rPr>
        <w:t>Conclusions</w:t>
      </w:r>
    </w:p>
    <w:p w14:paraId="78B024E1" w14:textId="43EBD966" w:rsidR="00204471" w:rsidRDefault="00204471" w:rsidP="00204471">
      <w:r>
        <w:t>Results concluded that undergraduate students held a low level of knowledge about global ag issues and policy. This information presents administrators with the opportunity to intentionally design and reevaluate the current curriculum to address these knowledge gaps. Another concerning component of these results is the fact that ag students held lower average knowledge scores than non-ag students. These unforeseen results further highlight the urgency of being intentional with curriculum design in agriculturally related programs. However, the findings provide a starting point for future research to examine additional factors that may impact these differences (i.e., incoming GPA).</w:t>
      </w:r>
    </w:p>
    <w:p w14:paraId="49FFEB01" w14:textId="77777777" w:rsidR="00204471" w:rsidRDefault="00204471" w:rsidP="00204471"/>
    <w:p w14:paraId="1883C4D3" w14:textId="77777777" w:rsidR="00204471" w:rsidRDefault="00204471" w:rsidP="00204471">
      <w:r>
        <w:t xml:space="preserve">Although the responses were unexpected, it’s important to note that ag students think more highly about the importance of international agriculture issues and policy. These results suggest that, while ag students think international agriculture and ag policy are highly important, their curriculum might not provide the appropriate knowledge and level of understanding to discuss </w:t>
      </w:r>
      <w:r>
        <w:lastRenderedPageBreak/>
        <w:t>them or possibly address them in their future careers. By addressing this knowledge gap with more purpose, perhaps ag students will be better equipped to engage in these conversations in a more constructive, meaningful way. The results also provide a call to action for US agricultural faculty to consider improving the in-demand sectors such as monitoring and evaluation, trade and economic development, and project management as well as of policy in their undergraduate agricultural courses.</w:t>
      </w:r>
    </w:p>
    <w:p w14:paraId="7E89A702" w14:textId="79E7741B" w:rsidR="00DD1FC0" w:rsidRPr="00204471" w:rsidRDefault="00DD1FC0" w:rsidP="00204471"/>
    <w:p w14:paraId="6B90B588" w14:textId="6C687627" w:rsidR="000F0427" w:rsidRDefault="009B3DDE" w:rsidP="003F0A4F">
      <w:pPr>
        <w:rPr>
          <w:b/>
        </w:rPr>
      </w:pPr>
      <w:r>
        <w:rPr>
          <w:b/>
        </w:rPr>
        <w:t xml:space="preserve">Table </w:t>
      </w:r>
      <w:r w:rsidR="009D47B6">
        <w:rPr>
          <w:b/>
        </w:rPr>
        <w:t>2</w:t>
      </w:r>
    </w:p>
    <w:p w14:paraId="2D128B9F" w14:textId="3B832BB4" w:rsidR="006D057C" w:rsidRDefault="009B3DDE" w:rsidP="003F0A4F">
      <w:pPr>
        <w:rPr>
          <w:i/>
        </w:rPr>
      </w:pPr>
      <w:bookmarkStart w:id="6" w:name="_heading=h.3dy6vkm" w:colFirst="0" w:colLast="0"/>
      <w:bookmarkEnd w:id="6"/>
      <w:r>
        <w:rPr>
          <w:i/>
        </w:rPr>
        <w:t>Attitude toward the Importance of Global Agricultural Issues and Policy Education</w:t>
      </w:r>
    </w:p>
    <w:tbl>
      <w:tblPr>
        <w:tblW w:w="0" w:type="auto"/>
        <w:tblBorders>
          <w:top w:val="single" w:sz="4" w:space="0" w:color="auto"/>
          <w:bottom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325"/>
        <w:gridCol w:w="1350"/>
        <w:gridCol w:w="1080"/>
        <w:gridCol w:w="1530"/>
        <w:gridCol w:w="804"/>
        <w:gridCol w:w="1261"/>
      </w:tblGrid>
      <w:tr w:rsidR="003F0A4F" w14:paraId="3759C54F" w14:textId="77777777" w:rsidTr="00220734">
        <w:trPr>
          <w:trHeight w:val="844"/>
        </w:trPr>
        <w:tc>
          <w:tcPr>
            <w:tcW w:w="3325" w:type="dxa"/>
            <w:tcBorders>
              <w:top w:val="single" w:sz="4" w:space="0" w:color="auto"/>
              <w:bottom w:val="single" w:sz="4" w:space="0" w:color="auto"/>
            </w:tcBorders>
            <w:tcMar>
              <w:top w:w="100" w:type="dxa"/>
              <w:left w:w="100" w:type="dxa"/>
              <w:bottom w:w="100" w:type="dxa"/>
              <w:right w:w="100" w:type="dxa"/>
            </w:tcMar>
            <w:hideMark/>
          </w:tcPr>
          <w:p w14:paraId="40372901" w14:textId="77777777" w:rsidR="003F0A4F" w:rsidRDefault="003F0A4F">
            <w:pPr>
              <w:pStyle w:val="NormalWeb"/>
              <w:spacing w:before="0" w:beforeAutospacing="0" w:after="0" w:afterAutospacing="0"/>
            </w:pPr>
            <w:r>
              <w:rPr>
                <w:color w:val="000000"/>
              </w:rPr>
              <w:t> </w:t>
            </w:r>
          </w:p>
        </w:tc>
        <w:tc>
          <w:tcPr>
            <w:tcW w:w="1350" w:type="dxa"/>
            <w:tcBorders>
              <w:top w:val="single" w:sz="4" w:space="0" w:color="auto"/>
              <w:bottom w:val="single" w:sz="4" w:space="0" w:color="auto"/>
            </w:tcBorders>
            <w:tcMar>
              <w:top w:w="100" w:type="dxa"/>
              <w:left w:w="100" w:type="dxa"/>
              <w:bottom w:w="100" w:type="dxa"/>
              <w:right w:w="100" w:type="dxa"/>
            </w:tcMar>
            <w:hideMark/>
          </w:tcPr>
          <w:p w14:paraId="1F2CD026" w14:textId="77777777" w:rsidR="003F0A4F" w:rsidRDefault="003F0A4F">
            <w:pPr>
              <w:pStyle w:val="NormalWeb"/>
              <w:spacing w:before="0" w:beforeAutospacing="0" w:after="0" w:afterAutospacing="0"/>
            </w:pPr>
            <w:r>
              <w:rPr>
                <w:color w:val="000000"/>
              </w:rPr>
              <w:t>Strongly Disagree (%)</w:t>
            </w:r>
          </w:p>
        </w:tc>
        <w:tc>
          <w:tcPr>
            <w:tcW w:w="1080" w:type="dxa"/>
            <w:tcBorders>
              <w:top w:val="single" w:sz="4" w:space="0" w:color="auto"/>
              <w:bottom w:val="single" w:sz="4" w:space="0" w:color="auto"/>
            </w:tcBorders>
            <w:tcMar>
              <w:top w:w="100" w:type="dxa"/>
              <w:left w:w="100" w:type="dxa"/>
              <w:bottom w:w="100" w:type="dxa"/>
              <w:right w:w="100" w:type="dxa"/>
            </w:tcMar>
            <w:hideMark/>
          </w:tcPr>
          <w:p w14:paraId="153A11E8" w14:textId="77777777" w:rsidR="003F0A4F" w:rsidRDefault="003F0A4F">
            <w:pPr>
              <w:pStyle w:val="NormalWeb"/>
              <w:spacing w:before="0" w:beforeAutospacing="0" w:after="0" w:afterAutospacing="0"/>
            </w:pPr>
            <w:r>
              <w:rPr>
                <w:color w:val="000000"/>
              </w:rPr>
              <w:t>Disagree (%)</w:t>
            </w:r>
          </w:p>
        </w:tc>
        <w:tc>
          <w:tcPr>
            <w:tcW w:w="1530" w:type="dxa"/>
            <w:tcBorders>
              <w:top w:val="single" w:sz="4" w:space="0" w:color="auto"/>
              <w:bottom w:val="single" w:sz="4" w:space="0" w:color="auto"/>
            </w:tcBorders>
            <w:tcMar>
              <w:top w:w="100" w:type="dxa"/>
              <w:left w:w="100" w:type="dxa"/>
              <w:bottom w:w="100" w:type="dxa"/>
              <w:right w:w="100" w:type="dxa"/>
            </w:tcMar>
            <w:hideMark/>
          </w:tcPr>
          <w:p w14:paraId="6FCDAB6C" w14:textId="77777777" w:rsidR="003F0A4F" w:rsidRDefault="003F0A4F">
            <w:pPr>
              <w:pStyle w:val="NormalWeb"/>
              <w:spacing w:before="0" w:beforeAutospacing="0" w:after="0" w:afterAutospacing="0"/>
            </w:pPr>
            <w:r>
              <w:rPr>
                <w:color w:val="000000"/>
              </w:rPr>
              <w:t>Neither Agree or Disagree (%)</w:t>
            </w:r>
          </w:p>
        </w:tc>
        <w:tc>
          <w:tcPr>
            <w:tcW w:w="804" w:type="dxa"/>
            <w:tcBorders>
              <w:top w:val="single" w:sz="4" w:space="0" w:color="auto"/>
              <w:bottom w:val="single" w:sz="4" w:space="0" w:color="auto"/>
            </w:tcBorders>
            <w:tcMar>
              <w:top w:w="100" w:type="dxa"/>
              <w:left w:w="100" w:type="dxa"/>
              <w:bottom w:w="100" w:type="dxa"/>
              <w:right w:w="100" w:type="dxa"/>
            </w:tcMar>
            <w:hideMark/>
          </w:tcPr>
          <w:p w14:paraId="40364CA4" w14:textId="77777777" w:rsidR="003F0A4F" w:rsidRDefault="003F0A4F">
            <w:pPr>
              <w:pStyle w:val="NormalWeb"/>
              <w:spacing w:before="0" w:beforeAutospacing="0" w:after="0" w:afterAutospacing="0"/>
            </w:pPr>
            <w:r>
              <w:rPr>
                <w:color w:val="000000"/>
              </w:rPr>
              <w:t>Agree (%)</w:t>
            </w:r>
          </w:p>
        </w:tc>
        <w:tc>
          <w:tcPr>
            <w:tcW w:w="1261" w:type="dxa"/>
            <w:tcBorders>
              <w:top w:val="single" w:sz="4" w:space="0" w:color="auto"/>
              <w:bottom w:val="single" w:sz="4" w:space="0" w:color="auto"/>
            </w:tcBorders>
            <w:tcMar>
              <w:top w:w="100" w:type="dxa"/>
              <w:left w:w="100" w:type="dxa"/>
              <w:bottom w:w="100" w:type="dxa"/>
              <w:right w:w="100" w:type="dxa"/>
            </w:tcMar>
            <w:hideMark/>
          </w:tcPr>
          <w:p w14:paraId="7E26F389" w14:textId="77777777" w:rsidR="003F0A4F" w:rsidRDefault="003F0A4F">
            <w:pPr>
              <w:pStyle w:val="NormalWeb"/>
              <w:spacing w:before="0" w:beforeAutospacing="0" w:after="0" w:afterAutospacing="0"/>
            </w:pPr>
            <w:r>
              <w:rPr>
                <w:color w:val="000000"/>
              </w:rPr>
              <w:t>Strongly Agree (%)</w:t>
            </w:r>
          </w:p>
        </w:tc>
      </w:tr>
      <w:tr w:rsidR="003F0A4F" w14:paraId="1BF05C10" w14:textId="77777777" w:rsidTr="00220734">
        <w:trPr>
          <w:trHeight w:val="502"/>
        </w:trPr>
        <w:tc>
          <w:tcPr>
            <w:tcW w:w="3325" w:type="dxa"/>
            <w:tcBorders>
              <w:top w:val="single" w:sz="4" w:space="0" w:color="auto"/>
            </w:tcBorders>
            <w:tcMar>
              <w:top w:w="100" w:type="dxa"/>
              <w:left w:w="100" w:type="dxa"/>
              <w:bottom w:w="100" w:type="dxa"/>
              <w:right w:w="100" w:type="dxa"/>
            </w:tcMar>
            <w:hideMark/>
          </w:tcPr>
          <w:p w14:paraId="09F328F7" w14:textId="77777777" w:rsidR="003F0A4F" w:rsidRDefault="003F0A4F" w:rsidP="003F0A4F">
            <w:pPr>
              <w:pStyle w:val="NormalWeb"/>
              <w:spacing w:before="120" w:beforeAutospacing="0" w:after="0" w:afterAutospacing="0"/>
            </w:pPr>
            <w:r>
              <w:rPr>
                <w:color w:val="000000"/>
              </w:rPr>
              <w:t>I am worried about international agriculture food security</w:t>
            </w:r>
          </w:p>
        </w:tc>
        <w:tc>
          <w:tcPr>
            <w:tcW w:w="1350" w:type="dxa"/>
            <w:tcBorders>
              <w:top w:val="single" w:sz="4" w:space="0" w:color="auto"/>
            </w:tcBorders>
            <w:tcMar>
              <w:top w:w="100" w:type="dxa"/>
              <w:left w:w="100" w:type="dxa"/>
              <w:bottom w:w="100" w:type="dxa"/>
              <w:right w:w="100" w:type="dxa"/>
            </w:tcMar>
            <w:hideMark/>
          </w:tcPr>
          <w:p w14:paraId="50774739" w14:textId="77777777" w:rsidR="003F0A4F" w:rsidRDefault="003F0A4F" w:rsidP="003F0A4F">
            <w:pPr>
              <w:pStyle w:val="NormalWeb"/>
              <w:spacing w:before="120" w:beforeAutospacing="0" w:after="0" w:afterAutospacing="0"/>
              <w:jc w:val="center"/>
            </w:pPr>
            <w:r>
              <w:rPr>
                <w:color w:val="000000"/>
              </w:rPr>
              <w:t>2.3</w:t>
            </w:r>
          </w:p>
        </w:tc>
        <w:tc>
          <w:tcPr>
            <w:tcW w:w="1080" w:type="dxa"/>
            <w:tcBorders>
              <w:top w:val="single" w:sz="4" w:space="0" w:color="auto"/>
            </w:tcBorders>
            <w:tcMar>
              <w:top w:w="100" w:type="dxa"/>
              <w:left w:w="100" w:type="dxa"/>
              <w:bottom w:w="100" w:type="dxa"/>
              <w:right w:w="100" w:type="dxa"/>
            </w:tcMar>
            <w:hideMark/>
          </w:tcPr>
          <w:p w14:paraId="0AF43817" w14:textId="77777777" w:rsidR="003F0A4F" w:rsidRDefault="003F0A4F" w:rsidP="003F0A4F">
            <w:pPr>
              <w:pStyle w:val="NormalWeb"/>
              <w:spacing w:before="120" w:beforeAutospacing="0" w:after="0" w:afterAutospacing="0"/>
              <w:jc w:val="center"/>
            </w:pPr>
            <w:r>
              <w:rPr>
                <w:color w:val="000000"/>
              </w:rPr>
              <w:t>4.0</w:t>
            </w:r>
          </w:p>
        </w:tc>
        <w:tc>
          <w:tcPr>
            <w:tcW w:w="1530" w:type="dxa"/>
            <w:tcBorders>
              <w:top w:val="single" w:sz="4" w:space="0" w:color="auto"/>
            </w:tcBorders>
            <w:tcMar>
              <w:top w:w="100" w:type="dxa"/>
              <w:left w:w="100" w:type="dxa"/>
              <w:bottom w:w="100" w:type="dxa"/>
              <w:right w:w="100" w:type="dxa"/>
            </w:tcMar>
            <w:hideMark/>
          </w:tcPr>
          <w:p w14:paraId="561890C9" w14:textId="77777777" w:rsidR="003F0A4F" w:rsidRDefault="003F0A4F" w:rsidP="003F0A4F">
            <w:pPr>
              <w:pStyle w:val="NormalWeb"/>
              <w:spacing w:before="120" w:beforeAutospacing="0" w:after="0" w:afterAutospacing="0"/>
              <w:jc w:val="center"/>
            </w:pPr>
            <w:r>
              <w:rPr>
                <w:color w:val="000000"/>
              </w:rPr>
              <w:t>31.3</w:t>
            </w:r>
          </w:p>
        </w:tc>
        <w:tc>
          <w:tcPr>
            <w:tcW w:w="804" w:type="dxa"/>
            <w:tcBorders>
              <w:top w:val="single" w:sz="4" w:space="0" w:color="auto"/>
            </w:tcBorders>
            <w:tcMar>
              <w:top w:w="100" w:type="dxa"/>
              <w:left w:w="100" w:type="dxa"/>
              <w:bottom w:w="100" w:type="dxa"/>
              <w:right w:w="100" w:type="dxa"/>
            </w:tcMar>
            <w:hideMark/>
          </w:tcPr>
          <w:p w14:paraId="07776556" w14:textId="77777777" w:rsidR="003F0A4F" w:rsidRPr="0068173A" w:rsidRDefault="003F0A4F" w:rsidP="003F0A4F">
            <w:pPr>
              <w:pStyle w:val="NormalWeb"/>
              <w:spacing w:before="120" w:beforeAutospacing="0" w:after="0" w:afterAutospacing="0"/>
              <w:jc w:val="center"/>
              <w:rPr>
                <w:b/>
                <w:bCs/>
              </w:rPr>
            </w:pPr>
            <w:r w:rsidRPr="0068173A">
              <w:rPr>
                <w:b/>
                <w:bCs/>
                <w:color w:val="000000"/>
              </w:rPr>
              <w:t>48.3</w:t>
            </w:r>
          </w:p>
        </w:tc>
        <w:tc>
          <w:tcPr>
            <w:tcW w:w="1261" w:type="dxa"/>
            <w:tcBorders>
              <w:top w:val="single" w:sz="4" w:space="0" w:color="auto"/>
            </w:tcBorders>
            <w:tcMar>
              <w:top w:w="100" w:type="dxa"/>
              <w:left w:w="100" w:type="dxa"/>
              <w:bottom w:w="100" w:type="dxa"/>
              <w:right w:w="100" w:type="dxa"/>
            </w:tcMar>
            <w:hideMark/>
          </w:tcPr>
          <w:p w14:paraId="0A774074" w14:textId="77777777" w:rsidR="003F0A4F" w:rsidRDefault="003F0A4F" w:rsidP="003F0A4F">
            <w:pPr>
              <w:pStyle w:val="NormalWeb"/>
              <w:spacing w:before="120" w:beforeAutospacing="0" w:after="0" w:afterAutospacing="0"/>
              <w:jc w:val="center"/>
            </w:pPr>
            <w:r>
              <w:rPr>
                <w:color w:val="000000"/>
              </w:rPr>
              <w:t>14.2</w:t>
            </w:r>
          </w:p>
        </w:tc>
      </w:tr>
      <w:tr w:rsidR="003F0A4F" w14:paraId="29F7E420" w14:textId="77777777" w:rsidTr="00220734">
        <w:trPr>
          <w:trHeight w:val="1105"/>
        </w:trPr>
        <w:tc>
          <w:tcPr>
            <w:tcW w:w="3325" w:type="dxa"/>
            <w:tcMar>
              <w:top w:w="100" w:type="dxa"/>
              <w:left w:w="100" w:type="dxa"/>
              <w:bottom w:w="100" w:type="dxa"/>
              <w:right w:w="100" w:type="dxa"/>
            </w:tcMar>
            <w:hideMark/>
          </w:tcPr>
          <w:p w14:paraId="6F0894F2" w14:textId="77777777" w:rsidR="003F0A4F" w:rsidRDefault="003F0A4F" w:rsidP="003F0A4F">
            <w:pPr>
              <w:pStyle w:val="NormalWeb"/>
              <w:spacing w:before="120" w:beforeAutospacing="0" w:after="0" w:afterAutospacing="0"/>
            </w:pPr>
            <w:r>
              <w:rPr>
                <w:color w:val="000000"/>
              </w:rPr>
              <w:t>I believe that policies supporting goods and investments contribute to global food security and nutrition</w:t>
            </w:r>
          </w:p>
        </w:tc>
        <w:tc>
          <w:tcPr>
            <w:tcW w:w="1350" w:type="dxa"/>
            <w:tcMar>
              <w:top w:w="100" w:type="dxa"/>
              <w:left w:w="100" w:type="dxa"/>
              <w:bottom w:w="100" w:type="dxa"/>
              <w:right w:w="100" w:type="dxa"/>
            </w:tcMar>
            <w:hideMark/>
          </w:tcPr>
          <w:p w14:paraId="3746FE87" w14:textId="77777777" w:rsidR="003F0A4F" w:rsidRDefault="003F0A4F" w:rsidP="003F0A4F">
            <w:pPr>
              <w:pStyle w:val="NormalWeb"/>
              <w:spacing w:before="120" w:beforeAutospacing="0" w:after="0" w:afterAutospacing="0"/>
              <w:jc w:val="center"/>
            </w:pPr>
            <w:r>
              <w:rPr>
                <w:color w:val="000000"/>
              </w:rPr>
              <w:t>.6</w:t>
            </w:r>
          </w:p>
        </w:tc>
        <w:tc>
          <w:tcPr>
            <w:tcW w:w="1080" w:type="dxa"/>
            <w:tcMar>
              <w:top w:w="100" w:type="dxa"/>
              <w:left w:w="100" w:type="dxa"/>
              <w:bottom w:w="100" w:type="dxa"/>
              <w:right w:w="100" w:type="dxa"/>
            </w:tcMar>
            <w:hideMark/>
          </w:tcPr>
          <w:p w14:paraId="399F4933" w14:textId="77777777" w:rsidR="003F0A4F" w:rsidRDefault="003F0A4F" w:rsidP="003F0A4F">
            <w:pPr>
              <w:pStyle w:val="NormalWeb"/>
              <w:spacing w:before="120" w:beforeAutospacing="0" w:after="0" w:afterAutospacing="0"/>
              <w:jc w:val="center"/>
            </w:pPr>
            <w:r>
              <w:rPr>
                <w:color w:val="000000"/>
              </w:rPr>
              <w:t>1.7</w:t>
            </w:r>
          </w:p>
        </w:tc>
        <w:tc>
          <w:tcPr>
            <w:tcW w:w="1530" w:type="dxa"/>
            <w:tcMar>
              <w:top w:w="100" w:type="dxa"/>
              <w:left w:w="100" w:type="dxa"/>
              <w:bottom w:w="100" w:type="dxa"/>
              <w:right w:w="100" w:type="dxa"/>
            </w:tcMar>
            <w:hideMark/>
          </w:tcPr>
          <w:p w14:paraId="2EC8004C" w14:textId="77777777" w:rsidR="003F0A4F" w:rsidRDefault="003F0A4F" w:rsidP="003F0A4F">
            <w:pPr>
              <w:pStyle w:val="NormalWeb"/>
              <w:spacing w:before="120" w:beforeAutospacing="0" w:after="0" w:afterAutospacing="0"/>
              <w:jc w:val="center"/>
            </w:pPr>
            <w:r>
              <w:rPr>
                <w:color w:val="000000"/>
              </w:rPr>
              <w:t>29.0</w:t>
            </w:r>
          </w:p>
        </w:tc>
        <w:tc>
          <w:tcPr>
            <w:tcW w:w="804" w:type="dxa"/>
            <w:tcMar>
              <w:top w:w="100" w:type="dxa"/>
              <w:left w:w="100" w:type="dxa"/>
              <w:bottom w:w="100" w:type="dxa"/>
              <w:right w:w="100" w:type="dxa"/>
            </w:tcMar>
            <w:hideMark/>
          </w:tcPr>
          <w:p w14:paraId="49C0241F" w14:textId="77777777" w:rsidR="003F0A4F" w:rsidRPr="0068173A" w:rsidRDefault="003F0A4F" w:rsidP="003F0A4F">
            <w:pPr>
              <w:pStyle w:val="NormalWeb"/>
              <w:spacing w:before="120" w:beforeAutospacing="0" w:after="0" w:afterAutospacing="0"/>
              <w:jc w:val="center"/>
              <w:rPr>
                <w:b/>
                <w:bCs/>
              </w:rPr>
            </w:pPr>
            <w:r w:rsidRPr="0068173A">
              <w:rPr>
                <w:b/>
                <w:bCs/>
                <w:color w:val="000000"/>
              </w:rPr>
              <w:t>56.3</w:t>
            </w:r>
          </w:p>
        </w:tc>
        <w:tc>
          <w:tcPr>
            <w:tcW w:w="1261" w:type="dxa"/>
            <w:tcMar>
              <w:top w:w="100" w:type="dxa"/>
              <w:left w:w="100" w:type="dxa"/>
              <w:bottom w:w="100" w:type="dxa"/>
              <w:right w:w="100" w:type="dxa"/>
            </w:tcMar>
            <w:hideMark/>
          </w:tcPr>
          <w:p w14:paraId="6B36A229" w14:textId="77777777" w:rsidR="003F0A4F" w:rsidRDefault="003F0A4F" w:rsidP="003F0A4F">
            <w:pPr>
              <w:pStyle w:val="NormalWeb"/>
              <w:spacing w:before="120" w:beforeAutospacing="0" w:after="0" w:afterAutospacing="0"/>
              <w:jc w:val="center"/>
            </w:pPr>
            <w:r>
              <w:rPr>
                <w:color w:val="000000"/>
              </w:rPr>
              <w:t>12.5</w:t>
            </w:r>
          </w:p>
        </w:tc>
      </w:tr>
      <w:tr w:rsidR="003F0A4F" w14:paraId="4D8A654B" w14:textId="77777777" w:rsidTr="00220734">
        <w:trPr>
          <w:trHeight w:val="790"/>
        </w:trPr>
        <w:tc>
          <w:tcPr>
            <w:tcW w:w="3325" w:type="dxa"/>
            <w:tcMar>
              <w:top w:w="100" w:type="dxa"/>
              <w:left w:w="100" w:type="dxa"/>
              <w:bottom w:w="100" w:type="dxa"/>
              <w:right w:w="100" w:type="dxa"/>
            </w:tcMar>
            <w:hideMark/>
          </w:tcPr>
          <w:p w14:paraId="25F76263" w14:textId="77777777" w:rsidR="003F0A4F" w:rsidRDefault="003F0A4F" w:rsidP="003F0A4F">
            <w:pPr>
              <w:pStyle w:val="NormalWeb"/>
              <w:spacing w:before="120" w:beforeAutospacing="0" w:after="0" w:afterAutospacing="0"/>
            </w:pPr>
            <w:r>
              <w:rPr>
                <w:color w:val="000000"/>
              </w:rPr>
              <w:t>I believe that tighter borders and migration restrictions could impact food security </w:t>
            </w:r>
          </w:p>
        </w:tc>
        <w:tc>
          <w:tcPr>
            <w:tcW w:w="1350" w:type="dxa"/>
            <w:tcMar>
              <w:top w:w="100" w:type="dxa"/>
              <w:left w:w="100" w:type="dxa"/>
              <w:bottom w:w="100" w:type="dxa"/>
              <w:right w:w="100" w:type="dxa"/>
            </w:tcMar>
            <w:hideMark/>
          </w:tcPr>
          <w:p w14:paraId="1E8643BD" w14:textId="77777777" w:rsidR="003F0A4F" w:rsidRDefault="003F0A4F" w:rsidP="003F0A4F">
            <w:pPr>
              <w:pStyle w:val="NormalWeb"/>
              <w:spacing w:before="120" w:beforeAutospacing="0" w:after="0" w:afterAutospacing="0"/>
              <w:jc w:val="center"/>
            </w:pPr>
            <w:r>
              <w:rPr>
                <w:color w:val="000000"/>
              </w:rPr>
              <w:t>2.9</w:t>
            </w:r>
          </w:p>
        </w:tc>
        <w:tc>
          <w:tcPr>
            <w:tcW w:w="1080" w:type="dxa"/>
            <w:tcMar>
              <w:top w:w="100" w:type="dxa"/>
              <w:left w:w="100" w:type="dxa"/>
              <w:bottom w:w="100" w:type="dxa"/>
              <w:right w:w="100" w:type="dxa"/>
            </w:tcMar>
            <w:hideMark/>
          </w:tcPr>
          <w:p w14:paraId="1FE15FFC" w14:textId="77777777" w:rsidR="003F0A4F" w:rsidRDefault="003F0A4F" w:rsidP="003F0A4F">
            <w:pPr>
              <w:pStyle w:val="NormalWeb"/>
              <w:spacing w:before="120" w:beforeAutospacing="0" w:after="0" w:afterAutospacing="0"/>
              <w:jc w:val="center"/>
            </w:pPr>
            <w:r>
              <w:rPr>
                <w:color w:val="000000"/>
              </w:rPr>
              <w:t>7.5</w:t>
            </w:r>
          </w:p>
        </w:tc>
        <w:tc>
          <w:tcPr>
            <w:tcW w:w="1530" w:type="dxa"/>
            <w:tcMar>
              <w:top w:w="100" w:type="dxa"/>
              <w:left w:w="100" w:type="dxa"/>
              <w:bottom w:w="100" w:type="dxa"/>
              <w:right w:w="100" w:type="dxa"/>
            </w:tcMar>
            <w:hideMark/>
          </w:tcPr>
          <w:p w14:paraId="242C1479" w14:textId="77777777" w:rsidR="003F0A4F" w:rsidRDefault="003F0A4F" w:rsidP="003F0A4F">
            <w:pPr>
              <w:pStyle w:val="NormalWeb"/>
              <w:spacing w:before="120" w:beforeAutospacing="0" w:after="0" w:afterAutospacing="0"/>
              <w:jc w:val="center"/>
            </w:pPr>
            <w:r>
              <w:rPr>
                <w:color w:val="000000"/>
              </w:rPr>
              <w:t>28.2</w:t>
            </w:r>
          </w:p>
        </w:tc>
        <w:tc>
          <w:tcPr>
            <w:tcW w:w="804" w:type="dxa"/>
            <w:tcMar>
              <w:top w:w="100" w:type="dxa"/>
              <w:left w:w="100" w:type="dxa"/>
              <w:bottom w:w="100" w:type="dxa"/>
              <w:right w:w="100" w:type="dxa"/>
            </w:tcMar>
            <w:hideMark/>
          </w:tcPr>
          <w:p w14:paraId="4A1A3C33" w14:textId="77777777" w:rsidR="003F0A4F" w:rsidRPr="0068173A" w:rsidRDefault="003F0A4F" w:rsidP="003F0A4F">
            <w:pPr>
              <w:pStyle w:val="NormalWeb"/>
              <w:spacing w:before="120" w:beforeAutospacing="0" w:after="0" w:afterAutospacing="0"/>
              <w:jc w:val="center"/>
              <w:rPr>
                <w:b/>
                <w:bCs/>
              </w:rPr>
            </w:pPr>
            <w:r w:rsidRPr="0068173A">
              <w:rPr>
                <w:b/>
                <w:bCs/>
                <w:color w:val="000000"/>
              </w:rPr>
              <w:t>46.6</w:t>
            </w:r>
          </w:p>
        </w:tc>
        <w:tc>
          <w:tcPr>
            <w:tcW w:w="1261" w:type="dxa"/>
            <w:tcMar>
              <w:top w:w="100" w:type="dxa"/>
              <w:left w:w="100" w:type="dxa"/>
              <w:bottom w:w="100" w:type="dxa"/>
              <w:right w:w="100" w:type="dxa"/>
            </w:tcMar>
            <w:hideMark/>
          </w:tcPr>
          <w:p w14:paraId="6B844CFD" w14:textId="77777777" w:rsidR="003F0A4F" w:rsidRDefault="003F0A4F" w:rsidP="003F0A4F">
            <w:pPr>
              <w:pStyle w:val="NormalWeb"/>
              <w:spacing w:before="120" w:beforeAutospacing="0" w:after="0" w:afterAutospacing="0"/>
              <w:jc w:val="center"/>
            </w:pPr>
            <w:r>
              <w:rPr>
                <w:color w:val="000000"/>
              </w:rPr>
              <w:t>14.9</w:t>
            </w:r>
          </w:p>
        </w:tc>
      </w:tr>
      <w:tr w:rsidR="003F0A4F" w14:paraId="3ABF54D3" w14:textId="77777777" w:rsidTr="00220734">
        <w:trPr>
          <w:trHeight w:val="700"/>
        </w:trPr>
        <w:tc>
          <w:tcPr>
            <w:tcW w:w="3325" w:type="dxa"/>
            <w:tcMar>
              <w:top w:w="100" w:type="dxa"/>
              <w:left w:w="100" w:type="dxa"/>
              <w:bottom w:w="100" w:type="dxa"/>
              <w:right w:w="100" w:type="dxa"/>
            </w:tcMar>
            <w:hideMark/>
          </w:tcPr>
          <w:p w14:paraId="515CD0ED" w14:textId="77777777" w:rsidR="003F0A4F" w:rsidRDefault="003F0A4F" w:rsidP="003F0A4F">
            <w:pPr>
              <w:pStyle w:val="NormalWeb"/>
              <w:spacing w:before="120" w:beforeAutospacing="0" w:after="0" w:afterAutospacing="0"/>
            </w:pPr>
            <w:r>
              <w:rPr>
                <w:color w:val="000000"/>
              </w:rPr>
              <w:t>World agriculture has some effect on food prices in my local grocery store</w:t>
            </w:r>
          </w:p>
        </w:tc>
        <w:tc>
          <w:tcPr>
            <w:tcW w:w="1350" w:type="dxa"/>
            <w:tcMar>
              <w:top w:w="100" w:type="dxa"/>
              <w:left w:w="100" w:type="dxa"/>
              <w:bottom w:w="100" w:type="dxa"/>
              <w:right w:w="100" w:type="dxa"/>
            </w:tcMar>
            <w:hideMark/>
          </w:tcPr>
          <w:p w14:paraId="70C7F667" w14:textId="77777777" w:rsidR="003F0A4F" w:rsidRDefault="003F0A4F" w:rsidP="003F0A4F">
            <w:pPr>
              <w:pStyle w:val="NormalWeb"/>
              <w:spacing w:before="120" w:beforeAutospacing="0" w:after="0" w:afterAutospacing="0"/>
              <w:jc w:val="center"/>
            </w:pPr>
            <w:r>
              <w:rPr>
                <w:color w:val="000000"/>
              </w:rPr>
              <w:t>.6</w:t>
            </w:r>
          </w:p>
        </w:tc>
        <w:tc>
          <w:tcPr>
            <w:tcW w:w="1080" w:type="dxa"/>
            <w:tcMar>
              <w:top w:w="100" w:type="dxa"/>
              <w:left w:w="100" w:type="dxa"/>
              <w:bottom w:w="100" w:type="dxa"/>
              <w:right w:w="100" w:type="dxa"/>
            </w:tcMar>
            <w:hideMark/>
          </w:tcPr>
          <w:p w14:paraId="4244B33F" w14:textId="77777777" w:rsidR="003F0A4F" w:rsidRDefault="003F0A4F" w:rsidP="003F0A4F">
            <w:pPr>
              <w:pStyle w:val="NormalWeb"/>
              <w:spacing w:before="120" w:beforeAutospacing="0" w:after="0" w:afterAutospacing="0"/>
              <w:jc w:val="center"/>
            </w:pPr>
            <w:r>
              <w:rPr>
                <w:color w:val="000000"/>
              </w:rPr>
              <w:t>1.1</w:t>
            </w:r>
          </w:p>
        </w:tc>
        <w:tc>
          <w:tcPr>
            <w:tcW w:w="1530" w:type="dxa"/>
            <w:tcMar>
              <w:top w:w="100" w:type="dxa"/>
              <w:left w:w="100" w:type="dxa"/>
              <w:bottom w:w="100" w:type="dxa"/>
              <w:right w:w="100" w:type="dxa"/>
            </w:tcMar>
            <w:hideMark/>
          </w:tcPr>
          <w:p w14:paraId="609D4C08" w14:textId="77777777" w:rsidR="003F0A4F" w:rsidRDefault="003F0A4F" w:rsidP="003F0A4F">
            <w:pPr>
              <w:pStyle w:val="NormalWeb"/>
              <w:spacing w:before="120" w:beforeAutospacing="0" w:after="0" w:afterAutospacing="0"/>
              <w:jc w:val="center"/>
            </w:pPr>
            <w:r>
              <w:rPr>
                <w:color w:val="000000"/>
              </w:rPr>
              <w:t>14.2</w:t>
            </w:r>
          </w:p>
        </w:tc>
        <w:tc>
          <w:tcPr>
            <w:tcW w:w="804" w:type="dxa"/>
            <w:tcMar>
              <w:top w:w="100" w:type="dxa"/>
              <w:left w:w="100" w:type="dxa"/>
              <w:bottom w:w="100" w:type="dxa"/>
              <w:right w:w="100" w:type="dxa"/>
            </w:tcMar>
            <w:hideMark/>
          </w:tcPr>
          <w:p w14:paraId="0D7AA813" w14:textId="77777777" w:rsidR="003F0A4F" w:rsidRPr="0068173A" w:rsidRDefault="003F0A4F" w:rsidP="003F0A4F">
            <w:pPr>
              <w:pStyle w:val="NormalWeb"/>
              <w:spacing w:before="120" w:beforeAutospacing="0" w:after="0" w:afterAutospacing="0"/>
              <w:jc w:val="center"/>
              <w:rPr>
                <w:b/>
                <w:bCs/>
              </w:rPr>
            </w:pPr>
            <w:r w:rsidRPr="0068173A">
              <w:rPr>
                <w:b/>
                <w:bCs/>
                <w:color w:val="000000"/>
              </w:rPr>
              <w:t>61.4</w:t>
            </w:r>
          </w:p>
        </w:tc>
        <w:tc>
          <w:tcPr>
            <w:tcW w:w="1261" w:type="dxa"/>
            <w:tcMar>
              <w:top w:w="100" w:type="dxa"/>
              <w:left w:w="100" w:type="dxa"/>
              <w:bottom w:w="100" w:type="dxa"/>
              <w:right w:w="100" w:type="dxa"/>
            </w:tcMar>
            <w:hideMark/>
          </w:tcPr>
          <w:p w14:paraId="358E9A39" w14:textId="77777777" w:rsidR="003F0A4F" w:rsidRDefault="003F0A4F" w:rsidP="003F0A4F">
            <w:pPr>
              <w:pStyle w:val="NormalWeb"/>
              <w:spacing w:before="120" w:beforeAutospacing="0" w:after="0" w:afterAutospacing="0"/>
              <w:jc w:val="center"/>
            </w:pPr>
            <w:r>
              <w:rPr>
                <w:color w:val="000000"/>
              </w:rPr>
              <w:t>22.7</w:t>
            </w:r>
          </w:p>
        </w:tc>
      </w:tr>
      <w:tr w:rsidR="003F0A4F" w14:paraId="2AEEF1A9" w14:textId="77777777" w:rsidTr="00220734">
        <w:trPr>
          <w:trHeight w:val="547"/>
        </w:trPr>
        <w:tc>
          <w:tcPr>
            <w:tcW w:w="3325" w:type="dxa"/>
            <w:tcMar>
              <w:top w:w="100" w:type="dxa"/>
              <w:left w:w="100" w:type="dxa"/>
              <w:bottom w:w="100" w:type="dxa"/>
              <w:right w:w="100" w:type="dxa"/>
            </w:tcMar>
            <w:hideMark/>
          </w:tcPr>
          <w:p w14:paraId="5925ED81" w14:textId="77777777" w:rsidR="003F0A4F" w:rsidRDefault="003F0A4F" w:rsidP="003F0A4F">
            <w:pPr>
              <w:pStyle w:val="NormalWeb"/>
              <w:spacing w:before="120" w:beforeAutospacing="0" w:after="0" w:afterAutospacing="0"/>
            </w:pPr>
            <w:r>
              <w:rPr>
                <w:color w:val="000000"/>
              </w:rPr>
              <w:t>World events have some impact on agriculture in my community</w:t>
            </w:r>
          </w:p>
        </w:tc>
        <w:tc>
          <w:tcPr>
            <w:tcW w:w="1350" w:type="dxa"/>
            <w:tcMar>
              <w:top w:w="100" w:type="dxa"/>
              <w:left w:w="100" w:type="dxa"/>
              <w:bottom w:w="100" w:type="dxa"/>
              <w:right w:w="100" w:type="dxa"/>
            </w:tcMar>
            <w:hideMark/>
          </w:tcPr>
          <w:p w14:paraId="1F155950" w14:textId="77777777" w:rsidR="003F0A4F" w:rsidRDefault="003F0A4F" w:rsidP="003F0A4F">
            <w:pPr>
              <w:pStyle w:val="NormalWeb"/>
              <w:spacing w:before="120" w:beforeAutospacing="0" w:after="0" w:afterAutospacing="0"/>
              <w:jc w:val="center"/>
            </w:pPr>
            <w:r>
              <w:rPr>
                <w:color w:val="000000"/>
              </w:rPr>
              <w:t>0</w:t>
            </w:r>
          </w:p>
        </w:tc>
        <w:tc>
          <w:tcPr>
            <w:tcW w:w="1080" w:type="dxa"/>
            <w:tcMar>
              <w:top w:w="100" w:type="dxa"/>
              <w:left w:w="100" w:type="dxa"/>
              <w:bottom w:w="100" w:type="dxa"/>
              <w:right w:w="100" w:type="dxa"/>
            </w:tcMar>
            <w:hideMark/>
          </w:tcPr>
          <w:p w14:paraId="111017AD" w14:textId="77777777" w:rsidR="003F0A4F" w:rsidRDefault="003F0A4F" w:rsidP="003F0A4F">
            <w:pPr>
              <w:pStyle w:val="NormalWeb"/>
              <w:spacing w:before="120" w:beforeAutospacing="0" w:after="0" w:afterAutospacing="0"/>
              <w:jc w:val="center"/>
            </w:pPr>
            <w:r>
              <w:rPr>
                <w:color w:val="000000"/>
              </w:rPr>
              <w:t>2.9</w:t>
            </w:r>
          </w:p>
        </w:tc>
        <w:tc>
          <w:tcPr>
            <w:tcW w:w="1530" w:type="dxa"/>
            <w:tcMar>
              <w:top w:w="100" w:type="dxa"/>
              <w:left w:w="100" w:type="dxa"/>
              <w:bottom w:w="100" w:type="dxa"/>
              <w:right w:w="100" w:type="dxa"/>
            </w:tcMar>
            <w:hideMark/>
          </w:tcPr>
          <w:p w14:paraId="3168F182" w14:textId="77777777" w:rsidR="003F0A4F" w:rsidRDefault="003F0A4F" w:rsidP="003F0A4F">
            <w:pPr>
              <w:pStyle w:val="NormalWeb"/>
              <w:spacing w:before="120" w:beforeAutospacing="0" w:after="0" w:afterAutospacing="0"/>
              <w:jc w:val="center"/>
            </w:pPr>
            <w:r>
              <w:rPr>
                <w:color w:val="000000"/>
              </w:rPr>
              <w:t>16.1</w:t>
            </w:r>
          </w:p>
        </w:tc>
        <w:tc>
          <w:tcPr>
            <w:tcW w:w="804" w:type="dxa"/>
            <w:tcMar>
              <w:top w:w="100" w:type="dxa"/>
              <w:left w:w="100" w:type="dxa"/>
              <w:bottom w:w="100" w:type="dxa"/>
              <w:right w:w="100" w:type="dxa"/>
            </w:tcMar>
            <w:hideMark/>
          </w:tcPr>
          <w:p w14:paraId="2205E1C5" w14:textId="77777777" w:rsidR="003F0A4F" w:rsidRPr="0068173A" w:rsidRDefault="003F0A4F" w:rsidP="003F0A4F">
            <w:pPr>
              <w:pStyle w:val="NormalWeb"/>
              <w:spacing w:before="120" w:beforeAutospacing="0" w:after="0" w:afterAutospacing="0"/>
              <w:jc w:val="center"/>
              <w:rPr>
                <w:b/>
                <w:bCs/>
              </w:rPr>
            </w:pPr>
            <w:r w:rsidRPr="0068173A">
              <w:rPr>
                <w:b/>
                <w:bCs/>
                <w:color w:val="000000"/>
              </w:rPr>
              <w:t>65.5</w:t>
            </w:r>
          </w:p>
        </w:tc>
        <w:tc>
          <w:tcPr>
            <w:tcW w:w="1261" w:type="dxa"/>
            <w:tcMar>
              <w:top w:w="100" w:type="dxa"/>
              <w:left w:w="100" w:type="dxa"/>
              <w:bottom w:w="100" w:type="dxa"/>
              <w:right w:w="100" w:type="dxa"/>
            </w:tcMar>
            <w:hideMark/>
          </w:tcPr>
          <w:p w14:paraId="56B2F85D" w14:textId="77777777" w:rsidR="003F0A4F" w:rsidRDefault="003F0A4F" w:rsidP="003F0A4F">
            <w:pPr>
              <w:pStyle w:val="NormalWeb"/>
              <w:spacing w:before="120" w:beforeAutospacing="0" w:after="0" w:afterAutospacing="0"/>
              <w:jc w:val="center"/>
            </w:pPr>
            <w:r>
              <w:rPr>
                <w:color w:val="000000"/>
              </w:rPr>
              <w:t>15.5</w:t>
            </w:r>
          </w:p>
        </w:tc>
      </w:tr>
      <w:tr w:rsidR="003F0A4F" w14:paraId="46439D13" w14:textId="77777777" w:rsidTr="00220734">
        <w:trPr>
          <w:trHeight w:val="754"/>
        </w:trPr>
        <w:tc>
          <w:tcPr>
            <w:tcW w:w="3325" w:type="dxa"/>
            <w:tcMar>
              <w:top w:w="100" w:type="dxa"/>
              <w:left w:w="100" w:type="dxa"/>
              <w:bottom w:w="100" w:type="dxa"/>
              <w:right w:w="100" w:type="dxa"/>
            </w:tcMar>
            <w:hideMark/>
          </w:tcPr>
          <w:p w14:paraId="2BB9AD1F" w14:textId="77777777" w:rsidR="003F0A4F" w:rsidRDefault="003F0A4F" w:rsidP="003F0A4F">
            <w:pPr>
              <w:pStyle w:val="NormalWeb"/>
              <w:spacing w:before="120" w:beforeAutospacing="0" w:after="0" w:afterAutospacing="0"/>
            </w:pPr>
            <w:r>
              <w:rPr>
                <w:color w:val="000000"/>
              </w:rPr>
              <w:t>Understanding global politics helps US producers market their products abroad.</w:t>
            </w:r>
          </w:p>
        </w:tc>
        <w:tc>
          <w:tcPr>
            <w:tcW w:w="1350" w:type="dxa"/>
            <w:tcMar>
              <w:top w:w="100" w:type="dxa"/>
              <w:left w:w="100" w:type="dxa"/>
              <w:bottom w:w="100" w:type="dxa"/>
              <w:right w:w="100" w:type="dxa"/>
            </w:tcMar>
            <w:hideMark/>
          </w:tcPr>
          <w:p w14:paraId="0D33581B" w14:textId="77777777" w:rsidR="003F0A4F" w:rsidRDefault="003F0A4F" w:rsidP="003F0A4F">
            <w:pPr>
              <w:pStyle w:val="NormalWeb"/>
              <w:spacing w:before="120" w:beforeAutospacing="0" w:after="0" w:afterAutospacing="0"/>
              <w:jc w:val="center"/>
            </w:pPr>
            <w:r>
              <w:rPr>
                <w:color w:val="000000"/>
              </w:rPr>
              <w:t>0</w:t>
            </w:r>
          </w:p>
        </w:tc>
        <w:tc>
          <w:tcPr>
            <w:tcW w:w="1080" w:type="dxa"/>
            <w:tcMar>
              <w:top w:w="100" w:type="dxa"/>
              <w:left w:w="100" w:type="dxa"/>
              <w:bottom w:w="100" w:type="dxa"/>
              <w:right w:w="100" w:type="dxa"/>
            </w:tcMar>
            <w:hideMark/>
          </w:tcPr>
          <w:p w14:paraId="05C7AF1F" w14:textId="77777777" w:rsidR="003F0A4F" w:rsidRDefault="003F0A4F" w:rsidP="003F0A4F">
            <w:pPr>
              <w:pStyle w:val="NormalWeb"/>
              <w:spacing w:before="120" w:beforeAutospacing="0" w:after="0" w:afterAutospacing="0"/>
              <w:jc w:val="center"/>
            </w:pPr>
            <w:r>
              <w:rPr>
                <w:color w:val="000000"/>
              </w:rPr>
              <w:t>.6</w:t>
            </w:r>
          </w:p>
        </w:tc>
        <w:tc>
          <w:tcPr>
            <w:tcW w:w="1530" w:type="dxa"/>
            <w:tcMar>
              <w:top w:w="100" w:type="dxa"/>
              <w:left w:w="100" w:type="dxa"/>
              <w:bottom w:w="100" w:type="dxa"/>
              <w:right w:w="100" w:type="dxa"/>
            </w:tcMar>
            <w:hideMark/>
          </w:tcPr>
          <w:p w14:paraId="5895EB49" w14:textId="77777777" w:rsidR="003F0A4F" w:rsidRDefault="003F0A4F" w:rsidP="003F0A4F">
            <w:pPr>
              <w:pStyle w:val="NormalWeb"/>
              <w:spacing w:before="120" w:beforeAutospacing="0" w:after="0" w:afterAutospacing="0"/>
              <w:jc w:val="center"/>
            </w:pPr>
            <w:r>
              <w:rPr>
                <w:color w:val="000000"/>
              </w:rPr>
              <w:t>20</w:t>
            </w:r>
          </w:p>
        </w:tc>
        <w:tc>
          <w:tcPr>
            <w:tcW w:w="804" w:type="dxa"/>
            <w:tcMar>
              <w:top w:w="100" w:type="dxa"/>
              <w:left w:w="100" w:type="dxa"/>
              <w:bottom w:w="100" w:type="dxa"/>
              <w:right w:w="100" w:type="dxa"/>
            </w:tcMar>
            <w:hideMark/>
          </w:tcPr>
          <w:p w14:paraId="0A70441D" w14:textId="77777777" w:rsidR="003F0A4F" w:rsidRPr="0068173A" w:rsidRDefault="003F0A4F" w:rsidP="003F0A4F">
            <w:pPr>
              <w:pStyle w:val="NormalWeb"/>
              <w:spacing w:before="120" w:beforeAutospacing="0" w:after="0" w:afterAutospacing="0"/>
              <w:jc w:val="center"/>
              <w:rPr>
                <w:b/>
                <w:bCs/>
              </w:rPr>
            </w:pPr>
            <w:r w:rsidRPr="0068173A">
              <w:rPr>
                <w:b/>
                <w:bCs/>
                <w:color w:val="000000"/>
              </w:rPr>
              <w:t>59.4</w:t>
            </w:r>
          </w:p>
        </w:tc>
        <w:tc>
          <w:tcPr>
            <w:tcW w:w="1261" w:type="dxa"/>
            <w:tcMar>
              <w:top w:w="100" w:type="dxa"/>
              <w:left w:w="100" w:type="dxa"/>
              <w:bottom w:w="100" w:type="dxa"/>
              <w:right w:w="100" w:type="dxa"/>
            </w:tcMar>
            <w:hideMark/>
          </w:tcPr>
          <w:p w14:paraId="0FF1B1ED" w14:textId="77777777" w:rsidR="003F0A4F" w:rsidRDefault="003F0A4F" w:rsidP="003F0A4F">
            <w:pPr>
              <w:pStyle w:val="NormalWeb"/>
              <w:spacing w:before="120" w:beforeAutospacing="0" w:after="0" w:afterAutospacing="0"/>
              <w:jc w:val="center"/>
            </w:pPr>
            <w:r>
              <w:rPr>
                <w:color w:val="000000"/>
              </w:rPr>
              <w:t>20.0</w:t>
            </w:r>
          </w:p>
        </w:tc>
      </w:tr>
      <w:tr w:rsidR="003F0A4F" w14:paraId="2C359C86" w14:textId="77777777" w:rsidTr="00220734">
        <w:trPr>
          <w:trHeight w:val="394"/>
        </w:trPr>
        <w:tc>
          <w:tcPr>
            <w:tcW w:w="3325" w:type="dxa"/>
            <w:tcMar>
              <w:top w:w="100" w:type="dxa"/>
              <w:left w:w="100" w:type="dxa"/>
              <w:bottom w:w="100" w:type="dxa"/>
              <w:right w:w="100" w:type="dxa"/>
            </w:tcMar>
            <w:hideMark/>
          </w:tcPr>
          <w:p w14:paraId="2AEDC2C9" w14:textId="77777777" w:rsidR="003F0A4F" w:rsidRDefault="003F0A4F" w:rsidP="003F0A4F">
            <w:pPr>
              <w:pStyle w:val="NormalWeb"/>
              <w:spacing w:before="120" w:beforeAutospacing="0" w:after="0" w:afterAutospacing="0"/>
            </w:pPr>
            <w:r>
              <w:rPr>
                <w:color w:val="000000"/>
              </w:rPr>
              <w:t>Politics have a major effect on world agriculture</w:t>
            </w:r>
          </w:p>
        </w:tc>
        <w:tc>
          <w:tcPr>
            <w:tcW w:w="1350" w:type="dxa"/>
            <w:tcMar>
              <w:top w:w="100" w:type="dxa"/>
              <w:left w:w="100" w:type="dxa"/>
              <w:bottom w:w="100" w:type="dxa"/>
              <w:right w:w="100" w:type="dxa"/>
            </w:tcMar>
            <w:hideMark/>
          </w:tcPr>
          <w:p w14:paraId="7E566D89" w14:textId="77777777" w:rsidR="003F0A4F" w:rsidRDefault="003F0A4F" w:rsidP="003F0A4F">
            <w:pPr>
              <w:pStyle w:val="NormalWeb"/>
              <w:spacing w:before="120" w:beforeAutospacing="0" w:after="0" w:afterAutospacing="0"/>
              <w:jc w:val="center"/>
            </w:pPr>
            <w:r>
              <w:rPr>
                <w:color w:val="000000"/>
              </w:rPr>
              <w:t>0</w:t>
            </w:r>
          </w:p>
        </w:tc>
        <w:tc>
          <w:tcPr>
            <w:tcW w:w="1080" w:type="dxa"/>
            <w:tcMar>
              <w:top w:w="100" w:type="dxa"/>
              <w:left w:w="100" w:type="dxa"/>
              <w:bottom w:w="100" w:type="dxa"/>
              <w:right w:w="100" w:type="dxa"/>
            </w:tcMar>
            <w:hideMark/>
          </w:tcPr>
          <w:p w14:paraId="54B51CC6" w14:textId="77777777" w:rsidR="003F0A4F" w:rsidRDefault="003F0A4F" w:rsidP="003F0A4F">
            <w:pPr>
              <w:pStyle w:val="NormalWeb"/>
              <w:spacing w:before="120" w:beforeAutospacing="0" w:after="0" w:afterAutospacing="0"/>
              <w:jc w:val="center"/>
            </w:pPr>
            <w:r>
              <w:rPr>
                <w:color w:val="000000"/>
              </w:rPr>
              <w:t>.6</w:t>
            </w:r>
          </w:p>
        </w:tc>
        <w:tc>
          <w:tcPr>
            <w:tcW w:w="1530" w:type="dxa"/>
            <w:tcMar>
              <w:top w:w="100" w:type="dxa"/>
              <w:left w:w="100" w:type="dxa"/>
              <w:bottom w:w="100" w:type="dxa"/>
              <w:right w:w="100" w:type="dxa"/>
            </w:tcMar>
            <w:hideMark/>
          </w:tcPr>
          <w:p w14:paraId="431DC972" w14:textId="77777777" w:rsidR="003F0A4F" w:rsidRDefault="003F0A4F" w:rsidP="003F0A4F">
            <w:pPr>
              <w:pStyle w:val="NormalWeb"/>
              <w:spacing w:before="120" w:beforeAutospacing="0" w:after="0" w:afterAutospacing="0"/>
              <w:jc w:val="center"/>
            </w:pPr>
            <w:r>
              <w:rPr>
                <w:color w:val="000000"/>
              </w:rPr>
              <w:t>14.9</w:t>
            </w:r>
          </w:p>
        </w:tc>
        <w:tc>
          <w:tcPr>
            <w:tcW w:w="804" w:type="dxa"/>
            <w:tcMar>
              <w:top w:w="100" w:type="dxa"/>
              <w:left w:w="100" w:type="dxa"/>
              <w:bottom w:w="100" w:type="dxa"/>
              <w:right w:w="100" w:type="dxa"/>
            </w:tcMar>
            <w:hideMark/>
          </w:tcPr>
          <w:p w14:paraId="68C5FB5E" w14:textId="77777777" w:rsidR="003F0A4F" w:rsidRPr="0068173A" w:rsidRDefault="003F0A4F" w:rsidP="003F0A4F">
            <w:pPr>
              <w:pStyle w:val="NormalWeb"/>
              <w:spacing w:before="120" w:beforeAutospacing="0" w:after="0" w:afterAutospacing="0"/>
              <w:jc w:val="center"/>
              <w:rPr>
                <w:b/>
                <w:bCs/>
              </w:rPr>
            </w:pPr>
            <w:r w:rsidRPr="0068173A">
              <w:rPr>
                <w:b/>
                <w:bCs/>
                <w:color w:val="000000"/>
              </w:rPr>
              <w:t>56.6</w:t>
            </w:r>
          </w:p>
        </w:tc>
        <w:tc>
          <w:tcPr>
            <w:tcW w:w="1261" w:type="dxa"/>
            <w:tcMar>
              <w:top w:w="100" w:type="dxa"/>
              <w:left w:w="100" w:type="dxa"/>
              <w:bottom w:w="100" w:type="dxa"/>
              <w:right w:w="100" w:type="dxa"/>
            </w:tcMar>
            <w:hideMark/>
          </w:tcPr>
          <w:p w14:paraId="0E494701" w14:textId="77777777" w:rsidR="003F0A4F" w:rsidRDefault="003F0A4F" w:rsidP="003F0A4F">
            <w:pPr>
              <w:pStyle w:val="NormalWeb"/>
              <w:spacing w:before="120" w:beforeAutospacing="0" w:after="0" w:afterAutospacing="0"/>
              <w:jc w:val="center"/>
            </w:pPr>
            <w:r>
              <w:rPr>
                <w:color w:val="000000"/>
              </w:rPr>
              <w:t>28.0</w:t>
            </w:r>
          </w:p>
        </w:tc>
      </w:tr>
    </w:tbl>
    <w:p w14:paraId="1FC28C23" w14:textId="77777777" w:rsidR="000F0427" w:rsidRDefault="000F0427" w:rsidP="003F0A4F"/>
    <w:p w14:paraId="1F1FA54B" w14:textId="59FED321" w:rsidR="000F0427" w:rsidRDefault="000F0427" w:rsidP="003F0A4F">
      <w:pPr>
        <w:ind w:firstLine="720"/>
      </w:pPr>
    </w:p>
    <w:p w14:paraId="1C150145" w14:textId="77777777" w:rsidR="003F0A4F" w:rsidRDefault="003F0A4F" w:rsidP="003F0A4F">
      <w:pPr>
        <w:rPr>
          <w:b/>
        </w:rPr>
      </w:pPr>
    </w:p>
    <w:p w14:paraId="56E911BA" w14:textId="6DE77581" w:rsidR="00204471" w:rsidRDefault="00204471">
      <w:r>
        <w:br w:type="page"/>
      </w:r>
    </w:p>
    <w:p w14:paraId="67AA3F77" w14:textId="77777777" w:rsidR="000F0427" w:rsidRDefault="009B3DDE">
      <w:pPr>
        <w:spacing w:line="480" w:lineRule="auto"/>
        <w:jc w:val="center"/>
        <w:rPr>
          <w:rFonts w:ascii="Times" w:eastAsia="Times" w:hAnsi="Times" w:cs="Times"/>
        </w:rPr>
      </w:pPr>
      <w:r>
        <w:rPr>
          <w:rFonts w:ascii="Times" w:eastAsia="Times" w:hAnsi="Times" w:cs="Times"/>
          <w:b/>
        </w:rPr>
        <w:lastRenderedPageBreak/>
        <w:t>References</w:t>
      </w:r>
    </w:p>
    <w:p w14:paraId="0951AC73" w14:textId="77777777" w:rsidR="000F0427" w:rsidRDefault="009B3DDE" w:rsidP="009D47B6">
      <w:pPr>
        <w:ind w:left="720" w:hanging="720"/>
      </w:pPr>
      <w:proofErr w:type="spellStart"/>
      <w:r>
        <w:t>Armo</w:t>
      </w:r>
      <w:proofErr w:type="spellEnd"/>
      <w:r>
        <w:t xml:space="preserve">, H. J., Mundy, M., &amp; </w:t>
      </w:r>
      <w:proofErr w:type="spellStart"/>
      <w:r>
        <w:t>Kupczynski</w:t>
      </w:r>
      <w:proofErr w:type="spellEnd"/>
      <w:r>
        <w:t xml:space="preserve">, L. (2015). Impacts of age and gender on student achievement in face-to-face and online college algebra classes. </w:t>
      </w:r>
      <w:r>
        <w:rPr>
          <w:i/>
        </w:rPr>
        <w:t>Research in Higher Education Journal, 27</w:t>
      </w:r>
      <w:r>
        <w:t>.</w:t>
      </w:r>
      <w:hyperlink r:id="rId8">
        <w:r>
          <w:t xml:space="preserve"> </w:t>
        </w:r>
      </w:hyperlink>
      <w:hyperlink r:id="rId9">
        <w:r>
          <w:rPr>
            <w:color w:val="1155CC"/>
            <w:u w:val="single"/>
          </w:rPr>
          <w:t>https://files.eric.ed.gov/fulltext/EJ1056178.pdf</w:t>
        </w:r>
      </w:hyperlink>
    </w:p>
    <w:p w14:paraId="1D5160B1" w14:textId="77777777" w:rsidR="000F0427" w:rsidRDefault="009B3DDE" w:rsidP="009D47B6">
      <w:pPr>
        <w:ind w:left="720" w:hanging="720"/>
      </w:pPr>
      <w:r>
        <w:t xml:space="preserve">Bakar, K. A., </w:t>
      </w:r>
      <w:proofErr w:type="spellStart"/>
      <w:r>
        <w:t>Tarmizi</w:t>
      </w:r>
      <w:proofErr w:type="spellEnd"/>
      <w:r>
        <w:t xml:space="preserve">, R. A., </w:t>
      </w:r>
      <w:proofErr w:type="spellStart"/>
      <w:r>
        <w:t>Mahyuddin</w:t>
      </w:r>
      <w:proofErr w:type="spellEnd"/>
      <w:r>
        <w:t xml:space="preserve">, R., Elias, H., Luan, W. S., &amp; Ayub, A. F. M. (2010). Relationships between university students’ achievement motivation, attitude, and academic performance in Malaysia. </w:t>
      </w:r>
      <w:r>
        <w:rPr>
          <w:i/>
        </w:rPr>
        <w:t>Procedia Social and Behavioral Sciences. 2</w:t>
      </w:r>
      <w:r>
        <w:t>(2)</w:t>
      </w:r>
      <w:r>
        <w:rPr>
          <w:i/>
        </w:rPr>
        <w:t xml:space="preserve">, </w:t>
      </w:r>
      <w:r>
        <w:t xml:space="preserve">4906-4910. </w:t>
      </w:r>
      <w:hyperlink r:id="rId10">
        <w:r>
          <w:rPr>
            <w:color w:val="1155CC"/>
            <w:u w:val="single"/>
          </w:rPr>
          <w:t>https://doi.org/10.1016/j.sbspro.2010.03.793</w:t>
        </w:r>
      </w:hyperlink>
    </w:p>
    <w:p w14:paraId="55F72085" w14:textId="77777777" w:rsidR="000F0427" w:rsidRDefault="009B3DDE" w:rsidP="009D47B6">
      <w:pPr>
        <w:ind w:left="720" w:hanging="720"/>
      </w:pPr>
      <w:r>
        <w:t xml:space="preserve">Borg, W. R., &amp; Gall, M. D. (1989). </w:t>
      </w:r>
      <w:r>
        <w:rPr>
          <w:i/>
        </w:rPr>
        <w:t xml:space="preserve">Educational research: An introduction. </w:t>
      </w:r>
      <w:r>
        <w:t>Longman.</w:t>
      </w:r>
    </w:p>
    <w:p w14:paraId="04A76D54" w14:textId="77777777" w:rsidR="000F0427" w:rsidRDefault="009B3DDE" w:rsidP="009D47B6">
      <w:pPr>
        <w:ind w:left="720" w:hanging="720"/>
      </w:pPr>
      <w:r>
        <w:t xml:space="preserve">Bruening, T. H., &amp; Frick, M. (2004). Globalizing the US undergraduate experience: A case study of the benefits of an international agriculture field-based course. </w:t>
      </w:r>
      <w:r>
        <w:rPr>
          <w:i/>
        </w:rPr>
        <w:t>Journal of International Agricultural and Extension Education, 11</w:t>
      </w:r>
      <w:r>
        <w:t xml:space="preserve">(1), 89-96. </w:t>
      </w:r>
      <w:hyperlink r:id="rId11">
        <w:r>
          <w:rPr>
            <w:color w:val="1155CC"/>
            <w:u w:val="single"/>
          </w:rPr>
          <w:t>https://doi.org/</w:t>
        </w:r>
      </w:hyperlink>
      <w:hyperlink r:id="rId12">
        <w:r>
          <w:rPr>
            <w:color w:val="1155CC"/>
            <w:highlight w:val="white"/>
            <w:u w:val="single"/>
          </w:rPr>
          <w:t>10.5191/jiaee.2004.11110</w:t>
        </w:r>
      </w:hyperlink>
    </w:p>
    <w:p w14:paraId="2619EF48" w14:textId="77777777" w:rsidR="000F0427" w:rsidRDefault="009B3DDE" w:rsidP="009D47B6">
      <w:pPr>
        <w:ind w:left="720" w:hanging="720"/>
      </w:pPr>
      <w:r>
        <w:t xml:space="preserve">Bruening, T. H., &amp; Shao, X. (2005). What should be included in an international agriculture undergraduate course? </w:t>
      </w:r>
      <w:r>
        <w:rPr>
          <w:i/>
        </w:rPr>
        <w:t>Journal of International Agricultural and Extension Education, 12</w:t>
      </w:r>
      <w:r>
        <w:t xml:space="preserve">(1), 47-54. </w:t>
      </w:r>
      <w:hyperlink r:id="rId13">
        <w:r>
          <w:rPr>
            <w:color w:val="1155CC"/>
            <w:u w:val="single"/>
          </w:rPr>
          <w:t>https://doi.org/10.519/jiaee.2005.12105</w:t>
        </w:r>
      </w:hyperlink>
    </w:p>
    <w:p w14:paraId="4BFD66BC" w14:textId="664F2E5D" w:rsidR="000F0427" w:rsidRDefault="009B3DDE" w:rsidP="009D47B6">
      <w:pPr>
        <w:ind w:left="720" w:hanging="720"/>
        <w:rPr>
          <w:color w:val="1155CC"/>
          <w:u w:val="single"/>
        </w:rPr>
      </w:pPr>
      <w:r>
        <w:t xml:space="preserve">Coers, N., Rodriguez, M. T., Roberts, G. R., Emerson, C. E., &amp; Barrick, R. K. (2012). Examining the student impacts of three international capstone experiences. </w:t>
      </w:r>
      <w:r>
        <w:rPr>
          <w:i/>
        </w:rPr>
        <w:t>North American Colleges and Teachers of Agriculture Journal, 56</w:t>
      </w:r>
      <w:r>
        <w:t xml:space="preserve">(2), 55-62. </w:t>
      </w:r>
      <w:hyperlink r:id="rId14">
        <w:r>
          <w:rPr>
            <w:color w:val="1155CC"/>
            <w:u w:val="single"/>
          </w:rPr>
          <w:t>https://www.aiaee.org/attachments/category/192/AIAEE_2020_programproceedings_finalspreads.pdf</w:t>
        </w:r>
      </w:hyperlink>
    </w:p>
    <w:p w14:paraId="06B29A87" w14:textId="7C0BBDEE" w:rsidR="0093546D" w:rsidRPr="0093546D" w:rsidRDefault="0093546D" w:rsidP="009D47B6">
      <w:pPr>
        <w:ind w:left="720" w:hanging="720"/>
      </w:pPr>
      <w:r>
        <w:t xml:space="preserve">Davis, J.A. (1971) </w:t>
      </w:r>
      <w:r>
        <w:rPr>
          <w:i/>
        </w:rPr>
        <w:t xml:space="preserve">Elementary survey analysis. </w:t>
      </w:r>
      <w:r>
        <w:t xml:space="preserve">Prentice-Hall. </w:t>
      </w:r>
    </w:p>
    <w:p w14:paraId="535B225F" w14:textId="77777777" w:rsidR="000F0427" w:rsidRDefault="009B3DDE" w:rsidP="009D47B6">
      <w:pPr>
        <w:ind w:left="720" w:hanging="720"/>
      </w:pPr>
      <w:r>
        <w:rPr>
          <w:color w:val="000000"/>
        </w:rPr>
        <w:t xml:space="preserve">Elliot, J., &amp; Yanik, R. (2004). </w:t>
      </w:r>
      <w:r>
        <w:rPr>
          <w:i/>
          <w:color w:val="000000"/>
        </w:rPr>
        <w:t>A longitudinal study of secondary student attitudes and beliefs relative to international agricultural issues.</w:t>
      </w:r>
      <w:r>
        <w:rPr>
          <w:color w:val="000000"/>
        </w:rPr>
        <w:t xml:space="preserve"> Association of International Agricultural and Extension Education Annual Conference, Dublin, Ireland. </w:t>
      </w:r>
      <w:hyperlink r:id="rId15">
        <w:r>
          <w:rPr>
            <w:color w:val="0000FF"/>
            <w:u w:val="single"/>
          </w:rPr>
          <w:t>https://www.aiaee.org/attachments/article/1106/063.pdf</w:t>
        </w:r>
      </w:hyperlink>
    </w:p>
    <w:p w14:paraId="6A427BD0" w14:textId="77777777" w:rsidR="000F0427" w:rsidRDefault="009B3DDE" w:rsidP="009D47B6">
      <w:pPr>
        <w:ind w:left="720" w:hanging="720"/>
      </w:pPr>
      <w:r>
        <w:t xml:space="preserve">Estes, S., Hansen, M. J., &amp; Edgar, L. D. (2016). University student and faculty needs, barriers, and expectations of international efforts and opportunities: A closer look at one Land-Grant University’s College of Agriculture. </w:t>
      </w:r>
      <w:r>
        <w:rPr>
          <w:i/>
        </w:rPr>
        <w:t>Journal of International Agricultural and Extension Education, 23</w:t>
      </w:r>
      <w:r>
        <w:t xml:space="preserve">(1), 33-47. </w:t>
      </w:r>
      <w:hyperlink r:id="rId16">
        <w:r>
          <w:rPr>
            <w:color w:val="1155CC"/>
            <w:u w:val="single"/>
          </w:rPr>
          <w:t>https://doi.org/</w:t>
        </w:r>
      </w:hyperlink>
      <w:hyperlink r:id="rId17">
        <w:r>
          <w:rPr>
            <w:color w:val="1155CC"/>
            <w:highlight w:val="white"/>
            <w:u w:val="single"/>
          </w:rPr>
          <w:t>10.5191/jiaee.2016.23103</w:t>
        </w:r>
      </w:hyperlink>
    </w:p>
    <w:p w14:paraId="1394CA95" w14:textId="77777777" w:rsidR="000F0427" w:rsidRDefault="009B3DDE" w:rsidP="009D47B6">
      <w:pPr>
        <w:ind w:left="720" w:hanging="720"/>
      </w:pPr>
      <w:r>
        <w:t xml:space="preserve">Foster, D. D., Rice, L. L., Foster, M. J., &amp; Barrick, R. K. (2014). Preparing agricultural educators for the world: Describing global competency in agricultural teacher candidates. </w:t>
      </w:r>
      <w:r>
        <w:rPr>
          <w:i/>
        </w:rPr>
        <w:t>Journal of Agricultural Education, 55</w:t>
      </w:r>
      <w:r>
        <w:t xml:space="preserve">(1), 51-65. </w:t>
      </w:r>
      <w:hyperlink r:id="rId18">
        <w:r>
          <w:rPr>
            <w:color w:val="0000FF"/>
            <w:u w:val="single"/>
          </w:rPr>
          <w:t>https://doi.org/</w:t>
        </w:r>
      </w:hyperlink>
      <w:hyperlink r:id="rId19">
        <w:r>
          <w:rPr>
            <w:color w:val="0000FF"/>
            <w:u w:val="single"/>
            <w:shd w:val="clear" w:color="auto" w:fill="FAFAFA"/>
          </w:rPr>
          <w:t>10.5032/jae.2014.01051</w:t>
        </w:r>
      </w:hyperlink>
    </w:p>
    <w:p w14:paraId="4E2C7ECF" w14:textId="77777777" w:rsidR="000F0427" w:rsidRDefault="009B3DDE" w:rsidP="009D47B6">
      <w:pPr>
        <w:ind w:left="720" w:hanging="720"/>
      </w:pPr>
      <w:r>
        <w:t xml:space="preserve">Good, C., Rattan, A., &amp; Dweck, C. (2012). Why do women opt </w:t>
      </w:r>
      <w:proofErr w:type="gramStart"/>
      <w:r>
        <w:t>out?:</w:t>
      </w:r>
      <w:proofErr w:type="gramEnd"/>
      <w:r>
        <w:t xml:space="preserve"> Sense of belonging and women’s representation in mathematics. </w:t>
      </w:r>
      <w:r>
        <w:rPr>
          <w:i/>
        </w:rPr>
        <w:t>Journal of Personality and Social Psychology, 102</w:t>
      </w:r>
      <w:r>
        <w:t xml:space="preserve">(4), 700–717. </w:t>
      </w:r>
      <w:hyperlink r:id="rId20">
        <w:r>
          <w:rPr>
            <w:color w:val="1155CC"/>
            <w:u w:val="single"/>
          </w:rPr>
          <w:t>https://psycnet.apa.org/doi/10.1037/a0026659</w:t>
        </w:r>
      </w:hyperlink>
      <w:r>
        <w:t xml:space="preserve"> </w:t>
      </w:r>
    </w:p>
    <w:p w14:paraId="1C09AC62" w14:textId="77777777" w:rsidR="000F0427" w:rsidRDefault="009B3DDE" w:rsidP="009D47B6">
      <w:pPr>
        <w:ind w:left="720" w:hanging="720"/>
      </w:pPr>
      <w:proofErr w:type="spellStart"/>
      <w:r>
        <w:t>Hachtmann</w:t>
      </w:r>
      <w:proofErr w:type="spellEnd"/>
      <w:r>
        <w:t xml:space="preserve">, F. (2012). The effect of advertising-focused, short-term study abroad programs on students’ worldviews. </w:t>
      </w:r>
      <w:r>
        <w:rPr>
          <w:i/>
        </w:rPr>
        <w:t>Journal of Advertising Education, 16</w:t>
      </w:r>
      <w:r>
        <w:t xml:space="preserve">(1), 19-29. </w:t>
      </w:r>
      <w:hyperlink r:id="rId21">
        <w:r>
          <w:rPr>
            <w:color w:val="1155CC"/>
            <w:u w:val="single"/>
          </w:rPr>
          <w:t>https://digitalcommons.unl.edu/journalismfacpub/68/</w:t>
        </w:r>
      </w:hyperlink>
    </w:p>
    <w:p w14:paraId="3A26F5A2" w14:textId="77777777" w:rsidR="000F0427" w:rsidRDefault="009B3DDE" w:rsidP="009D47B6">
      <w:pPr>
        <w:ind w:left="720" w:hanging="720"/>
      </w:pPr>
      <w:r>
        <w:t xml:space="preserve">Hahs-Vaughn, D. L. &amp; Lomax, R. G. (2013). </w:t>
      </w:r>
      <w:r>
        <w:rPr>
          <w:i/>
        </w:rPr>
        <w:t>An introduction to statistical concepts</w:t>
      </w:r>
      <w:r>
        <w:t xml:space="preserve"> (4th ed.). Routledge/Taylor &amp; Francis Group.</w:t>
      </w:r>
    </w:p>
    <w:p w14:paraId="03AA0D04" w14:textId="77777777" w:rsidR="000F0427" w:rsidRDefault="009B3DDE" w:rsidP="009D47B6">
      <w:pPr>
        <w:ind w:left="720" w:hanging="720"/>
      </w:pPr>
      <w:r>
        <w:t xml:space="preserve">Harder, A., </w:t>
      </w:r>
      <w:proofErr w:type="spellStart"/>
      <w:r>
        <w:t>Andenoro</w:t>
      </w:r>
      <w:proofErr w:type="spellEnd"/>
      <w:r>
        <w:t>, A., Roberts, T. G., Stedman, N., Newberry, M., Parker, S. J., &amp; Rodriguez, M. T. (2015). Does study abroad increase employability?</w:t>
      </w:r>
      <w:r>
        <w:rPr>
          <w:i/>
        </w:rPr>
        <w:t xml:space="preserve"> North American Colleges and Teachers of Agriculture Journal, 59</w:t>
      </w:r>
      <w:r>
        <w:t xml:space="preserve">(1), 41-48. </w:t>
      </w:r>
      <w:hyperlink r:id="rId22">
        <w:r>
          <w:rPr>
            <w:color w:val="1155CC"/>
            <w:u w:val="single"/>
          </w:rPr>
          <w:t>https://www.nactateachers.org/attachments/article/2266/10.%20Harder.pdf</w:t>
        </w:r>
      </w:hyperlink>
    </w:p>
    <w:p w14:paraId="2DC1F8AB" w14:textId="77777777" w:rsidR="000F0427" w:rsidRDefault="009B3DDE" w:rsidP="009D47B6">
      <w:pPr>
        <w:ind w:left="720" w:hanging="720"/>
      </w:pPr>
      <w:r>
        <w:lastRenderedPageBreak/>
        <w:t xml:space="preserve">Heinert, S. B., &amp; Roberts, T. G. (2016). Globalizing the undergraduate experience in agricultural leadership, education, extension, and communication. </w:t>
      </w:r>
      <w:r>
        <w:rPr>
          <w:i/>
        </w:rPr>
        <w:t>Journal of Agricultural Education, 57</w:t>
      </w:r>
      <w:r>
        <w:t xml:space="preserve">(1), 42-55. </w:t>
      </w:r>
      <w:hyperlink r:id="rId23">
        <w:r>
          <w:rPr>
            <w:color w:val="1155CC"/>
            <w:u w:val="single"/>
          </w:rPr>
          <w:t>https://doi.org/</w:t>
        </w:r>
      </w:hyperlink>
      <w:hyperlink r:id="rId24">
        <w:r>
          <w:rPr>
            <w:color w:val="1155CC"/>
            <w:u w:val="single"/>
            <w:shd w:val="clear" w:color="auto" w:fill="FAFAFA"/>
          </w:rPr>
          <w:t>10.5032/jae.2016.01042</w:t>
        </w:r>
      </w:hyperlink>
      <w:r>
        <w:rPr>
          <w:shd w:val="clear" w:color="auto" w:fill="FAFAFA"/>
        </w:rPr>
        <w:t xml:space="preserve"> </w:t>
      </w:r>
    </w:p>
    <w:p w14:paraId="056D8407" w14:textId="77777777" w:rsidR="000F0427" w:rsidRDefault="009B3DDE" w:rsidP="009D47B6">
      <w:pPr>
        <w:ind w:left="720" w:hanging="720"/>
      </w:pPr>
      <w:r>
        <w:t xml:space="preserve">Hood, M., Creed, P. A., &amp; Neumann, D. L. (2012). Using the expectancy value model of motivation to understand the relationship between student attitudes and achievement in statistics. </w:t>
      </w:r>
      <w:r>
        <w:rPr>
          <w:i/>
        </w:rPr>
        <w:t>Statistics Education Research Journal, 11</w:t>
      </w:r>
      <w:r>
        <w:t>(2), 72-85.</w:t>
      </w:r>
      <w:hyperlink r:id="rId25">
        <w:r>
          <w:t xml:space="preserve"> </w:t>
        </w:r>
      </w:hyperlink>
      <w:hyperlink r:id="rId26">
        <w:r>
          <w:rPr>
            <w:color w:val="1155CC"/>
            <w:u w:val="single"/>
          </w:rPr>
          <w:t>https://www.stat.auckland.ac.nz/~iase/serj/SERJ11(2)_Hood.pdf</w:t>
        </w:r>
      </w:hyperlink>
    </w:p>
    <w:p w14:paraId="556EB418" w14:textId="77777777" w:rsidR="000F0427" w:rsidRDefault="009B3DDE" w:rsidP="009D47B6">
      <w:pPr>
        <w:ind w:left="720" w:hanging="720"/>
      </w:pPr>
      <w:proofErr w:type="spellStart"/>
      <w:r>
        <w:t>Ilgan</w:t>
      </w:r>
      <w:proofErr w:type="spellEnd"/>
      <w:r>
        <w:t xml:space="preserve">, A. (2013). Predicting college student achievement in science courses. </w:t>
      </w:r>
      <w:r>
        <w:rPr>
          <w:i/>
        </w:rPr>
        <w:t>Journal of Baltic Science Education, 12</w:t>
      </w:r>
      <w:r>
        <w:t>(3), 322-226.</w:t>
      </w:r>
      <w:hyperlink r:id="rId27">
        <w:r>
          <w:t xml:space="preserve"> </w:t>
        </w:r>
      </w:hyperlink>
      <w:hyperlink r:id="rId28">
        <w:r>
          <w:rPr>
            <w:color w:val="1155CC"/>
            <w:u w:val="single"/>
          </w:rPr>
          <w:t>http://www.scientiasocialis.lt/jbse/files/pdf/vol12/322-336.Ilgan_JBSE_Vol.12.3.pdf</w:t>
        </w:r>
      </w:hyperlink>
    </w:p>
    <w:p w14:paraId="12FFD55D" w14:textId="77777777" w:rsidR="000F0427" w:rsidRDefault="009B3DDE" w:rsidP="009D47B6">
      <w:pPr>
        <w:ind w:left="720" w:hanging="720"/>
      </w:pPr>
      <w:r>
        <w:t>Irani, T., Place, N., &amp; Friedel, C. (2006). Beliefs, attitudes, perceptions, and barriers toward international involvement among College of Agriculture and Life Science students.</w:t>
      </w:r>
      <w:r>
        <w:rPr>
          <w:i/>
        </w:rPr>
        <w:t> Journal of International Agricultural and Extension Education</w:t>
      </w:r>
      <w:r>
        <w:t>, </w:t>
      </w:r>
      <w:r>
        <w:rPr>
          <w:i/>
        </w:rPr>
        <w:t>13</w:t>
      </w:r>
      <w:r>
        <w:t xml:space="preserve">(2). </w:t>
      </w:r>
      <w:hyperlink r:id="rId29">
        <w:r>
          <w:rPr>
            <w:color w:val="1155CC"/>
            <w:u w:val="single"/>
          </w:rPr>
          <w:t>https://doi.org/10.5191/jiaee.2006.13203</w:t>
        </w:r>
      </w:hyperlink>
    </w:p>
    <w:p w14:paraId="7BA8FFB0" w14:textId="77777777" w:rsidR="000F0427" w:rsidRDefault="009B3DDE" w:rsidP="009D47B6">
      <w:pPr>
        <w:ind w:left="720" w:hanging="720"/>
      </w:pPr>
      <w:r>
        <w:t xml:space="preserve">Karsten, H. D., &amp; O’Connor, R. E. (2002). Lessons learned from teaching an interdisciplinary undergraduate course on sustainable agriculture science and policy. </w:t>
      </w:r>
      <w:r>
        <w:rPr>
          <w:i/>
        </w:rPr>
        <w:t>Journal of Natural Resource Life Science Education, 31</w:t>
      </w:r>
      <w:r>
        <w:t xml:space="preserve">, 111-116. </w:t>
      </w:r>
      <w:hyperlink r:id="rId30">
        <w:r>
          <w:rPr>
            <w:color w:val="054BC0"/>
            <w:u w:val="single"/>
          </w:rPr>
          <w:t>https://doi.org/10.2134/jnrlse.2002.0111</w:t>
        </w:r>
      </w:hyperlink>
      <w:r>
        <w:rPr>
          <w:color w:val="0070C0"/>
        </w:rPr>
        <w:t xml:space="preserve"> </w:t>
      </w:r>
    </w:p>
    <w:p w14:paraId="1D65F7E7" w14:textId="77777777" w:rsidR="000F0427" w:rsidRDefault="009B3DDE" w:rsidP="009D47B6">
      <w:pPr>
        <w:ind w:left="720" w:hanging="720"/>
      </w:pPr>
      <w:proofErr w:type="spellStart"/>
      <w:r>
        <w:t>Kitsantas</w:t>
      </w:r>
      <w:proofErr w:type="spellEnd"/>
      <w:r>
        <w:t xml:space="preserve">, A., &amp; Meyers, J. (2001). </w:t>
      </w:r>
      <w:r>
        <w:rPr>
          <w:i/>
        </w:rPr>
        <w:t>Studying abroad: Does it enhance college student cross-cultural awareness?</w:t>
      </w:r>
      <w:r>
        <w:t xml:space="preserve"> Annual Meeting of the San Diego State University and US Department of Education Centers for International Business Education and Research,</w:t>
      </w:r>
      <w:r>
        <w:rPr>
          <w:i/>
        </w:rPr>
        <w:t xml:space="preserve"> </w:t>
      </w:r>
      <w:r>
        <w:t xml:space="preserve">San Diego, CA, USA. </w:t>
      </w:r>
      <w:hyperlink r:id="rId31">
        <w:r>
          <w:rPr>
            <w:color w:val="1155CC"/>
            <w:u w:val="single"/>
          </w:rPr>
          <w:t>https://eric.ed.gov/?id=ED456648</w:t>
        </w:r>
      </w:hyperlink>
    </w:p>
    <w:p w14:paraId="6BE42139" w14:textId="77777777" w:rsidR="000F0427" w:rsidRDefault="009B3DDE" w:rsidP="009D47B6">
      <w:pPr>
        <w:ind w:left="720" w:hanging="720"/>
      </w:pPr>
      <w:r>
        <w:t xml:space="preserve">Lang, C., </w:t>
      </w:r>
      <w:proofErr w:type="spellStart"/>
      <w:r>
        <w:t>Mckay</w:t>
      </w:r>
      <w:proofErr w:type="spellEnd"/>
      <w:r>
        <w:t xml:space="preserve">, J., &amp; Lewis, S. (2007). </w:t>
      </w:r>
      <w:r>
        <w:rPr>
          <w:i/>
        </w:rPr>
        <w:t>Seven factors that influence ICT student achievement.</w:t>
      </w:r>
      <w:r>
        <w:t xml:space="preserve"> Annual SIGCSE Conference on Innovation and Technology in Computer Science Education</w:t>
      </w:r>
      <w:r>
        <w:rPr>
          <w:i/>
        </w:rPr>
        <w:t xml:space="preserve">, </w:t>
      </w:r>
      <w:r>
        <w:t xml:space="preserve">Dundee, Scotland, UK. </w:t>
      </w:r>
      <w:hyperlink r:id="rId32">
        <w:r>
          <w:rPr>
            <w:color w:val="1155CC"/>
            <w:u w:val="single"/>
          </w:rPr>
          <w:t>https://doi.org/10.1145/1268784.1268849</w:t>
        </w:r>
      </w:hyperlink>
      <w:r>
        <w:t xml:space="preserve"> </w:t>
      </w:r>
    </w:p>
    <w:p w14:paraId="29DB6C6A" w14:textId="77777777" w:rsidR="000F0427" w:rsidRDefault="009B3DDE" w:rsidP="009D47B6">
      <w:pPr>
        <w:ind w:left="720" w:hanging="720"/>
      </w:pPr>
      <w:r>
        <w:t xml:space="preserve">Lukefahr, S. D. (1999). Teaching international animal agriculture. </w:t>
      </w:r>
      <w:r>
        <w:rPr>
          <w:i/>
        </w:rPr>
        <w:t>Journal of Animal Science, 77</w:t>
      </w:r>
      <w:r>
        <w:t xml:space="preserve">(11), 3106-3113. </w:t>
      </w:r>
      <w:hyperlink r:id="rId33">
        <w:r>
          <w:rPr>
            <w:color w:val="1155CC"/>
            <w:u w:val="single"/>
          </w:rPr>
          <w:t>https://doi.org/10.2527/1999.77113106x</w:t>
        </w:r>
      </w:hyperlink>
    </w:p>
    <w:p w14:paraId="61DAD6C7" w14:textId="77777777" w:rsidR="000F0427" w:rsidRDefault="009B3DDE" w:rsidP="009D47B6">
      <w:pPr>
        <w:ind w:left="720" w:hanging="720"/>
      </w:pPr>
      <w:r>
        <w:t xml:space="preserve">Moore, E. A., Ingram, P. D., &amp; Dhital, P. (1996). College of Agriculture and non-College of Agriculture students’ knowledge about international agriculture and related factors. </w:t>
      </w:r>
      <w:r>
        <w:rPr>
          <w:i/>
        </w:rPr>
        <w:t>Journal of Agricultural Education, 37</w:t>
      </w:r>
      <w:r>
        <w:t xml:space="preserve">(4), 14-22. </w:t>
      </w:r>
      <w:hyperlink r:id="rId34">
        <w:r>
          <w:rPr>
            <w:color w:val="1155CC"/>
            <w:u w:val="single"/>
          </w:rPr>
          <w:t>https://www.jae-online.org/index.php/back-issues/58-volume-37-number-4-1996/555-college-of-agriculture-and-non-college-of-agriculture-students-knowledge-about-international-agriculture-and-related-factors-</w:t>
        </w:r>
      </w:hyperlink>
    </w:p>
    <w:p w14:paraId="236E79F2" w14:textId="77777777" w:rsidR="000F0427" w:rsidRDefault="009B3DDE" w:rsidP="009D47B6">
      <w:pPr>
        <w:ind w:left="720" w:hanging="720"/>
      </w:pPr>
      <w:r>
        <w:t xml:space="preserve">Morgan, A. C., &amp; King, D. L. (Sept. 2013). </w:t>
      </w:r>
      <w:r>
        <w:rPr>
          <w:i/>
        </w:rPr>
        <w:t>Improving undergraduates’ exposure to international agriculture through experiential learning.</w:t>
      </w:r>
      <w:r>
        <w:t xml:space="preserve"> North American Colleges </w:t>
      </w:r>
      <w:r>
        <w:br/>
        <w:t xml:space="preserve">and Teachers of Agriculture. </w:t>
      </w:r>
      <w:hyperlink r:id="rId35" w:anchor="page=5">
        <w:r>
          <w:rPr>
            <w:color w:val="1155CC"/>
            <w:u w:val="single"/>
          </w:rPr>
          <w:t>https://www.nactateachers.org/attachments/article/2131/1.%20NACTA%20Journal%20Sept%20Special%202013a.pdf#page=5</w:t>
        </w:r>
      </w:hyperlink>
    </w:p>
    <w:p w14:paraId="6048F0BC" w14:textId="77777777" w:rsidR="000F0427" w:rsidRDefault="009B3DDE" w:rsidP="009D47B6">
      <w:pPr>
        <w:ind w:left="720" w:hanging="720"/>
      </w:pPr>
      <w:r>
        <w:t xml:space="preserve">Moriba, S., &amp; Edwards, M. C. (2015). Examining the general global competence of students enrolled in an international dimension course: An attempt to internationalize undergraduate education in a college of agriculture. </w:t>
      </w:r>
      <w:r>
        <w:rPr>
          <w:i/>
        </w:rPr>
        <w:t>Journal of Human Sciences and Extension, 3</w:t>
      </w:r>
      <w:r>
        <w:t xml:space="preserve">(1), 95-109. </w:t>
      </w:r>
      <w:hyperlink r:id="rId36">
        <w:r>
          <w:rPr>
            <w:color w:val="1155CC"/>
            <w:u w:val="single"/>
          </w:rPr>
          <w:t>https://www.jhseonline.com/article/view/597</w:t>
        </w:r>
      </w:hyperlink>
    </w:p>
    <w:p w14:paraId="6948427F" w14:textId="77777777" w:rsidR="000F0427" w:rsidRDefault="009B3DDE" w:rsidP="009D47B6">
      <w:pPr>
        <w:ind w:left="720" w:hanging="720"/>
      </w:pPr>
      <w:r>
        <w:t xml:space="preserve">Nar, A. R., &amp; Soltani, A. K. (2011). Attitude towards Biology and its effects on students’ achievement. </w:t>
      </w:r>
      <w:r>
        <w:rPr>
          <w:i/>
        </w:rPr>
        <w:t>International Journal of Biology, 3</w:t>
      </w:r>
      <w:r>
        <w:t>(4).</w:t>
      </w:r>
      <w:hyperlink r:id="rId37">
        <w:r>
          <w:t xml:space="preserve"> </w:t>
        </w:r>
      </w:hyperlink>
      <w:hyperlink r:id="rId38">
        <w:r>
          <w:rPr>
            <w:color w:val="1155CC"/>
            <w:u w:val="single"/>
          </w:rPr>
          <w:t>https://doi.org/10.5539/ijb.v3n4p100</w:t>
        </w:r>
      </w:hyperlink>
    </w:p>
    <w:p w14:paraId="18511846" w14:textId="77777777" w:rsidR="00204471" w:rsidRDefault="00204471">
      <w:r>
        <w:br w:type="page"/>
      </w:r>
    </w:p>
    <w:p w14:paraId="142BF90D" w14:textId="3F5E1B7B" w:rsidR="000F0427" w:rsidRDefault="009B3DDE" w:rsidP="009D47B6">
      <w:pPr>
        <w:ind w:left="720" w:hanging="720"/>
      </w:pPr>
      <w:r>
        <w:lastRenderedPageBreak/>
        <w:t xml:space="preserve">Page, R. C., &amp; Williams, S. K. (2001). Perceptions of university seniors toward internationalizing curriculum in family and consumer sciences: Have we made progress? </w:t>
      </w:r>
      <w:r>
        <w:rPr>
          <w:i/>
        </w:rPr>
        <w:t>Journal of Family and Consumer Sciences, 93</w:t>
      </w:r>
      <w:r>
        <w:t xml:space="preserve">(4), 79-83. </w:t>
      </w:r>
      <w:hyperlink r:id="rId39">
        <w:r>
          <w:rPr>
            <w:color w:val="1155CC"/>
            <w:u w:val="single"/>
          </w:rPr>
          <w:t>https://eric.ed.gov/?id=EJ634104</w:t>
        </w:r>
      </w:hyperlink>
    </w:p>
    <w:p w14:paraId="75FE2550" w14:textId="77777777" w:rsidR="000F0427" w:rsidRDefault="009B3DDE" w:rsidP="009D47B6">
      <w:pPr>
        <w:ind w:left="720" w:hanging="720"/>
      </w:pPr>
      <w:proofErr w:type="spellStart"/>
      <w:r>
        <w:t>Pirmohamed</w:t>
      </w:r>
      <w:proofErr w:type="spellEnd"/>
      <w:r>
        <w:t xml:space="preserve">, S., </w:t>
      </w:r>
      <w:proofErr w:type="spellStart"/>
      <w:r>
        <w:t>Debowska</w:t>
      </w:r>
      <w:proofErr w:type="spellEnd"/>
      <w:r>
        <w:t xml:space="preserve">, A., &amp; </w:t>
      </w:r>
      <w:proofErr w:type="spellStart"/>
      <w:r>
        <w:t>Boduszek</w:t>
      </w:r>
      <w:proofErr w:type="spellEnd"/>
      <w:r>
        <w:t xml:space="preserve">, D. (2017). Gender differences in the correlates of academic achievement among university students. </w:t>
      </w:r>
      <w:r>
        <w:rPr>
          <w:i/>
        </w:rPr>
        <w:t>Journal of Applied Research in Higher Education, 9</w:t>
      </w:r>
      <w:r>
        <w:t>(2), 313-324.</w:t>
      </w:r>
      <w:hyperlink r:id="rId40">
        <w:r>
          <w:t xml:space="preserve"> </w:t>
        </w:r>
      </w:hyperlink>
      <w:hyperlink r:id="rId41">
        <w:r>
          <w:rPr>
            <w:color w:val="1155CC"/>
            <w:u w:val="single"/>
          </w:rPr>
          <w:t>https://doi.org/10.1108/JARHE-03-2016-0015</w:t>
        </w:r>
      </w:hyperlink>
    </w:p>
    <w:p w14:paraId="31EA53BE" w14:textId="77777777" w:rsidR="000F0427" w:rsidRDefault="009B3DDE" w:rsidP="009D47B6">
      <w:pPr>
        <w:ind w:left="720" w:hanging="720"/>
      </w:pPr>
      <w:proofErr w:type="spellStart"/>
      <w:r>
        <w:t>Rampold</w:t>
      </w:r>
      <w:proofErr w:type="spellEnd"/>
      <w:r>
        <w:t xml:space="preserve">, S. D., Coleman, B., &amp; Bunch, J. C. (2020). </w:t>
      </w:r>
      <w:r>
        <w:rPr>
          <w:i/>
        </w:rPr>
        <w:t>Students’ cultural competence development: The influence of a short-term international experience.</w:t>
      </w:r>
      <w:r>
        <w:t xml:space="preserve"> Association for International Agricultural and Extension Educators Annual Conference, St. Petersburg, FL, USA. </w:t>
      </w:r>
      <w:hyperlink r:id="rId42">
        <w:r>
          <w:rPr>
            <w:color w:val="954F72"/>
            <w:u w:val="single"/>
          </w:rPr>
          <w:t>https://www.aiaee.org/attachments/category/192/AIAEE_2020_programproceedings_finalspreads.pdf</w:t>
        </w:r>
      </w:hyperlink>
    </w:p>
    <w:p w14:paraId="059B663C" w14:textId="77777777" w:rsidR="000F0427" w:rsidRDefault="009B3DDE" w:rsidP="009D47B6">
      <w:pPr>
        <w:ind w:left="720" w:hanging="720"/>
      </w:pPr>
      <w:r>
        <w:t xml:space="preserve">Rezazadeh, M., &amp; Tavakoli, M. (2009). Investigating the relationship among test anxiety, gender, academic achievement, and years of study: A case study of Iranian EFL university students. </w:t>
      </w:r>
      <w:r>
        <w:rPr>
          <w:i/>
        </w:rPr>
        <w:t>English Language Teaching, 2</w:t>
      </w:r>
      <w:r>
        <w:t xml:space="preserve">(4). </w:t>
      </w:r>
    </w:p>
    <w:p w14:paraId="35ADC6D7" w14:textId="77777777" w:rsidR="000F0427" w:rsidRDefault="009B3DDE" w:rsidP="009D47B6">
      <w:pPr>
        <w:ind w:left="720" w:hanging="720"/>
      </w:pPr>
      <w:r>
        <w:t xml:space="preserve">Roberts, R. &amp; Edwards, M. C. (2018). Transforming students’ global knowledge and perspectives through international service-learning (ISL) in Uganda: How US university agriculture students made sense of their lived experiences over time. </w:t>
      </w:r>
      <w:r>
        <w:rPr>
          <w:i/>
        </w:rPr>
        <w:t>Journal of International Agricultural and Extension Education, 23</w:t>
      </w:r>
      <w:r>
        <w:t xml:space="preserve">(3), 7-23. </w:t>
      </w:r>
      <w:hyperlink r:id="rId43">
        <w:r>
          <w:rPr>
            <w:color w:val="1155CC"/>
            <w:u w:val="single"/>
          </w:rPr>
          <w:t>https://doi.org/10.5191/jiaee.2016.23301</w:t>
        </w:r>
      </w:hyperlink>
    </w:p>
    <w:p w14:paraId="66B2050A" w14:textId="77777777" w:rsidR="000F0427" w:rsidRDefault="009B3DDE" w:rsidP="009D47B6">
      <w:pPr>
        <w:ind w:left="720" w:hanging="720"/>
      </w:pPr>
      <w:r>
        <w:t xml:space="preserve">Strange, H., &amp; Gibson, H. J. (2017). An investigation of experiential and transformative learning in study abroad programs. </w:t>
      </w:r>
      <w:r>
        <w:rPr>
          <w:i/>
        </w:rPr>
        <w:t>Frontiers: The Interdisciplinary Journal of Study Abroad, 29</w:t>
      </w:r>
      <w:r>
        <w:t xml:space="preserve">(1), 85-100. </w:t>
      </w:r>
      <w:hyperlink r:id="rId44">
        <w:r>
          <w:rPr>
            <w:color w:val="1155CC"/>
            <w:u w:val="single"/>
          </w:rPr>
          <w:t>https://eric.ed.gov/?id=EJ1141587</w:t>
        </w:r>
      </w:hyperlink>
    </w:p>
    <w:p w14:paraId="56782FCA" w14:textId="77777777" w:rsidR="000F0427" w:rsidRDefault="009B3DDE" w:rsidP="009D47B6">
      <w:pPr>
        <w:ind w:left="720" w:hanging="720"/>
      </w:pPr>
      <w:r>
        <w:t xml:space="preserve">Strong, R., &amp; Baker, C. N. (2020). </w:t>
      </w:r>
      <w:r>
        <w:rPr>
          <w:i/>
        </w:rPr>
        <w:t>Are food security and climate change contentious issues? Establishing agricultural students’ sense of urgency to lead change.</w:t>
      </w:r>
      <w:r>
        <w:t xml:space="preserve"> AIAEE. </w:t>
      </w:r>
      <w:hyperlink r:id="rId45">
        <w:r>
          <w:rPr>
            <w:color w:val="954F72"/>
            <w:u w:val="single"/>
          </w:rPr>
          <w:t>https://www.aiaee.org/attachments/category/192/AIAEE_2020_programproceedings_finalspreads.pdf</w:t>
        </w:r>
      </w:hyperlink>
    </w:p>
    <w:p w14:paraId="5BCE4C72" w14:textId="77777777" w:rsidR="000F0427" w:rsidRDefault="009B3DDE" w:rsidP="009D47B6">
      <w:pPr>
        <w:ind w:left="720" w:hanging="720"/>
      </w:pPr>
      <w:r>
        <w:t xml:space="preserve">Tarrant, M., Rubin, D., &amp; Stoner, L. (2014). The added value of study abroad: Fostering a global citizenry. </w:t>
      </w:r>
      <w:r>
        <w:rPr>
          <w:i/>
        </w:rPr>
        <w:t>Journal of Studies in International Education, 18</w:t>
      </w:r>
      <w:r>
        <w:t xml:space="preserve">(2), 141-161. </w:t>
      </w:r>
      <w:hyperlink r:id="rId46">
        <w:r>
          <w:rPr>
            <w:color w:val="1155CC"/>
            <w:u w:val="single"/>
          </w:rPr>
          <w:t>https://eric.ed.gov/?redir=http%3a%2f%2fdx.doi.org%2f10.1177%2f1028315313497589</w:t>
        </w:r>
      </w:hyperlink>
    </w:p>
    <w:p w14:paraId="1457991E" w14:textId="77777777" w:rsidR="000F0427" w:rsidRDefault="009B3DDE" w:rsidP="009D47B6">
      <w:pPr>
        <w:ind w:left="720" w:hanging="720"/>
      </w:pPr>
      <w:r>
        <w:t>[University]</w:t>
      </w:r>
      <w:r>
        <w:rPr>
          <w:i/>
        </w:rPr>
        <w:t xml:space="preserve">. </w:t>
      </w:r>
      <w:r>
        <w:t xml:space="preserve">(n.d.). </w:t>
      </w:r>
      <w:r>
        <w:rPr>
          <w:i/>
        </w:rPr>
        <w:t xml:space="preserve">Office of the Registrar Academic Regulations. </w:t>
      </w:r>
      <w:hyperlink r:id="rId47">
        <w:r>
          <w:rPr>
            <w:color w:val="1155CC"/>
            <w:u w:val="single"/>
          </w:rPr>
          <w:t>https://registrar.[university].edu/academic-regulations/</w:t>
        </w:r>
      </w:hyperlink>
    </w:p>
    <w:p w14:paraId="7F99D65B" w14:textId="77777777" w:rsidR="000F0427" w:rsidRDefault="009B3DDE" w:rsidP="009D47B6">
      <w:pPr>
        <w:ind w:left="720" w:hanging="720"/>
      </w:pPr>
      <w:r>
        <w:t xml:space="preserve">Visser, P. S., Krosnick, J. A., &amp; </w:t>
      </w:r>
      <w:proofErr w:type="spellStart"/>
      <w:r>
        <w:t>Lavrakas</w:t>
      </w:r>
      <w:proofErr w:type="spellEnd"/>
      <w:r>
        <w:t>, P. J. (2000). Survey Research</w:t>
      </w:r>
      <w:r>
        <w:rPr>
          <w:i/>
        </w:rPr>
        <w:t xml:space="preserve">. </w:t>
      </w:r>
      <w:r>
        <w:t xml:space="preserve">In H. T. Reis &amp; C. M. Judd (Eds.), </w:t>
      </w:r>
      <w:r>
        <w:rPr>
          <w:i/>
        </w:rPr>
        <w:t>Handbook of research methods in social and personality psychology</w:t>
      </w:r>
      <w:r>
        <w:t xml:space="preserve"> (pp. 223-252). Cambridge University Press. </w:t>
      </w:r>
      <w:hyperlink r:id="rId48">
        <w:r>
          <w:rPr>
            <w:color w:val="1155CC"/>
            <w:u w:val="single"/>
          </w:rPr>
          <w:t>https://doi.org/10.1017/CBO9780511996481</w:t>
        </w:r>
      </w:hyperlink>
    </w:p>
    <w:p w14:paraId="4BC165AE" w14:textId="77777777" w:rsidR="000F0427" w:rsidRDefault="009B3DDE" w:rsidP="009D47B6">
      <w:pPr>
        <w:ind w:left="720" w:hanging="720"/>
      </w:pPr>
      <w:r>
        <w:t>Wingenbach, G., Boyd, B., Lindner, J., Dick, S., Arispe, S., &amp; Haba, S. (2003). Students’ knowledge and attitudes about international agricultural issues. </w:t>
      </w:r>
      <w:r>
        <w:rPr>
          <w:i/>
        </w:rPr>
        <w:t>Journal of International Agricultural and Extension Education, 10</w:t>
      </w:r>
      <w:r>
        <w:t xml:space="preserve">(3), 25-35. </w:t>
      </w:r>
      <w:hyperlink r:id="rId49">
        <w:r>
          <w:rPr>
            <w:color w:val="1155CC"/>
            <w:u w:val="single"/>
          </w:rPr>
          <w:t>https://doi.org/10.5191/jiaee.2003.10304</w:t>
        </w:r>
      </w:hyperlink>
    </w:p>
    <w:p w14:paraId="5566B188" w14:textId="77777777" w:rsidR="000F0427" w:rsidRDefault="009B3DDE" w:rsidP="009D47B6">
      <w:pPr>
        <w:ind w:left="720" w:hanging="720"/>
      </w:pPr>
      <w:r>
        <w:t xml:space="preserve">Zhai, L., &amp; Scheer, S. D. (2002). Influence of international study abroad programs on agricultural college students. </w:t>
      </w:r>
      <w:r>
        <w:rPr>
          <w:i/>
        </w:rPr>
        <w:t>Journal of International Agricultural and Extension Education, 9</w:t>
      </w:r>
      <w:r>
        <w:t xml:space="preserve">(3), 23-29. </w:t>
      </w:r>
      <w:hyperlink r:id="rId50">
        <w:r>
          <w:rPr>
            <w:color w:val="1155CC"/>
            <w:u w:val="single"/>
          </w:rPr>
          <w:t>https://doi.org/</w:t>
        </w:r>
      </w:hyperlink>
      <w:hyperlink r:id="rId51">
        <w:r>
          <w:rPr>
            <w:color w:val="1155CC"/>
            <w:highlight w:val="white"/>
            <w:u w:val="single"/>
          </w:rPr>
          <w:t>10.5191/jiaee.2002.09303</w:t>
        </w:r>
      </w:hyperlink>
    </w:p>
    <w:p w14:paraId="5FB588C5" w14:textId="77777777" w:rsidR="000F0427" w:rsidRDefault="000F0427">
      <w:pPr>
        <w:spacing w:line="480" w:lineRule="auto"/>
        <w:ind w:left="720" w:hanging="720"/>
      </w:pPr>
    </w:p>
    <w:sectPr w:rsidR="000F0427" w:rsidSect="000E2B35">
      <w:headerReference w:type="even" r:id="rId52"/>
      <w:headerReference w:type="default" r:id="rId53"/>
      <w:footerReference w:type="even" r:id="rId54"/>
      <w:footerReference w:type="default" r:id="rId55"/>
      <w:headerReference w:type="first" r:id="rId56"/>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D30E4" w14:textId="77777777" w:rsidR="006F2C9D" w:rsidRDefault="006F2C9D">
      <w:r>
        <w:separator/>
      </w:r>
    </w:p>
  </w:endnote>
  <w:endnote w:type="continuationSeparator" w:id="0">
    <w:p w14:paraId="36F41861" w14:textId="77777777" w:rsidR="006F2C9D" w:rsidRDefault="006F2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6BB7" w14:textId="77777777" w:rsidR="000F0427" w:rsidRDefault="009B3DDE">
    <w:pPr>
      <w:pBdr>
        <w:top w:val="nil"/>
        <w:left w:val="nil"/>
        <w:bottom w:val="nil"/>
        <w:right w:val="nil"/>
        <w:between w:val="nil"/>
      </w:pBdr>
      <w:tabs>
        <w:tab w:val="center" w:pos="4680"/>
        <w:tab w:val="right" w:pos="9360"/>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end"/>
    </w:r>
  </w:p>
  <w:p w14:paraId="6742F045" w14:textId="77777777" w:rsidR="000F0427" w:rsidRDefault="000F0427">
    <w:pPr>
      <w:pBdr>
        <w:top w:val="nil"/>
        <w:left w:val="nil"/>
        <w:bottom w:val="nil"/>
        <w:right w:val="nil"/>
        <w:between w:val="nil"/>
      </w:pBdr>
      <w:tabs>
        <w:tab w:val="center" w:pos="4680"/>
        <w:tab w:val="right" w:pos="9360"/>
      </w:tabs>
      <w:ind w:right="360"/>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89AA" w14:textId="77777777" w:rsidR="000F0427" w:rsidRDefault="000F0427">
    <w:pPr>
      <w:pBdr>
        <w:top w:val="nil"/>
        <w:left w:val="nil"/>
        <w:bottom w:val="nil"/>
        <w:right w:val="nil"/>
        <w:between w:val="nil"/>
      </w:pBdr>
      <w:tabs>
        <w:tab w:val="center" w:pos="4680"/>
        <w:tab w:val="right" w:pos="9360"/>
      </w:tabs>
      <w:jc w:val="right"/>
      <w:rPr>
        <w:rFonts w:ascii="Calibri" w:eastAsia="Calibri" w:hAnsi="Calibri" w:cs="Calibri"/>
        <w:color w:val="000000"/>
      </w:rPr>
    </w:pPr>
  </w:p>
  <w:p w14:paraId="4B2D36A5" w14:textId="77777777" w:rsidR="000F0427" w:rsidRDefault="000F0427">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A5ABA" w14:textId="77777777" w:rsidR="006F2C9D" w:rsidRDefault="006F2C9D">
      <w:r>
        <w:separator/>
      </w:r>
    </w:p>
  </w:footnote>
  <w:footnote w:type="continuationSeparator" w:id="0">
    <w:p w14:paraId="51A9B451" w14:textId="77777777" w:rsidR="006F2C9D" w:rsidRDefault="006F2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1387815"/>
      <w:docPartObj>
        <w:docPartGallery w:val="Page Numbers (Top of Page)"/>
        <w:docPartUnique/>
      </w:docPartObj>
    </w:sdtPr>
    <w:sdtEndPr>
      <w:rPr>
        <w:rStyle w:val="PageNumber"/>
      </w:rPr>
    </w:sdtEndPr>
    <w:sdtContent>
      <w:p w14:paraId="3E9EDAEA" w14:textId="77777777" w:rsidR="009D47B6" w:rsidRDefault="009D47B6" w:rsidP="00543F3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412888" w14:textId="77777777" w:rsidR="009D47B6" w:rsidRDefault="009D47B6" w:rsidP="009D47B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5610767"/>
      <w:docPartObj>
        <w:docPartGallery w:val="Page Numbers (Top of Page)"/>
        <w:docPartUnique/>
      </w:docPartObj>
    </w:sdtPr>
    <w:sdtEndPr>
      <w:rPr>
        <w:rStyle w:val="PageNumber"/>
      </w:rPr>
    </w:sdtEndPr>
    <w:sdtContent>
      <w:p w14:paraId="380FEF59" w14:textId="77777777" w:rsidR="009D47B6" w:rsidRDefault="009D47B6" w:rsidP="00543F3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5DF336" w14:textId="77777777" w:rsidR="000F0427" w:rsidRDefault="009B3DDE" w:rsidP="009D47B6">
    <w:pPr>
      <w:pBdr>
        <w:top w:val="nil"/>
        <w:left w:val="nil"/>
        <w:bottom w:val="nil"/>
        <w:right w:val="nil"/>
        <w:between w:val="nil"/>
      </w:pBdr>
      <w:tabs>
        <w:tab w:val="center" w:pos="4680"/>
        <w:tab w:val="right" w:pos="9360"/>
      </w:tabs>
      <w:ind w:right="360"/>
      <w:jc w:val="right"/>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DFE6" w14:textId="77777777" w:rsidR="000F0427" w:rsidRDefault="009B3DDE" w:rsidP="009D47B6">
    <w:pPr>
      <w:pBdr>
        <w:top w:val="nil"/>
        <w:left w:val="nil"/>
        <w:bottom w:val="nil"/>
        <w:right w:val="nil"/>
        <w:between w:val="nil"/>
      </w:pBdr>
      <w:tabs>
        <w:tab w:val="center" w:pos="4680"/>
        <w:tab w:val="right" w:pos="9360"/>
      </w:tabs>
      <w:ind w:right="360"/>
      <w:jc w:val="right"/>
      <w:rPr>
        <w:color w:val="00000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D2C2B"/>
    <w:multiLevelType w:val="multilevel"/>
    <w:tmpl w:val="529CA3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52949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427"/>
    <w:rsid w:val="000415EB"/>
    <w:rsid w:val="000E2B35"/>
    <w:rsid w:val="000F0427"/>
    <w:rsid w:val="00185EED"/>
    <w:rsid w:val="00204471"/>
    <w:rsid w:val="00220734"/>
    <w:rsid w:val="003344BB"/>
    <w:rsid w:val="003F0A4F"/>
    <w:rsid w:val="0068173A"/>
    <w:rsid w:val="0068360E"/>
    <w:rsid w:val="006D057C"/>
    <w:rsid w:val="006F2C9D"/>
    <w:rsid w:val="0082606E"/>
    <w:rsid w:val="0093546D"/>
    <w:rsid w:val="009B3DDE"/>
    <w:rsid w:val="009D47B6"/>
    <w:rsid w:val="00A66D55"/>
    <w:rsid w:val="00AC4EDE"/>
    <w:rsid w:val="00BD16C6"/>
    <w:rsid w:val="00C76909"/>
    <w:rsid w:val="00DD1FC0"/>
    <w:rsid w:val="00E63CFE"/>
    <w:rsid w:val="00F47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471F"/>
  <w15:docId w15:val="{EF809D52-602B-E44E-B418-712A844BD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4B8"/>
  </w:style>
  <w:style w:type="paragraph" w:styleId="Heading1">
    <w:name w:val="heading 1"/>
    <w:basedOn w:val="Normal"/>
    <w:next w:val="Normal"/>
    <w:uiPriority w:val="9"/>
    <w:qFormat/>
    <w:pPr>
      <w:keepNext/>
      <w:keepLines/>
      <w:spacing w:before="480" w:after="120"/>
      <w:outlineLvl w:val="0"/>
    </w:pPr>
    <w:rPr>
      <w:rFonts w:ascii="Calibri" w:eastAsia="Calibri" w:hAnsi="Calibri" w:cs="Calibri"/>
      <w:b/>
      <w:sz w:val="48"/>
      <w:szCs w:val="48"/>
    </w:rPr>
  </w:style>
  <w:style w:type="paragraph" w:styleId="Heading2">
    <w:name w:val="heading 2"/>
    <w:basedOn w:val="Normal"/>
    <w:next w:val="Normal"/>
    <w:uiPriority w:val="9"/>
    <w:semiHidden/>
    <w:unhideWhenUsed/>
    <w:qFormat/>
    <w:pPr>
      <w:keepNext/>
      <w:keepLines/>
      <w:spacing w:before="360" w:after="80"/>
      <w:outlineLvl w:val="1"/>
    </w:pPr>
    <w:rPr>
      <w:rFonts w:ascii="Calibri" w:eastAsia="Calibri" w:hAnsi="Calibri" w:cs="Calibri"/>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rFonts w:ascii="Calibri" w:eastAsia="Calibri" w:hAnsi="Calibri" w:cs="Calibri"/>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800728"/>
    <w:pPr>
      <w:tabs>
        <w:tab w:val="center" w:pos="4680"/>
        <w:tab w:val="right" w:pos="9360"/>
      </w:tabs>
    </w:pPr>
    <w:rPr>
      <w:rFonts w:ascii="Calibri" w:eastAsia="Calibri" w:hAnsi="Calibri" w:cs="Calibri"/>
    </w:rPr>
  </w:style>
  <w:style w:type="character" w:customStyle="1" w:styleId="FooterChar">
    <w:name w:val="Footer Char"/>
    <w:basedOn w:val="DefaultParagraphFont"/>
    <w:link w:val="Footer"/>
    <w:uiPriority w:val="99"/>
    <w:rsid w:val="00800728"/>
  </w:style>
  <w:style w:type="character" w:styleId="PageNumber">
    <w:name w:val="page number"/>
    <w:basedOn w:val="DefaultParagraphFont"/>
    <w:uiPriority w:val="99"/>
    <w:semiHidden/>
    <w:unhideWhenUsed/>
    <w:rsid w:val="00800728"/>
  </w:style>
  <w:style w:type="character" w:styleId="LineNumber">
    <w:name w:val="line number"/>
    <w:basedOn w:val="DefaultParagraphFont"/>
    <w:uiPriority w:val="99"/>
    <w:semiHidden/>
    <w:unhideWhenUsed/>
    <w:rsid w:val="003164B8"/>
  </w:style>
  <w:style w:type="paragraph" w:styleId="Header">
    <w:name w:val="header"/>
    <w:basedOn w:val="Normal"/>
    <w:link w:val="HeaderChar"/>
    <w:uiPriority w:val="99"/>
    <w:unhideWhenUsed/>
    <w:rsid w:val="003164B8"/>
    <w:pPr>
      <w:tabs>
        <w:tab w:val="center" w:pos="4680"/>
        <w:tab w:val="right" w:pos="9360"/>
      </w:tabs>
    </w:pPr>
  </w:style>
  <w:style w:type="character" w:customStyle="1" w:styleId="HeaderChar">
    <w:name w:val="Header Char"/>
    <w:basedOn w:val="DefaultParagraphFont"/>
    <w:link w:val="Header"/>
    <w:uiPriority w:val="99"/>
    <w:rsid w:val="003164B8"/>
    <w:rPr>
      <w:rFonts w:ascii="Times New Roman" w:eastAsia="Times New Roman" w:hAnsi="Times New Roman" w:cs="Times New Roman"/>
    </w:rPr>
  </w:style>
  <w:style w:type="character" w:styleId="Hyperlink">
    <w:name w:val="Hyperlink"/>
    <w:basedOn w:val="DefaultParagraphFont"/>
    <w:uiPriority w:val="99"/>
    <w:unhideWhenUsed/>
    <w:rsid w:val="0007118C"/>
    <w:rPr>
      <w:color w:val="0000FF" w:themeColor="hyperlink"/>
      <w:u w:val="single"/>
    </w:rPr>
  </w:style>
  <w:style w:type="character" w:styleId="UnresolvedMention">
    <w:name w:val="Unresolved Mention"/>
    <w:basedOn w:val="DefaultParagraphFont"/>
    <w:uiPriority w:val="99"/>
    <w:semiHidden/>
    <w:unhideWhenUsed/>
    <w:rsid w:val="0007118C"/>
    <w:rPr>
      <w:color w:val="605E5C"/>
      <w:shd w:val="clear" w:color="auto" w:fill="E1DFDD"/>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3F0A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F0A4F"/>
    <w:pPr>
      <w:spacing w:before="100" w:beforeAutospacing="1" w:after="100" w:afterAutospacing="1"/>
    </w:pPr>
  </w:style>
  <w:style w:type="paragraph" w:styleId="Revision">
    <w:name w:val="Revision"/>
    <w:hidden/>
    <w:uiPriority w:val="99"/>
    <w:semiHidden/>
    <w:rsid w:val="003344BB"/>
  </w:style>
  <w:style w:type="character" w:styleId="CommentReference">
    <w:name w:val="annotation reference"/>
    <w:basedOn w:val="DefaultParagraphFont"/>
    <w:uiPriority w:val="99"/>
    <w:semiHidden/>
    <w:unhideWhenUsed/>
    <w:rsid w:val="003344BB"/>
    <w:rPr>
      <w:sz w:val="16"/>
      <w:szCs w:val="16"/>
    </w:rPr>
  </w:style>
  <w:style w:type="paragraph" w:styleId="CommentText">
    <w:name w:val="annotation text"/>
    <w:basedOn w:val="Normal"/>
    <w:link w:val="CommentTextChar"/>
    <w:uiPriority w:val="99"/>
    <w:semiHidden/>
    <w:unhideWhenUsed/>
    <w:rsid w:val="003344BB"/>
    <w:rPr>
      <w:sz w:val="20"/>
      <w:szCs w:val="20"/>
    </w:rPr>
  </w:style>
  <w:style w:type="character" w:customStyle="1" w:styleId="CommentTextChar">
    <w:name w:val="Comment Text Char"/>
    <w:basedOn w:val="DefaultParagraphFont"/>
    <w:link w:val="CommentText"/>
    <w:uiPriority w:val="99"/>
    <w:semiHidden/>
    <w:rsid w:val="003344BB"/>
    <w:rPr>
      <w:sz w:val="20"/>
      <w:szCs w:val="20"/>
    </w:rPr>
  </w:style>
  <w:style w:type="paragraph" w:styleId="CommentSubject">
    <w:name w:val="annotation subject"/>
    <w:basedOn w:val="CommentText"/>
    <w:next w:val="CommentText"/>
    <w:link w:val="CommentSubjectChar"/>
    <w:uiPriority w:val="99"/>
    <w:semiHidden/>
    <w:unhideWhenUsed/>
    <w:rsid w:val="003344BB"/>
    <w:rPr>
      <w:b/>
      <w:bCs/>
    </w:rPr>
  </w:style>
  <w:style w:type="character" w:customStyle="1" w:styleId="CommentSubjectChar">
    <w:name w:val="Comment Subject Char"/>
    <w:basedOn w:val="CommentTextChar"/>
    <w:link w:val="CommentSubject"/>
    <w:uiPriority w:val="99"/>
    <w:semiHidden/>
    <w:rsid w:val="003344BB"/>
    <w:rPr>
      <w:b/>
      <w:bCs/>
      <w:sz w:val="20"/>
      <w:szCs w:val="20"/>
    </w:rPr>
  </w:style>
  <w:style w:type="paragraph" w:styleId="BalloonText">
    <w:name w:val="Balloon Text"/>
    <w:basedOn w:val="Normal"/>
    <w:link w:val="BalloonTextChar"/>
    <w:uiPriority w:val="99"/>
    <w:semiHidden/>
    <w:unhideWhenUsed/>
    <w:rsid w:val="0068173A"/>
    <w:rPr>
      <w:sz w:val="18"/>
      <w:szCs w:val="18"/>
    </w:rPr>
  </w:style>
  <w:style w:type="character" w:customStyle="1" w:styleId="BalloonTextChar">
    <w:name w:val="Balloon Text Char"/>
    <w:basedOn w:val="DefaultParagraphFont"/>
    <w:link w:val="BalloonText"/>
    <w:uiPriority w:val="99"/>
    <w:semiHidden/>
    <w:rsid w:val="0068173A"/>
    <w:rPr>
      <w:sz w:val="18"/>
      <w:szCs w:val="18"/>
    </w:rPr>
  </w:style>
  <w:style w:type="paragraph" w:styleId="BodyText">
    <w:name w:val="Body Text"/>
    <w:basedOn w:val="Normal"/>
    <w:link w:val="BodyTextChar"/>
    <w:uiPriority w:val="1"/>
    <w:qFormat/>
    <w:rsid w:val="000E2B35"/>
    <w:pPr>
      <w:widowControl w:val="0"/>
      <w:autoSpaceDE w:val="0"/>
      <w:autoSpaceDN w:val="0"/>
    </w:pPr>
  </w:style>
  <w:style w:type="character" w:customStyle="1" w:styleId="BodyTextChar">
    <w:name w:val="Body Text Char"/>
    <w:basedOn w:val="DefaultParagraphFont"/>
    <w:link w:val="BodyText"/>
    <w:uiPriority w:val="1"/>
    <w:rsid w:val="000E2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531591">
      <w:bodyDiv w:val="1"/>
      <w:marLeft w:val="0"/>
      <w:marRight w:val="0"/>
      <w:marTop w:val="0"/>
      <w:marBottom w:val="0"/>
      <w:divBdr>
        <w:top w:val="none" w:sz="0" w:space="0" w:color="auto"/>
        <w:left w:val="none" w:sz="0" w:space="0" w:color="auto"/>
        <w:bottom w:val="none" w:sz="0" w:space="0" w:color="auto"/>
        <w:right w:val="none" w:sz="0" w:space="0" w:color="auto"/>
      </w:divBdr>
    </w:div>
    <w:div w:id="489366213">
      <w:bodyDiv w:val="1"/>
      <w:marLeft w:val="0"/>
      <w:marRight w:val="0"/>
      <w:marTop w:val="0"/>
      <w:marBottom w:val="0"/>
      <w:divBdr>
        <w:top w:val="none" w:sz="0" w:space="0" w:color="auto"/>
        <w:left w:val="none" w:sz="0" w:space="0" w:color="auto"/>
        <w:bottom w:val="none" w:sz="0" w:space="0" w:color="auto"/>
        <w:right w:val="none" w:sz="0" w:space="0" w:color="auto"/>
      </w:divBdr>
      <w:divsChild>
        <w:div w:id="925264040">
          <w:marLeft w:val="-100"/>
          <w:marRight w:val="0"/>
          <w:marTop w:val="0"/>
          <w:marBottom w:val="0"/>
          <w:divBdr>
            <w:top w:val="none" w:sz="0" w:space="0" w:color="auto"/>
            <w:left w:val="none" w:sz="0" w:space="0" w:color="auto"/>
            <w:bottom w:val="none" w:sz="0" w:space="0" w:color="auto"/>
            <w:right w:val="none" w:sz="0" w:space="0" w:color="auto"/>
          </w:divBdr>
        </w:div>
      </w:divsChild>
    </w:div>
    <w:div w:id="808402097">
      <w:bodyDiv w:val="1"/>
      <w:marLeft w:val="0"/>
      <w:marRight w:val="0"/>
      <w:marTop w:val="0"/>
      <w:marBottom w:val="0"/>
      <w:divBdr>
        <w:top w:val="none" w:sz="0" w:space="0" w:color="auto"/>
        <w:left w:val="none" w:sz="0" w:space="0" w:color="auto"/>
        <w:bottom w:val="none" w:sz="0" w:space="0" w:color="auto"/>
        <w:right w:val="none" w:sz="0" w:space="0" w:color="auto"/>
      </w:divBdr>
    </w:div>
    <w:div w:id="1002315235">
      <w:bodyDiv w:val="1"/>
      <w:marLeft w:val="0"/>
      <w:marRight w:val="0"/>
      <w:marTop w:val="0"/>
      <w:marBottom w:val="0"/>
      <w:divBdr>
        <w:top w:val="none" w:sz="0" w:space="0" w:color="auto"/>
        <w:left w:val="none" w:sz="0" w:space="0" w:color="auto"/>
        <w:bottom w:val="none" w:sz="0" w:space="0" w:color="auto"/>
        <w:right w:val="none" w:sz="0" w:space="0" w:color="auto"/>
      </w:divBdr>
    </w:div>
    <w:div w:id="1748651136">
      <w:bodyDiv w:val="1"/>
      <w:marLeft w:val="0"/>
      <w:marRight w:val="0"/>
      <w:marTop w:val="0"/>
      <w:marBottom w:val="0"/>
      <w:divBdr>
        <w:top w:val="none" w:sz="0" w:space="0" w:color="auto"/>
        <w:left w:val="none" w:sz="0" w:space="0" w:color="auto"/>
        <w:bottom w:val="none" w:sz="0" w:space="0" w:color="auto"/>
        <w:right w:val="none" w:sz="0" w:space="0" w:color="auto"/>
      </w:divBdr>
    </w:div>
    <w:div w:id="2079590746">
      <w:bodyDiv w:val="1"/>
      <w:marLeft w:val="0"/>
      <w:marRight w:val="0"/>
      <w:marTop w:val="0"/>
      <w:marBottom w:val="0"/>
      <w:divBdr>
        <w:top w:val="none" w:sz="0" w:space="0" w:color="auto"/>
        <w:left w:val="none" w:sz="0" w:space="0" w:color="auto"/>
        <w:bottom w:val="none" w:sz="0" w:space="0" w:color="auto"/>
        <w:right w:val="none" w:sz="0" w:space="0" w:color="auto"/>
      </w:divBdr>
    </w:div>
    <w:div w:id="2097747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iaee.org/attachments/article/173/Bruening%2012.1-5.pdf" TargetMode="External"/><Relationship Id="rId18" Type="http://schemas.openxmlformats.org/officeDocument/2006/relationships/hyperlink" Target="https://doi.org/10.5032/jae.2014.01051" TargetMode="External"/><Relationship Id="rId26" Type="http://schemas.openxmlformats.org/officeDocument/2006/relationships/hyperlink" Target="https://www.stat.auckland.ac.nz/~iase/serj/SERJ11(2)_Hood.pdf" TargetMode="External"/><Relationship Id="rId39" Type="http://schemas.openxmlformats.org/officeDocument/2006/relationships/hyperlink" Target="https://eric.ed.gov/?id=EJ634104" TargetMode="External"/><Relationship Id="rId21" Type="http://schemas.openxmlformats.org/officeDocument/2006/relationships/hyperlink" Target="https://digitalcommons.unl.edu/journalismfacpub/68/" TargetMode="External"/><Relationship Id="rId34" Type="http://schemas.openxmlformats.org/officeDocument/2006/relationships/hyperlink" Target="https://www.jae-online.org/index.php/back-issues/58-volume-37-number-4-1996/555-college-of-agriculture-and-non-college-of-agriculture-students-knowledge-about-international-agriculture-and-related-factors-" TargetMode="External"/><Relationship Id="rId42" Type="http://schemas.openxmlformats.org/officeDocument/2006/relationships/hyperlink" Target="https://www.aiaee.org/attachments/category/192/AIAEE_2020_programproceedings_finalspreads.pdf" TargetMode="External"/><Relationship Id="rId47" Type="http://schemas.openxmlformats.org/officeDocument/2006/relationships/hyperlink" Target="https://registrar.wsu.edu/academic-regulations/" TargetMode="External"/><Relationship Id="rId50" Type="http://schemas.openxmlformats.org/officeDocument/2006/relationships/hyperlink" Target="https://doi.org/10.5191/jiaee.2002.09303"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deref/http%3A%2F%2Fdx.doi.org%2F10.5191%2Fjiaee.2016.23103" TargetMode="External"/><Relationship Id="rId29" Type="http://schemas.openxmlformats.org/officeDocument/2006/relationships/hyperlink" Target="https://doi.org/10.5191/jiaee.2006.13203" TargetMode="External"/><Relationship Id="rId11" Type="http://schemas.openxmlformats.org/officeDocument/2006/relationships/hyperlink" Target="https://www.researchgate.net/deref/http%3A%2F%2Fdx.doi.org%2F10.5191%2Fjiaee.2004.11110" TargetMode="External"/><Relationship Id="rId24" Type="http://schemas.openxmlformats.org/officeDocument/2006/relationships/hyperlink" Target="https://doi.org/10.5032/jae.2016.01042" TargetMode="External"/><Relationship Id="rId32" Type="http://schemas.openxmlformats.org/officeDocument/2006/relationships/hyperlink" Target="https://doi.org/10.1145/1268784.1268849" TargetMode="External"/><Relationship Id="rId37" Type="http://schemas.openxmlformats.org/officeDocument/2006/relationships/hyperlink" Target="https://doi.org/10.5539/ijb.v3n4p100" TargetMode="External"/><Relationship Id="rId40" Type="http://schemas.openxmlformats.org/officeDocument/2006/relationships/hyperlink" Target="https://doi.org/10.1108/JARHE-03-2016-0015" TargetMode="External"/><Relationship Id="rId45" Type="http://schemas.openxmlformats.org/officeDocument/2006/relationships/hyperlink" Target="https://www.aiaee.org/attachments/category/192/AIAEE_2020_programproceedings_finalspreads.pdf"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doi.org/10.5032/jae.2014.01051" TargetMode="External"/><Relationship Id="rId4" Type="http://schemas.openxmlformats.org/officeDocument/2006/relationships/settings" Target="settings.xml"/><Relationship Id="rId9" Type="http://schemas.openxmlformats.org/officeDocument/2006/relationships/hyperlink" Target="https://files.eric.ed.gov/fulltext/EJ1056178.pdf" TargetMode="External"/><Relationship Id="rId14" Type="http://schemas.openxmlformats.org/officeDocument/2006/relationships/hyperlink" Target="https://www.aiaee.org/attachments/category/192/AIAEE_2020_programproceedings_finalspreads.pdf" TargetMode="External"/><Relationship Id="rId22" Type="http://schemas.openxmlformats.org/officeDocument/2006/relationships/hyperlink" Target="https://www.nactateachers.org/attachments/article/2266/10.%20Harder.pdf" TargetMode="External"/><Relationship Id="rId27" Type="http://schemas.openxmlformats.org/officeDocument/2006/relationships/hyperlink" Target="http://www.scientiasocialis.lt/jbse/files/pdf/vol12/322-336.Ilgan_JBSE_Vol.12.3.pdf" TargetMode="External"/><Relationship Id="rId30" Type="http://schemas.openxmlformats.org/officeDocument/2006/relationships/hyperlink" Target="https://doi.org/10.2134/jnrlse.2002.0111" TargetMode="External"/><Relationship Id="rId35" Type="http://schemas.openxmlformats.org/officeDocument/2006/relationships/hyperlink" Target="https://www.nactateachers.org/attachments/article/2131/1.%20NACTA%20Journal%20Sept%20Special%202013a.pdf" TargetMode="External"/><Relationship Id="rId43" Type="http://schemas.openxmlformats.org/officeDocument/2006/relationships/hyperlink" Target="https://doi.org/10.5191/jiaee.2016.23301" TargetMode="External"/><Relationship Id="rId48" Type="http://schemas.openxmlformats.org/officeDocument/2006/relationships/hyperlink" Target="https://doi.org/10.1017/CBO9780511996481" TargetMode="External"/><Relationship Id="rId56" Type="http://schemas.openxmlformats.org/officeDocument/2006/relationships/header" Target="header3.xml"/><Relationship Id="rId8" Type="http://schemas.openxmlformats.org/officeDocument/2006/relationships/hyperlink" Target="https://files.eric.ed.gov/fulltext/EJ1056178.pdf" TargetMode="External"/><Relationship Id="rId51" Type="http://schemas.openxmlformats.org/officeDocument/2006/relationships/hyperlink" Target="https://doi.org/10.5191/jiaee.2002.09303" TargetMode="External"/><Relationship Id="rId3" Type="http://schemas.openxmlformats.org/officeDocument/2006/relationships/styles" Target="styles.xml"/><Relationship Id="rId12" Type="http://schemas.openxmlformats.org/officeDocument/2006/relationships/hyperlink" Target="https://www.researchgate.net/deref/http%3A%2F%2Fdx.doi.org%2F10.5191%2Fjiaee.2004.11110" TargetMode="External"/><Relationship Id="rId17" Type="http://schemas.openxmlformats.org/officeDocument/2006/relationships/hyperlink" Target="https://www.researchgate.net/deref/http%3A%2F%2Fdx.doi.org%2F10.5191%2Fjiaee.2016.23103" TargetMode="External"/><Relationship Id="rId25" Type="http://schemas.openxmlformats.org/officeDocument/2006/relationships/hyperlink" Target="https://www.stat.auckland.ac.nz/~iase/serj/SERJ11(2)_Hood.pdf" TargetMode="External"/><Relationship Id="rId33" Type="http://schemas.openxmlformats.org/officeDocument/2006/relationships/hyperlink" Target="https://doi.org/10.2527/1999.77113106x" TargetMode="External"/><Relationship Id="rId38" Type="http://schemas.openxmlformats.org/officeDocument/2006/relationships/hyperlink" Target="https://doi.org/10.5539/ijb.v3n4p100" TargetMode="External"/><Relationship Id="rId46" Type="http://schemas.openxmlformats.org/officeDocument/2006/relationships/hyperlink" Target="https://eric.ed.gov/?redir=http%3a%2f%2fdx.doi.org%2f10.1177%2f1028315313497589" TargetMode="External"/><Relationship Id="rId20" Type="http://schemas.openxmlformats.org/officeDocument/2006/relationships/hyperlink" Target="https://psycnet.apa.org/doi/10.1037/a0026659" TargetMode="External"/><Relationship Id="rId41" Type="http://schemas.openxmlformats.org/officeDocument/2006/relationships/hyperlink" Target="https://doi.org/10.1108/JARHE-03-2016-0015"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iaee.org/attachments/article/1106/063.pdf" TargetMode="External"/><Relationship Id="rId23" Type="http://schemas.openxmlformats.org/officeDocument/2006/relationships/hyperlink" Target="https://doi.org/10.5032/jae.2016.01042" TargetMode="External"/><Relationship Id="rId28" Type="http://schemas.openxmlformats.org/officeDocument/2006/relationships/hyperlink" Target="http://www.scientiasocialis.lt/jbse/files/pdf/vol12/322-336.Ilgan_JBSE_Vol.12.3.pdf" TargetMode="External"/><Relationship Id="rId36" Type="http://schemas.openxmlformats.org/officeDocument/2006/relationships/hyperlink" Target="https://www.jhseonline.com/article/view/597" TargetMode="External"/><Relationship Id="rId49" Type="http://schemas.openxmlformats.org/officeDocument/2006/relationships/hyperlink" Target="https://doi.org/10.5191/jiaee.2003.10304" TargetMode="External"/><Relationship Id="rId57" Type="http://schemas.openxmlformats.org/officeDocument/2006/relationships/fontTable" Target="fontTable.xml"/><Relationship Id="rId10" Type="http://schemas.openxmlformats.org/officeDocument/2006/relationships/hyperlink" Target="https://doi.org/10.1016/j.sbspro.2010.03.793" TargetMode="External"/><Relationship Id="rId31" Type="http://schemas.openxmlformats.org/officeDocument/2006/relationships/hyperlink" Target="https://eric.ed.gov/?id=ED456648" TargetMode="External"/><Relationship Id="rId44" Type="http://schemas.openxmlformats.org/officeDocument/2006/relationships/hyperlink" Target="https://eric.ed.gov/?id=EJ1141587" TargetMode="External"/><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nc7ENC+SWtfgMuDLhS27+15zIQ==">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4231</Words>
  <Characters>24122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Jack F. Elliot</cp:lastModifiedBy>
  <cp:revision>2</cp:revision>
  <dcterms:created xsi:type="dcterms:W3CDTF">2022-09-04T18:26:00Z</dcterms:created>
  <dcterms:modified xsi:type="dcterms:W3CDTF">2022-09-04T18:26:00Z</dcterms:modified>
</cp:coreProperties>
</file>