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C58DF7" w14:textId="27ED9618" w:rsidR="2D46C364" w:rsidRDefault="5EE3EFD7" w:rsidP="5EE3EFD7">
      <w:pPr>
        <w:spacing w:line="257" w:lineRule="auto"/>
        <w:jc w:val="center"/>
        <w:rPr>
          <w:rFonts w:ascii="Times" w:eastAsia="Times" w:hAnsi="Times" w:cs="Times"/>
          <w:b/>
          <w:bCs/>
          <w:sz w:val="24"/>
          <w:szCs w:val="24"/>
        </w:rPr>
      </w:pPr>
      <w:r w:rsidRPr="5EE3EFD7">
        <w:rPr>
          <w:rFonts w:ascii="Times" w:eastAsia="Times" w:hAnsi="Times" w:cs="Times"/>
          <w:b/>
          <w:bCs/>
          <w:sz w:val="24"/>
          <w:szCs w:val="24"/>
        </w:rPr>
        <w:t>Gender Bias towards Female Instructors in a Welding Course</w:t>
      </w:r>
    </w:p>
    <w:p w14:paraId="60A3CD91" w14:textId="09AE5B3D" w:rsidR="00974A7A" w:rsidRPr="00974A7A" w:rsidRDefault="00974A7A" w:rsidP="00974A7A">
      <w:pPr>
        <w:spacing w:after="0" w:line="257" w:lineRule="auto"/>
        <w:jc w:val="center"/>
        <w:rPr>
          <w:rFonts w:ascii="Times" w:eastAsia="Times" w:hAnsi="Times" w:cs="Times"/>
          <w:sz w:val="24"/>
          <w:szCs w:val="24"/>
        </w:rPr>
      </w:pPr>
      <w:r w:rsidRPr="00974A7A">
        <w:rPr>
          <w:rFonts w:ascii="Times" w:eastAsia="Times" w:hAnsi="Times" w:cs="Times"/>
          <w:sz w:val="24"/>
          <w:szCs w:val="24"/>
        </w:rPr>
        <w:t xml:space="preserve">Kjersti Clawson Decker, Utah State University </w:t>
      </w:r>
    </w:p>
    <w:p w14:paraId="00EEF8EC" w14:textId="6BBE9315" w:rsidR="00974A7A" w:rsidRPr="00974A7A" w:rsidRDefault="00974A7A" w:rsidP="00974A7A">
      <w:pPr>
        <w:spacing w:after="0" w:line="257" w:lineRule="auto"/>
        <w:jc w:val="center"/>
        <w:rPr>
          <w:rFonts w:ascii="Times" w:eastAsia="Times" w:hAnsi="Times" w:cs="Times"/>
          <w:sz w:val="24"/>
          <w:szCs w:val="24"/>
        </w:rPr>
      </w:pPr>
      <w:r w:rsidRPr="00974A7A">
        <w:rPr>
          <w:rFonts w:ascii="Times" w:eastAsia="Times" w:hAnsi="Times" w:cs="Times"/>
          <w:sz w:val="24"/>
          <w:szCs w:val="24"/>
        </w:rPr>
        <w:t xml:space="preserve">Michael Pate, Utah State University </w:t>
      </w:r>
    </w:p>
    <w:p w14:paraId="091D76F5" w14:textId="3BB83690" w:rsidR="00974A7A" w:rsidRPr="00974A7A" w:rsidRDefault="00974A7A" w:rsidP="00974A7A">
      <w:pPr>
        <w:spacing w:after="0" w:line="257" w:lineRule="auto"/>
        <w:jc w:val="center"/>
        <w:rPr>
          <w:rFonts w:ascii="Times" w:eastAsia="Times" w:hAnsi="Times" w:cs="Times"/>
          <w:sz w:val="24"/>
          <w:szCs w:val="24"/>
        </w:rPr>
      </w:pPr>
      <w:r w:rsidRPr="00974A7A">
        <w:rPr>
          <w:rFonts w:ascii="Times" w:eastAsia="Times" w:hAnsi="Times" w:cs="Times"/>
          <w:sz w:val="24"/>
          <w:szCs w:val="24"/>
        </w:rPr>
        <w:t xml:space="preserve">Tyson J. Sorensen, Utah State University </w:t>
      </w:r>
    </w:p>
    <w:p w14:paraId="251202DD" w14:textId="0ACE943D" w:rsidR="00974A7A" w:rsidRPr="00974A7A" w:rsidRDefault="00974A7A" w:rsidP="5EE3EFD7">
      <w:pPr>
        <w:spacing w:line="257" w:lineRule="auto"/>
        <w:jc w:val="center"/>
        <w:rPr>
          <w:rFonts w:ascii="Times" w:eastAsia="Times" w:hAnsi="Times" w:cs="Times"/>
          <w:sz w:val="24"/>
          <w:szCs w:val="24"/>
        </w:rPr>
      </w:pPr>
      <w:r w:rsidRPr="00974A7A">
        <w:rPr>
          <w:rFonts w:ascii="Times" w:eastAsia="Times" w:hAnsi="Times" w:cs="Times"/>
          <w:sz w:val="24"/>
          <w:szCs w:val="24"/>
        </w:rPr>
        <w:t>Don Edgar, New Mexico State University</w:t>
      </w:r>
    </w:p>
    <w:p w14:paraId="73523195" w14:textId="60B3DA96" w:rsidR="2D46C364" w:rsidRDefault="5EE3EFD7" w:rsidP="5EE3EFD7">
      <w:pPr>
        <w:spacing w:line="257" w:lineRule="auto"/>
        <w:jc w:val="center"/>
        <w:rPr>
          <w:rFonts w:ascii="Times" w:eastAsia="Times" w:hAnsi="Times" w:cs="Times"/>
          <w:b/>
          <w:bCs/>
          <w:sz w:val="24"/>
          <w:szCs w:val="24"/>
        </w:rPr>
      </w:pPr>
      <w:r w:rsidRPr="5EE3EFD7">
        <w:rPr>
          <w:rFonts w:ascii="Times" w:eastAsia="Times" w:hAnsi="Times" w:cs="Times"/>
          <w:b/>
          <w:bCs/>
          <w:sz w:val="24"/>
          <w:szCs w:val="24"/>
        </w:rPr>
        <w:t xml:space="preserve">Introduction/Theoretical Framework </w:t>
      </w:r>
    </w:p>
    <w:p w14:paraId="0E0E961A" w14:textId="769F1B6C" w:rsidR="2D46C364" w:rsidRDefault="1667DCA6" w:rsidP="5EE3EFD7">
      <w:pPr>
        <w:spacing w:line="257" w:lineRule="auto"/>
        <w:rPr>
          <w:rFonts w:ascii="Times" w:eastAsia="Times" w:hAnsi="Times" w:cs="Times"/>
          <w:sz w:val="24"/>
          <w:szCs w:val="24"/>
        </w:rPr>
      </w:pPr>
      <w:r w:rsidRPr="1667DCA6">
        <w:rPr>
          <w:rFonts w:ascii="Times" w:eastAsia="Times" w:hAnsi="Times" w:cs="Times"/>
          <w:sz w:val="24"/>
          <w:szCs w:val="24"/>
        </w:rPr>
        <w:t xml:space="preserve">Diverse representation among students and educators within agricultural education has continued to shift since the Smith Hughes Act of 1917. Historically, females were not offered membership into the National FFA Organization until 1969. Approximately 20 years later, only 5.1% of agricultural education teaching positions were held by females (Knight, 1987). The lack of female representation had been associated with traditionally held social standard perceptions that certain careers, agricultural </w:t>
      </w:r>
      <w:proofErr w:type="gramStart"/>
      <w:r w:rsidRPr="1667DCA6">
        <w:rPr>
          <w:rFonts w:ascii="Times" w:eastAsia="Times" w:hAnsi="Times" w:cs="Times"/>
          <w:sz w:val="24"/>
          <w:szCs w:val="24"/>
        </w:rPr>
        <w:t>education</w:t>
      </w:r>
      <w:proofErr w:type="gramEnd"/>
      <w:r w:rsidRPr="1667DCA6">
        <w:rPr>
          <w:rFonts w:ascii="Times" w:eastAsia="Times" w:hAnsi="Times" w:cs="Times"/>
          <w:sz w:val="24"/>
          <w:szCs w:val="24"/>
        </w:rPr>
        <w:t xml:space="preserve"> and especially agricultural mechanics, are reserved for males (</w:t>
      </w:r>
      <w:r w:rsidRPr="1667DCA6">
        <w:rPr>
          <w:rFonts w:ascii="Times" w:eastAsia="Times" w:hAnsi="Times" w:cs="Times"/>
          <w:color w:val="000000" w:themeColor="text1"/>
          <w:sz w:val="24"/>
          <w:szCs w:val="24"/>
        </w:rPr>
        <w:t>Bradley, 1971; Gabriel &amp; Schmitz, 2007)</w:t>
      </w:r>
      <w:r w:rsidRPr="1667DCA6">
        <w:rPr>
          <w:rFonts w:ascii="Times" w:eastAsia="Times" w:hAnsi="Times" w:cs="Times"/>
          <w:sz w:val="24"/>
          <w:szCs w:val="24"/>
        </w:rPr>
        <w:t xml:space="preserve">. However, the number of females holding agricultural education teaching positions continues to grow with 76% of graduates in agricultural education teacher preparation programs identifying as female (Smith et al., 2021). Many efforts have been made to address gender bias to promote increasing female representation among agricultural educators (Saucier &amp; McKim, 2011; Tummons et al., 2017). However, while an increased number of females in agricultural education demonstrates positive momentum in closing the gender gap, many female teachers continue to face trials with job placement, discrimination from male counterparts and school administration, and experience gender bias in their teaching experience (Bradley, 1971; Kelsey, 2006; Kelsey, 2007; Thompson, 1986). </w:t>
      </w:r>
    </w:p>
    <w:p w14:paraId="57AB5FB3" w14:textId="2E9F4BF4" w:rsidR="2D46C364" w:rsidRDefault="1667DCA6" w:rsidP="5EE3EFD7">
      <w:pPr>
        <w:spacing w:line="257" w:lineRule="auto"/>
        <w:rPr>
          <w:rFonts w:ascii="Times" w:eastAsia="Times" w:hAnsi="Times" w:cs="Times"/>
          <w:sz w:val="24"/>
          <w:szCs w:val="24"/>
        </w:rPr>
      </w:pPr>
      <w:r w:rsidRPr="1667DCA6">
        <w:rPr>
          <w:rFonts w:ascii="Times" w:eastAsia="Times" w:hAnsi="Times" w:cs="Times"/>
          <w:sz w:val="24"/>
          <w:szCs w:val="24"/>
        </w:rPr>
        <w:t xml:space="preserve">Two studies regarding student evaluations provide evidence of gender bias in post-secondary political science courses, arguably another male dominated </w:t>
      </w:r>
      <w:r w:rsidR="00B96190">
        <w:rPr>
          <w:rFonts w:ascii="Times" w:eastAsia="Times" w:hAnsi="Times" w:cs="Times"/>
          <w:sz w:val="24"/>
          <w:szCs w:val="24"/>
        </w:rPr>
        <w:t xml:space="preserve">discipline </w:t>
      </w:r>
      <w:r w:rsidRPr="1667DCA6">
        <w:rPr>
          <w:rFonts w:ascii="Times" w:eastAsia="Times" w:hAnsi="Times" w:cs="Times"/>
          <w:sz w:val="24"/>
          <w:szCs w:val="24"/>
        </w:rPr>
        <w:t>(</w:t>
      </w:r>
      <w:proofErr w:type="spellStart"/>
      <w:r w:rsidRPr="1667DCA6">
        <w:rPr>
          <w:rFonts w:ascii="Times" w:eastAsia="Times" w:hAnsi="Times" w:cs="Times"/>
          <w:sz w:val="24"/>
          <w:szCs w:val="24"/>
        </w:rPr>
        <w:t>MacNell</w:t>
      </w:r>
      <w:proofErr w:type="spellEnd"/>
      <w:r w:rsidRPr="1667DCA6">
        <w:rPr>
          <w:rFonts w:ascii="Times" w:eastAsia="Times" w:hAnsi="Times" w:cs="Times"/>
          <w:sz w:val="24"/>
          <w:szCs w:val="24"/>
        </w:rPr>
        <w:t xml:space="preserve"> et al., 2015; Mitchell &amp; Martin, 2018). Both studies concluded male instructors receive higher evaluations than female counterparts, even in online courses. Females</w:t>
      </w:r>
      <w:r w:rsidR="00B96190">
        <w:rPr>
          <w:rFonts w:ascii="Times" w:eastAsia="Times" w:hAnsi="Times" w:cs="Times"/>
          <w:sz w:val="24"/>
          <w:szCs w:val="24"/>
        </w:rPr>
        <w:t xml:space="preserve"> </w:t>
      </w:r>
      <w:proofErr w:type="spellStart"/>
      <w:r w:rsidR="00B96190">
        <w:rPr>
          <w:rFonts w:ascii="Times" w:eastAsia="Times" w:hAnsi="Times" w:cs="Times"/>
          <w:sz w:val="24"/>
          <w:szCs w:val="24"/>
        </w:rPr>
        <w:t>teachres</w:t>
      </w:r>
      <w:proofErr w:type="spellEnd"/>
      <w:r w:rsidRPr="1667DCA6">
        <w:rPr>
          <w:rFonts w:ascii="Times" w:eastAsia="Times" w:hAnsi="Times" w:cs="Times"/>
          <w:sz w:val="24"/>
          <w:szCs w:val="24"/>
        </w:rPr>
        <w:t xml:space="preserve"> are supposedly judged</w:t>
      </w:r>
      <w:r w:rsidR="00B96190">
        <w:rPr>
          <w:rFonts w:ascii="Times" w:eastAsia="Times" w:hAnsi="Times" w:cs="Times"/>
          <w:sz w:val="24"/>
          <w:szCs w:val="24"/>
        </w:rPr>
        <w:t xml:space="preserve"> </w:t>
      </w:r>
      <w:r w:rsidRPr="1667DCA6">
        <w:rPr>
          <w:rFonts w:ascii="Times" w:eastAsia="Times" w:hAnsi="Times" w:cs="Times"/>
          <w:sz w:val="24"/>
          <w:szCs w:val="24"/>
        </w:rPr>
        <w:t>on different factors than males such as personality and perceived intelligence (Mitchell &amp; Martin, 2018).</w:t>
      </w:r>
    </w:p>
    <w:p w14:paraId="5D6AE3F8" w14:textId="053EBAD1" w:rsidR="3C192CC1" w:rsidRDefault="1667DCA6" w:rsidP="3C192CC1">
      <w:pPr>
        <w:spacing w:line="257" w:lineRule="auto"/>
        <w:rPr>
          <w:rFonts w:ascii="Times" w:eastAsia="Times" w:hAnsi="Times" w:cs="Times"/>
          <w:sz w:val="24"/>
          <w:szCs w:val="24"/>
        </w:rPr>
      </w:pPr>
      <w:r w:rsidRPr="1667DCA6">
        <w:rPr>
          <w:rFonts w:ascii="Times" w:eastAsia="Times" w:hAnsi="Times" w:cs="Times"/>
          <w:sz w:val="24"/>
          <w:szCs w:val="24"/>
        </w:rPr>
        <w:t xml:space="preserve">For this study, we rely on the Pygmalion effect theory and </w:t>
      </w:r>
      <w:proofErr w:type="spellStart"/>
      <w:r w:rsidRPr="1667DCA6">
        <w:rPr>
          <w:rFonts w:ascii="Times" w:eastAsia="Times" w:hAnsi="Times" w:cs="Times"/>
          <w:sz w:val="24"/>
          <w:szCs w:val="24"/>
        </w:rPr>
        <w:t>Eagly’s</w:t>
      </w:r>
      <w:proofErr w:type="spellEnd"/>
      <w:r w:rsidRPr="1667DCA6">
        <w:rPr>
          <w:rFonts w:ascii="Times" w:eastAsia="Times" w:hAnsi="Times" w:cs="Times"/>
          <w:sz w:val="24"/>
          <w:szCs w:val="24"/>
        </w:rPr>
        <w:t xml:space="preserve"> social role theory to explain instructor gender and its effects on student perceptions </w:t>
      </w:r>
      <w:r w:rsidRPr="1667DCA6">
        <w:rPr>
          <w:rFonts w:ascii="Times New Roman" w:eastAsia="Times New Roman" w:hAnsi="Times New Roman" w:cs="Times New Roman"/>
          <w:color w:val="000000" w:themeColor="text1"/>
          <w:sz w:val="24"/>
          <w:szCs w:val="24"/>
        </w:rPr>
        <w:t>(</w:t>
      </w:r>
      <w:proofErr w:type="spellStart"/>
      <w:r w:rsidRPr="1667DCA6">
        <w:rPr>
          <w:rFonts w:ascii="Times New Roman" w:eastAsia="Times New Roman" w:hAnsi="Times New Roman" w:cs="Times New Roman"/>
          <w:color w:val="000000" w:themeColor="text1"/>
          <w:sz w:val="24"/>
          <w:szCs w:val="24"/>
        </w:rPr>
        <w:t>Eagly</w:t>
      </w:r>
      <w:proofErr w:type="spellEnd"/>
      <w:r w:rsidRPr="1667DCA6">
        <w:rPr>
          <w:rFonts w:ascii="Times New Roman" w:eastAsia="Times New Roman" w:hAnsi="Times New Roman" w:cs="Times New Roman"/>
          <w:color w:val="000000" w:themeColor="text1"/>
          <w:sz w:val="24"/>
          <w:szCs w:val="24"/>
        </w:rPr>
        <w:t xml:space="preserve">, 1987; </w:t>
      </w:r>
      <w:proofErr w:type="spellStart"/>
      <w:r w:rsidRPr="1667DCA6">
        <w:rPr>
          <w:rFonts w:ascii="Times New Roman" w:eastAsia="Times New Roman" w:hAnsi="Times New Roman" w:cs="Times New Roman"/>
          <w:color w:val="000000" w:themeColor="text1"/>
          <w:sz w:val="24"/>
          <w:szCs w:val="24"/>
        </w:rPr>
        <w:t>Karakowsky</w:t>
      </w:r>
      <w:proofErr w:type="spellEnd"/>
      <w:r w:rsidRPr="1667DCA6">
        <w:rPr>
          <w:rFonts w:ascii="Times New Roman" w:eastAsia="Times New Roman" w:hAnsi="Times New Roman" w:cs="Times New Roman"/>
          <w:color w:val="000000" w:themeColor="text1"/>
          <w:sz w:val="24"/>
          <w:szCs w:val="24"/>
        </w:rPr>
        <w:t xml:space="preserve"> et al., 2016; Merton, 1948) </w:t>
      </w:r>
      <w:proofErr w:type="spellStart"/>
      <w:r w:rsidRPr="1667DCA6">
        <w:rPr>
          <w:rFonts w:ascii="Times" w:eastAsia="Times" w:hAnsi="Times" w:cs="Times"/>
          <w:sz w:val="24"/>
          <w:szCs w:val="24"/>
        </w:rPr>
        <w:t>Eagly’s</w:t>
      </w:r>
      <w:proofErr w:type="spellEnd"/>
      <w:r w:rsidRPr="1667DCA6">
        <w:rPr>
          <w:rFonts w:ascii="Times" w:eastAsia="Times" w:hAnsi="Times" w:cs="Times"/>
          <w:sz w:val="24"/>
          <w:szCs w:val="24"/>
        </w:rPr>
        <w:t xml:space="preserve"> social theory claims behavioral differences between the two sexes has developed because of gender stereotypes and are consequences of the stereotypes taught to children. Boys and girls act differently because of the roles taught to them from society (</w:t>
      </w:r>
      <w:proofErr w:type="spellStart"/>
      <w:r w:rsidRPr="1667DCA6">
        <w:rPr>
          <w:rFonts w:ascii="Times" w:eastAsia="Times" w:hAnsi="Times" w:cs="Times"/>
          <w:sz w:val="24"/>
          <w:szCs w:val="24"/>
        </w:rPr>
        <w:t>Eagly</w:t>
      </w:r>
      <w:proofErr w:type="spellEnd"/>
      <w:r w:rsidRPr="1667DCA6">
        <w:rPr>
          <w:rFonts w:ascii="Times" w:eastAsia="Times" w:hAnsi="Times" w:cs="Times"/>
          <w:sz w:val="24"/>
          <w:szCs w:val="24"/>
        </w:rPr>
        <w:t>, 1987). There are socially acceptable careers perceived to be reserved for either males or females such as pink-collar and blue-collar jobs. Incongruent work roles and gender consequent into poor perceptions from subordinates. A female welding instructor may be deemed as incongruent by social standards and her teaching ability may be devalued (</w:t>
      </w:r>
      <w:proofErr w:type="spellStart"/>
      <w:r w:rsidRPr="1667DCA6">
        <w:rPr>
          <w:rFonts w:ascii="Times" w:eastAsia="Times" w:hAnsi="Times" w:cs="Times"/>
          <w:sz w:val="24"/>
          <w:szCs w:val="24"/>
        </w:rPr>
        <w:t>Eagly</w:t>
      </w:r>
      <w:proofErr w:type="spellEnd"/>
      <w:r w:rsidRPr="1667DCA6">
        <w:rPr>
          <w:rFonts w:ascii="Times" w:eastAsia="Times" w:hAnsi="Times" w:cs="Times"/>
          <w:sz w:val="24"/>
          <w:szCs w:val="24"/>
        </w:rPr>
        <w:t xml:space="preserve">, 1987; </w:t>
      </w:r>
      <w:proofErr w:type="spellStart"/>
      <w:r w:rsidRPr="1667DCA6">
        <w:rPr>
          <w:rFonts w:ascii="Times" w:eastAsia="Times" w:hAnsi="Times" w:cs="Times"/>
          <w:sz w:val="24"/>
          <w:szCs w:val="24"/>
        </w:rPr>
        <w:t>Eagly</w:t>
      </w:r>
      <w:proofErr w:type="spellEnd"/>
      <w:r w:rsidRPr="1667DCA6">
        <w:rPr>
          <w:rFonts w:ascii="Times" w:eastAsia="Times" w:hAnsi="Times" w:cs="Times"/>
          <w:sz w:val="24"/>
          <w:szCs w:val="24"/>
        </w:rPr>
        <w:t>, 2002). Congruent gender and work roles positively influence perceptions of the teacher (</w:t>
      </w:r>
      <w:proofErr w:type="spellStart"/>
      <w:r w:rsidRPr="1667DCA6">
        <w:rPr>
          <w:rFonts w:ascii="Times" w:eastAsia="Times" w:hAnsi="Times" w:cs="Times"/>
          <w:sz w:val="24"/>
          <w:szCs w:val="24"/>
        </w:rPr>
        <w:t>Karakowsky</w:t>
      </w:r>
      <w:proofErr w:type="spellEnd"/>
      <w:r w:rsidRPr="1667DCA6">
        <w:rPr>
          <w:rFonts w:ascii="Times" w:eastAsia="Times" w:hAnsi="Times" w:cs="Times"/>
          <w:sz w:val="24"/>
          <w:szCs w:val="24"/>
        </w:rPr>
        <w:t xml:space="preserve"> et al., 2016).</w:t>
      </w:r>
    </w:p>
    <w:p w14:paraId="794BF3B6" w14:textId="150D7B4E" w:rsidR="2D46C364" w:rsidRDefault="3C192CC1" w:rsidP="5EE3EFD7">
      <w:pPr>
        <w:spacing w:line="257" w:lineRule="auto"/>
        <w:rPr>
          <w:rFonts w:ascii="Times" w:eastAsia="Times" w:hAnsi="Times" w:cs="Times"/>
          <w:sz w:val="24"/>
          <w:szCs w:val="24"/>
        </w:rPr>
      </w:pPr>
      <w:r w:rsidRPr="3C192CC1">
        <w:rPr>
          <w:rFonts w:ascii="Times" w:eastAsia="Times" w:hAnsi="Times" w:cs="Times"/>
          <w:sz w:val="24"/>
          <w:szCs w:val="24"/>
        </w:rPr>
        <w:t xml:space="preserve">The Pygmalion theory in a teacher-student scenario describes the impact student perceptions, actions and expectations have on a teacher. High expectations of a teacher or leader contribute to superior teaching performance. </w:t>
      </w:r>
      <w:proofErr w:type="spellStart"/>
      <w:r w:rsidRPr="3C192CC1">
        <w:rPr>
          <w:rFonts w:ascii="Times" w:eastAsia="Times" w:hAnsi="Times" w:cs="Times"/>
          <w:sz w:val="24"/>
          <w:szCs w:val="24"/>
        </w:rPr>
        <w:t>Karakowsky</w:t>
      </w:r>
      <w:proofErr w:type="spellEnd"/>
      <w:r w:rsidRPr="3C192CC1">
        <w:rPr>
          <w:rFonts w:ascii="Times" w:eastAsia="Times" w:hAnsi="Times" w:cs="Times"/>
          <w:sz w:val="24"/>
          <w:szCs w:val="24"/>
        </w:rPr>
        <w:t xml:space="preserve"> et al.</w:t>
      </w:r>
      <w:r w:rsidR="0034262C">
        <w:rPr>
          <w:rFonts w:ascii="Times" w:eastAsia="Times" w:hAnsi="Times" w:cs="Times"/>
          <w:sz w:val="24"/>
          <w:szCs w:val="24"/>
        </w:rPr>
        <w:t xml:space="preserve"> (2016)</w:t>
      </w:r>
      <w:r w:rsidRPr="3C192CC1">
        <w:rPr>
          <w:rFonts w:ascii="Times" w:eastAsia="Times" w:hAnsi="Times" w:cs="Times"/>
          <w:sz w:val="24"/>
          <w:szCs w:val="24"/>
        </w:rPr>
        <w:t xml:space="preserve"> claims gender bias from students and </w:t>
      </w:r>
      <w:r w:rsidRPr="3C192CC1">
        <w:rPr>
          <w:rFonts w:ascii="Times" w:eastAsia="Times" w:hAnsi="Times" w:cs="Times"/>
          <w:sz w:val="24"/>
          <w:szCs w:val="24"/>
        </w:rPr>
        <w:lastRenderedPageBreak/>
        <w:t>social stereotypes are considerably responsible for the Pygmalion effect to occur</w:t>
      </w:r>
      <w:r w:rsidR="0034262C">
        <w:rPr>
          <w:rFonts w:ascii="Times" w:eastAsia="Times" w:hAnsi="Times" w:cs="Times"/>
          <w:sz w:val="24"/>
          <w:szCs w:val="24"/>
        </w:rPr>
        <w:t xml:space="preserve">. </w:t>
      </w:r>
      <w:r w:rsidRPr="3C192CC1">
        <w:rPr>
          <w:rFonts w:ascii="Times" w:eastAsia="Times" w:hAnsi="Times" w:cs="Times"/>
          <w:sz w:val="24"/>
          <w:szCs w:val="24"/>
        </w:rPr>
        <w:t xml:space="preserve">It is critical to for students to view their leader as a credible source to then be responsive </w:t>
      </w:r>
      <w:r w:rsidR="0034262C">
        <w:rPr>
          <w:rFonts w:ascii="Times" w:eastAsia="Times" w:hAnsi="Times" w:cs="Times"/>
          <w:sz w:val="24"/>
          <w:szCs w:val="24"/>
        </w:rPr>
        <w:t>in</w:t>
      </w:r>
      <w:r w:rsidRPr="3C192CC1">
        <w:rPr>
          <w:rFonts w:ascii="Times" w:eastAsia="Times" w:hAnsi="Times" w:cs="Times"/>
          <w:sz w:val="24"/>
          <w:szCs w:val="24"/>
        </w:rPr>
        <w:t xml:space="preserve"> the learning atmosphere (</w:t>
      </w:r>
      <w:proofErr w:type="spellStart"/>
      <w:r w:rsidRPr="3C192CC1">
        <w:rPr>
          <w:rFonts w:ascii="Times" w:eastAsia="Times" w:hAnsi="Times" w:cs="Times"/>
          <w:sz w:val="24"/>
          <w:szCs w:val="24"/>
        </w:rPr>
        <w:t>Karakowsky</w:t>
      </w:r>
      <w:proofErr w:type="spellEnd"/>
      <w:r w:rsidRPr="3C192CC1">
        <w:rPr>
          <w:rFonts w:ascii="Times" w:eastAsia="Times" w:hAnsi="Times" w:cs="Times"/>
          <w:sz w:val="24"/>
          <w:szCs w:val="24"/>
        </w:rPr>
        <w:t xml:space="preserve"> et al., 2012). </w:t>
      </w:r>
    </w:p>
    <w:p w14:paraId="78369958" w14:textId="7A22F0F5" w:rsidR="3C192CC1" w:rsidRDefault="1667DCA6" w:rsidP="3C192CC1">
      <w:pPr>
        <w:spacing w:line="257" w:lineRule="auto"/>
        <w:rPr>
          <w:rFonts w:ascii="Times" w:eastAsia="Times" w:hAnsi="Times" w:cs="Times"/>
          <w:sz w:val="24"/>
          <w:szCs w:val="24"/>
        </w:rPr>
      </w:pPr>
      <w:r w:rsidRPr="1667DCA6">
        <w:rPr>
          <w:rFonts w:ascii="Times" w:eastAsia="Times" w:hAnsi="Times" w:cs="Times"/>
          <w:sz w:val="24"/>
          <w:szCs w:val="24"/>
        </w:rPr>
        <w:t xml:space="preserve">Tinkering self-efficacy is an individuals’ belief of themselves regarding their own experience and knowledge in manual activities (Baker &amp; Krause, 2007). For our research purposes, manual activities are </w:t>
      </w:r>
      <w:proofErr w:type="gramStart"/>
      <w:r w:rsidRPr="1667DCA6">
        <w:rPr>
          <w:rFonts w:ascii="Times" w:eastAsia="Times" w:hAnsi="Times" w:cs="Times"/>
          <w:sz w:val="24"/>
          <w:szCs w:val="24"/>
        </w:rPr>
        <w:t>in regard to</w:t>
      </w:r>
      <w:proofErr w:type="gramEnd"/>
      <w:r w:rsidRPr="1667DCA6">
        <w:rPr>
          <w:rFonts w:ascii="Times" w:eastAsia="Times" w:hAnsi="Times" w:cs="Times"/>
          <w:sz w:val="24"/>
          <w:szCs w:val="24"/>
        </w:rPr>
        <w:t xml:space="preserve"> an agricultural mechanics setting. Females have been previously described as lacking experience and more apprehensive in the mechanics realm (Baker &amp; Krause, 2007, </w:t>
      </w:r>
      <w:proofErr w:type="spellStart"/>
      <w:r w:rsidRPr="1667DCA6">
        <w:rPr>
          <w:rFonts w:ascii="Times" w:eastAsia="Times" w:hAnsi="Times" w:cs="Times"/>
          <w:sz w:val="24"/>
          <w:szCs w:val="24"/>
        </w:rPr>
        <w:t>Crismond</w:t>
      </w:r>
      <w:proofErr w:type="spellEnd"/>
      <w:r w:rsidRPr="1667DCA6">
        <w:rPr>
          <w:rFonts w:ascii="Times" w:eastAsia="Times" w:hAnsi="Times" w:cs="Times"/>
          <w:sz w:val="24"/>
          <w:szCs w:val="24"/>
        </w:rPr>
        <w:t>, 2001). Male students may have a higher tinkering self-efficacy and therefore may have lower or negative expectations (</w:t>
      </w:r>
      <w:proofErr w:type="gramStart"/>
      <w:r w:rsidRPr="1667DCA6">
        <w:rPr>
          <w:rFonts w:ascii="Times" w:eastAsia="Times" w:hAnsi="Times" w:cs="Times"/>
          <w:sz w:val="24"/>
          <w:szCs w:val="24"/>
        </w:rPr>
        <w:t>e.g.</w:t>
      </w:r>
      <w:proofErr w:type="gramEnd"/>
      <w:r w:rsidRPr="1667DCA6">
        <w:rPr>
          <w:rFonts w:ascii="Times" w:eastAsia="Times" w:hAnsi="Times" w:cs="Times"/>
          <w:sz w:val="24"/>
          <w:szCs w:val="24"/>
        </w:rPr>
        <w:t xml:space="preserve"> Pygmalion effect) of a female welding instructor due to individual perceptions that the female instructor lacks credibility in the technical domain. Female students who may have a lower tinkering self-efficacy may perceive a higher value for instruction from a female instructor </w:t>
      </w:r>
      <w:proofErr w:type="gramStart"/>
      <w:r w:rsidRPr="1667DCA6">
        <w:rPr>
          <w:rFonts w:ascii="Times" w:eastAsia="Times" w:hAnsi="Times" w:cs="Times"/>
          <w:sz w:val="24"/>
          <w:szCs w:val="24"/>
        </w:rPr>
        <w:t>in order to</w:t>
      </w:r>
      <w:proofErr w:type="gramEnd"/>
      <w:r w:rsidRPr="1667DCA6">
        <w:rPr>
          <w:rFonts w:ascii="Times" w:eastAsia="Times" w:hAnsi="Times" w:cs="Times"/>
          <w:sz w:val="24"/>
          <w:szCs w:val="24"/>
        </w:rPr>
        <w:t xml:space="preserve"> reduce feelings of inadequacy in the technical domain.</w:t>
      </w:r>
    </w:p>
    <w:p w14:paraId="4DF70DEC" w14:textId="581D6394" w:rsidR="2D46C364" w:rsidRDefault="1667DCA6" w:rsidP="5EE3EFD7">
      <w:pPr>
        <w:spacing w:line="257" w:lineRule="auto"/>
        <w:rPr>
          <w:rFonts w:ascii="Times" w:eastAsia="Times" w:hAnsi="Times" w:cs="Times"/>
          <w:sz w:val="24"/>
          <w:szCs w:val="24"/>
        </w:rPr>
      </w:pPr>
      <w:r w:rsidRPr="1667DCA6">
        <w:rPr>
          <w:rFonts w:ascii="Times" w:eastAsia="Times" w:hAnsi="Times" w:cs="Times"/>
          <w:sz w:val="24"/>
          <w:szCs w:val="24"/>
        </w:rPr>
        <w:t>Agricultural mechanics is a major part of secondary agricultural education as it is estimated one in four SBAE courses is an agricultural mechanics competency such as welding (Saucier &amp; McKim, 2011). Little to no research regarding gender bias in agricultural mechanics exists in professional literature. The potential for gender bias in our classrooms may rise with the sizeable increase of female educators in recent years if students perceive female instructors to have poorer teaching capabilities in agricultural mechanics compared to a male instructor.</w:t>
      </w:r>
    </w:p>
    <w:p w14:paraId="75C6A75F" w14:textId="403CF540" w:rsidR="2D46C364" w:rsidRDefault="5EE3EFD7" w:rsidP="5EE3EFD7">
      <w:pPr>
        <w:spacing w:line="240" w:lineRule="auto"/>
        <w:jc w:val="center"/>
        <w:rPr>
          <w:rFonts w:ascii="Times" w:eastAsia="Times" w:hAnsi="Times" w:cs="Times"/>
          <w:b/>
          <w:bCs/>
          <w:sz w:val="24"/>
          <w:szCs w:val="24"/>
        </w:rPr>
      </w:pPr>
      <w:r w:rsidRPr="5EE3EFD7">
        <w:rPr>
          <w:rFonts w:ascii="Times" w:eastAsia="Times" w:hAnsi="Times" w:cs="Times"/>
          <w:b/>
          <w:bCs/>
          <w:sz w:val="24"/>
          <w:szCs w:val="24"/>
        </w:rPr>
        <w:t xml:space="preserve">Purpose/Objectives </w:t>
      </w:r>
    </w:p>
    <w:p w14:paraId="7DF94699" w14:textId="12A3C452" w:rsidR="2D46C364" w:rsidRDefault="1667DCA6" w:rsidP="3C192CC1">
      <w:pPr>
        <w:spacing w:line="240" w:lineRule="auto"/>
        <w:rPr>
          <w:rFonts w:ascii="Times New Roman" w:eastAsia="Times New Roman" w:hAnsi="Times New Roman" w:cs="Times New Roman"/>
          <w:color w:val="000000" w:themeColor="text1"/>
          <w:sz w:val="24"/>
          <w:szCs w:val="24"/>
        </w:rPr>
      </w:pPr>
      <w:r w:rsidRPr="1667DCA6">
        <w:rPr>
          <w:rFonts w:ascii="Times New Roman" w:eastAsia="Times New Roman" w:hAnsi="Times New Roman" w:cs="Times New Roman"/>
          <w:color w:val="000000" w:themeColor="text1"/>
          <w:sz w:val="24"/>
          <w:szCs w:val="24"/>
        </w:rPr>
        <w:t>The purpose of this study was to examine students’ perceptions of female instructors versus male instructors in a post-secondary welding course. We also examined students’ tinkering self-efficacy. The following research objectives guided the study.</w:t>
      </w:r>
    </w:p>
    <w:p w14:paraId="398EDADB" w14:textId="4970C4F7" w:rsidR="2D46C364" w:rsidRDefault="6AB1C44B" w:rsidP="3C192CC1">
      <w:pPr>
        <w:pStyle w:val="ListParagraph"/>
        <w:numPr>
          <w:ilvl w:val="0"/>
          <w:numId w:val="2"/>
        </w:numPr>
        <w:rPr>
          <w:rFonts w:ascii="Times New Roman" w:eastAsia="Times New Roman" w:hAnsi="Times New Roman" w:cs="Times New Roman"/>
          <w:color w:val="000000" w:themeColor="text1"/>
          <w:sz w:val="24"/>
          <w:szCs w:val="24"/>
        </w:rPr>
      </w:pPr>
      <w:bookmarkStart w:id="0" w:name="_Hlk104901826"/>
      <w:r w:rsidRPr="6AB1C44B">
        <w:rPr>
          <w:rFonts w:ascii="Times New Roman" w:eastAsia="Times New Roman" w:hAnsi="Times New Roman" w:cs="Times New Roman"/>
          <w:color w:val="000000" w:themeColor="text1"/>
          <w:sz w:val="24"/>
          <w:szCs w:val="24"/>
        </w:rPr>
        <w:t>Describe the demographic profile of students in a post-secondary welding course</w:t>
      </w:r>
      <w:bookmarkEnd w:id="0"/>
    </w:p>
    <w:p w14:paraId="708FBBC4" w14:textId="1CB097B3" w:rsidR="2D46C364" w:rsidRDefault="6AB1C44B" w:rsidP="3C192CC1">
      <w:pPr>
        <w:pStyle w:val="ListParagraph"/>
        <w:numPr>
          <w:ilvl w:val="0"/>
          <w:numId w:val="2"/>
        </w:numPr>
        <w:spacing w:line="257" w:lineRule="auto"/>
        <w:rPr>
          <w:rFonts w:ascii="Times New Roman" w:eastAsia="Times New Roman" w:hAnsi="Times New Roman" w:cs="Times New Roman"/>
          <w:color w:val="000000" w:themeColor="text1"/>
          <w:sz w:val="24"/>
          <w:szCs w:val="24"/>
        </w:rPr>
      </w:pPr>
      <w:bookmarkStart w:id="1" w:name="_Hlk104901843"/>
      <w:bookmarkEnd w:id="1"/>
      <w:r w:rsidRPr="6AB1C44B">
        <w:rPr>
          <w:rFonts w:ascii="Times New Roman" w:eastAsia="Times New Roman" w:hAnsi="Times New Roman" w:cs="Times New Roman"/>
          <w:color w:val="000000" w:themeColor="text1"/>
          <w:sz w:val="24"/>
          <w:szCs w:val="24"/>
        </w:rPr>
        <w:t xml:space="preserve">Describe students’ preference on gender of the welding instructor </w:t>
      </w:r>
    </w:p>
    <w:p w14:paraId="533E698A" w14:textId="557379A4" w:rsidR="6AB1C44B" w:rsidRDefault="6AB1C44B" w:rsidP="6AB1C44B">
      <w:pPr>
        <w:pStyle w:val="ListParagraph"/>
        <w:numPr>
          <w:ilvl w:val="0"/>
          <w:numId w:val="2"/>
        </w:numPr>
        <w:spacing w:line="257" w:lineRule="auto"/>
        <w:rPr>
          <w:color w:val="000000" w:themeColor="text1"/>
          <w:sz w:val="24"/>
          <w:szCs w:val="24"/>
        </w:rPr>
      </w:pPr>
      <w:r w:rsidRPr="6AB1C44B">
        <w:rPr>
          <w:rFonts w:ascii="Times New Roman" w:eastAsia="Times New Roman" w:hAnsi="Times New Roman" w:cs="Times New Roman"/>
          <w:color w:val="000000" w:themeColor="text1"/>
          <w:sz w:val="24"/>
          <w:szCs w:val="24"/>
        </w:rPr>
        <w:t>Describe student’s tinkering self-efficacy</w:t>
      </w:r>
    </w:p>
    <w:p w14:paraId="419598A6" w14:textId="5F4610FF" w:rsidR="6AB1C44B" w:rsidRDefault="6AB1C44B" w:rsidP="6AB1C44B">
      <w:pPr>
        <w:pStyle w:val="ListParagraph"/>
        <w:numPr>
          <w:ilvl w:val="0"/>
          <w:numId w:val="2"/>
        </w:numPr>
        <w:spacing w:line="257" w:lineRule="auto"/>
        <w:rPr>
          <w:color w:val="000000" w:themeColor="text1"/>
          <w:sz w:val="24"/>
          <w:szCs w:val="24"/>
        </w:rPr>
      </w:pPr>
      <w:r w:rsidRPr="6AB1C44B">
        <w:rPr>
          <w:rFonts w:ascii="Times New Roman" w:eastAsia="Times New Roman" w:hAnsi="Times New Roman" w:cs="Times New Roman"/>
          <w:color w:val="000000" w:themeColor="text1"/>
          <w:sz w:val="24"/>
          <w:szCs w:val="24"/>
        </w:rPr>
        <w:t xml:space="preserve">Determine the correlation between students’ tinkering self-efficacy and students’ preference on gender of the welding instructor </w:t>
      </w:r>
    </w:p>
    <w:p w14:paraId="3DDF2330" w14:textId="6BCC7ADF" w:rsidR="2D46C364" w:rsidRDefault="5EE3EFD7" w:rsidP="5EE3EFD7">
      <w:pPr>
        <w:spacing w:line="257" w:lineRule="auto"/>
        <w:jc w:val="center"/>
        <w:rPr>
          <w:rFonts w:ascii="Times" w:eastAsia="Times" w:hAnsi="Times" w:cs="Times"/>
          <w:b/>
          <w:bCs/>
          <w:sz w:val="24"/>
          <w:szCs w:val="24"/>
        </w:rPr>
      </w:pPr>
      <w:r w:rsidRPr="5EE3EFD7">
        <w:rPr>
          <w:rFonts w:ascii="Times" w:eastAsia="Times" w:hAnsi="Times" w:cs="Times"/>
          <w:b/>
          <w:bCs/>
          <w:sz w:val="24"/>
          <w:szCs w:val="24"/>
        </w:rPr>
        <w:t xml:space="preserve">Methodology </w:t>
      </w:r>
    </w:p>
    <w:p w14:paraId="5C94AC78" w14:textId="0AB90F0D" w:rsidR="2D46C364" w:rsidRDefault="1667DCA6" w:rsidP="3C192CC1">
      <w:pPr>
        <w:spacing w:line="257" w:lineRule="auto"/>
        <w:rPr>
          <w:rFonts w:ascii="Times New Roman" w:eastAsia="Times New Roman" w:hAnsi="Times New Roman" w:cs="Times New Roman"/>
          <w:color w:val="000000" w:themeColor="text1"/>
          <w:sz w:val="24"/>
          <w:szCs w:val="24"/>
        </w:rPr>
      </w:pPr>
      <w:r w:rsidRPr="1667DCA6">
        <w:rPr>
          <w:rFonts w:ascii="Times" w:eastAsia="Times" w:hAnsi="Times" w:cs="Times"/>
          <w:sz w:val="24"/>
          <w:szCs w:val="24"/>
        </w:rPr>
        <w:t xml:space="preserve">The study design was a </w:t>
      </w:r>
      <w:r w:rsidRPr="1667DCA6">
        <w:rPr>
          <w:rFonts w:ascii="Times New Roman" w:eastAsia="Times New Roman" w:hAnsi="Times New Roman" w:cs="Times New Roman"/>
          <w:color w:val="000000" w:themeColor="text1"/>
          <w:sz w:val="24"/>
          <w:szCs w:val="24"/>
        </w:rPr>
        <w:t>two group repeated measures counterbalance quasi-experimental design. The population consisted of undergraduate students enrolled in the beginning welding course in Fall of 2021 (</w:t>
      </w:r>
      <w:r w:rsidRPr="1667DCA6">
        <w:rPr>
          <w:rFonts w:ascii="Times New Roman" w:eastAsia="Times New Roman" w:hAnsi="Times New Roman" w:cs="Times New Roman"/>
          <w:i/>
          <w:iCs/>
          <w:color w:val="000000" w:themeColor="text1"/>
          <w:sz w:val="24"/>
          <w:szCs w:val="24"/>
        </w:rPr>
        <w:t>n</w:t>
      </w:r>
      <w:r w:rsidRPr="1667DCA6">
        <w:rPr>
          <w:rFonts w:ascii="Times New Roman" w:eastAsia="Times New Roman" w:hAnsi="Times New Roman" w:cs="Times New Roman"/>
          <w:color w:val="000000" w:themeColor="text1"/>
          <w:sz w:val="24"/>
          <w:szCs w:val="24"/>
        </w:rPr>
        <w:t xml:space="preserve"> = 28) at Utah State University. Of the 28 students enrolled, 25 students agreed to participate. Students enrolled in either a Tuesday or Thursday laboratory section which was randomly assigned with a male or female instructor. All students had the same lecture instructor. Both the male and female lab instructors were deemed similarly proficient to teach the welding lab by a senior instructor. The Tuesday laboratory section was assigned the male instructor and the Thursday section was assigned the female instructor for weeks one through eight. During week four of the semester, students completed a pre-survey administered by an independent observer to collect data on student’s gender preferences of instructors and tinkering self-efficacy. The lab instructors were reassigned laboratory sections at week eight. The identical post-survey </w:t>
      </w:r>
      <w:r w:rsidRPr="1667DCA6">
        <w:rPr>
          <w:rFonts w:ascii="Times New Roman" w:eastAsia="Times New Roman" w:hAnsi="Times New Roman" w:cs="Times New Roman"/>
          <w:color w:val="000000" w:themeColor="text1"/>
          <w:sz w:val="24"/>
          <w:szCs w:val="24"/>
        </w:rPr>
        <w:lastRenderedPageBreak/>
        <w:t>was administered at week 12. Deception was used to limit the experiment effect (Fox et al., 2008). Students were informed the surveys were for a midterm evaluation to evaluate the course content. At the reassignment of instructors, students were informed that scheduling conflicts had caused the need to switch instructors. Students were not informed of the experiment until week 14 and then provided consent. Researchers did not analyze data until the semester was complete.</w:t>
      </w:r>
    </w:p>
    <w:p w14:paraId="51037D6C" w14:textId="4C19760E" w:rsidR="2D46C364" w:rsidRPr="00042F90" w:rsidRDefault="1667DCA6" w:rsidP="5EE3EFD7">
      <w:pPr>
        <w:spacing w:line="257" w:lineRule="auto"/>
        <w:rPr>
          <w:rFonts w:ascii="Times New Roman" w:eastAsia="Times New Roman" w:hAnsi="Times New Roman" w:cs="Times New Roman"/>
          <w:color w:val="000000" w:themeColor="text1"/>
          <w:sz w:val="24"/>
          <w:szCs w:val="24"/>
        </w:rPr>
      </w:pPr>
      <w:r w:rsidRPr="1667DCA6">
        <w:rPr>
          <w:rFonts w:ascii="Times New Roman" w:eastAsia="Times New Roman" w:hAnsi="Times New Roman" w:cs="Times New Roman"/>
          <w:color w:val="000000" w:themeColor="text1"/>
          <w:sz w:val="24"/>
          <w:szCs w:val="24"/>
        </w:rPr>
        <w:t xml:space="preserve">Demographic information was collected including gender, age and major of study. Students were asked to respond to several questions regarding gender preference of their welding instructor. The tinkering self-efficacy construct consisted of seven items with a Cronbach’s alpha reliability coefficient of .89 (Sallee et al., 2013). Items were on a seven-point Likert-scale (1 = </w:t>
      </w:r>
      <w:r w:rsidRPr="1667DCA6">
        <w:rPr>
          <w:rFonts w:ascii="Times New Roman" w:eastAsia="Times New Roman" w:hAnsi="Times New Roman" w:cs="Times New Roman"/>
          <w:i/>
          <w:iCs/>
          <w:color w:val="000000" w:themeColor="text1"/>
          <w:sz w:val="24"/>
          <w:szCs w:val="24"/>
        </w:rPr>
        <w:t xml:space="preserve">strongly disagree, </w:t>
      </w:r>
      <w:r w:rsidRPr="1667DCA6">
        <w:rPr>
          <w:rFonts w:ascii="Times New Roman" w:eastAsia="Times New Roman" w:hAnsi="Times New Roman" w:cs="Times New Roman"/>
          <w:color w:val="000000" w:themeColor="text1"/>
          <w:sz w:val="24"/>
          <w:szCs w:val="24"/>
        </w:rPr>
        <w:t xml:space="preserve">4 = </w:t>
      </w:r>
      <w:r w:rsidRPr="1667DCA6">
        <w:rPr>
          <w:rFonts w:ascii="Times New Roman" w:eastAsia="Times New Roman" w:hAnsi="Times New Roman" w:cs="Times New Roman"/>
          <w:i/>
          <w:iCs/>
          <w:color w:val="000000" w:themeColor="text1"/>
          <w:sz w:val="24"/>
          <w:szCs w:val="24"/>
        </w:rPr>
        <w:t xml:space="preserve">neutral, </w:t>
      </w:r>
      <w:r w:rsidRPr="1667DCA6">
        <w:rPr>
          <w:rFonts w:ascii="Times New Roman" w:eastAsia="Times New Roman" w:hAnsi="Times New Roman" w:cs="Times New Roman"/>
          <w:color w:val="000000" w:themeColor="text1"/>
          <w:sz w:val="24"/>
          <w:szCs w:val="24"/>
        </w:rPr>
        <w:t>7 = strongly</w:t>
      </w:r>
      <w:r w:rsidRPr="1667DCA6">
        <w:rPr>
          <w:rFonts w:ascii="Times New Roman" w:eastAsia="Times New Roman" w:hAnsi="Times New Roman" w:cs="Times New Roman"/>
          <w:i/>
          <w:iCs/>
          <w:color w:val="000000" w:themeColor="text1"/>
          <w:sz w:val="24"/>
          <w:szCs w:val="24"/>
        </w:rPr>
        <w:t xml:space="preserve"> agree). </w:t>
      </w:r>
      <w:r w:rsidRPr="1667DCA6">
        <w:rPr>
          <w:rFonts w:ascii="Times New Roman" w:eastAsia="Times New Roman" w:hAnsi="Times New Roman" w:cs="Times New Roman"/>
          <w:color w:val="000000" w:themeColor="text1"/>
          <w:sz w:val="24"/>
          <w:szCs w:val="24"/>
        </w:rPr>
        <w:t xml:space="preserve">“I enjoy taking this apart” and “I enjoy working in the lab” are examples of construct items. Content validity for the instrument was deemed appropriate by a panel of faculty knowledgeable in agricultural education survey research methods and design. Student responses were analyzed using descriptive statistics. </w:t>
      </w:r>
    </w:p>
    <w:p w14:paraId="3F9D4998" w14:textId="3E165678" w:rsidR="2D46C364" w:rsidRDefault="3C192CC1" w:rsidP="3C192CC1">
      <w:pPr>
        <w:spacing w:line="257" w:lineRule="auto"/>
        <w:jc w:val="center"/>
        <w:rPr>
          <w:rFonts w:ascii="Times" w:eastAsia="Times" w:hAnsi="Times" w:cs="Times"/>
          <w:b/>
          <w:bCs/>
          <w:sz w:val="24"/>
          <w:szCs w:val="24"/>
        </w:rPr>
      </w:pPr>
      <w:r w:rsidRPr="3C192CC1">
        <w:rPr>
          <w:rFonts w:ascii="Times" w:eastAsia="Times" w:hAnsi="Times" w:cs="Times"/>
          <w:b/>
          <w:bCs/>
          <w:sz w:val="24"/>
          <w:szCs w:val="24"/>
        </w:rPr>
        <w:t xml:space="preserve">Results/Findings </w:t>
      </w:r>
    </w:p>
    <w:p w14:paraId="7D46BD63" w14:textId="21638F9E" w:rsidR="3C192CC1" w:rsidRDefault="3C192CC1" w:rsidP="3C192CC1">
      <w:pPr>
        <w:spacing w:line="257" w:lineRule="auto"/>
        <w:rPr>
          <w:rFonts w:ascii="Times New Roman" w:eastAsia="Times New Roman" w:hAnsi="Times New Roman" w:cs="Times New Roman"/>
          <w:b/>
          <w:bCs/>
          <w:color w:val="000000" w:themeColor="text1"/>
          <w:sz w:val="24"/>
          <w:szCs w:val="24"/>
        </w:rPr>
      </w:pPr>
      <w:r w:rsidRPr="3C192CC1">
        <w:rPr>
          <w:rFonts w:ascii="Times New Roman" w:eastAsia="Times New Roman" w:hAnsi="Times New Roman" w:cs="Times New Roman"/>
          <w:b/>
          <w:bCs/>
          <w:color w:val="000000" w:themeColor="text1"/>
          <w:sz w:val="24"/>
          <w:szCs w:val="24"/>
        </w:rPr>
        <w:t xml:space="preserve">Objective </w:t>
      </w:r>
      <w:r w:rsidR="00B63929">
        <w:rPr>
          <w:rFonts w:ascii="Times New Roman" w:eastAsia="Times New Roman" w:hAnsi="Times New Roman" w:cs="Times New Roman"/>
          <w:b/>
          <w:bCs/>
          <w:color w:val="000000" w:themeColor="text1"/>
          <w:sz w:val="24"/>
          <w:szCs w:val="24"/>
        </w:rPr>
        <w:t>One:</w:t>
      </w:r>
      <w:r w:rsidR="00B63929" w:rsidRPr="00B63929">
        <w:rPr>
          <w:rFonts w:ascii="Times New Roman" w:eastAsia="Times New Roman" w:hAnsi="Times New Roman" w:cs="Times New Roman"/>
          <w:color w:val="000000" w:themeColor="text1"/>
          <w:sz w:val="24"/>
          <w:szCs w:val="24"/>
        </w:rPr>
        <w:t xml:space="preserve"> </w:t>
      </w:r>
      <w:r w:rsidR="00B63929" w:rsidRPr="00B63929">
        <w:rPr>
          <w:rFonts w:ascii="Times New Roman" w:eastAsia="Times New Roman" w:hAnsi="Times New Roman" w:cs="Times New Roman"/>
          <w:b/>
          <w:bCs/>
          <w:color w:val="000000" w:themeColor="text1"/>
          <w:sz w:val="24"/>
          <w:szCs w:val="24"/>
        </w:rPr>
        <w:t xml:space="preserve">Describe the </w:t>
      </w:r>
      <w:r w:rsidR="00AA0F77">
        <w:rPr>
          <w:rFonts w:ascii="Times New Roman" w:eastAsia="Times New Roman" w:hAnsi="Times New Roman" w:cs="Times New Roman"/>
          <w:b/>
          <w:bCs/>
          <w:color w:val="000000" w:themeColor="text1"/>
          <w:sz w:val="24"/>
          <w:szCs w:val="24"/>
        </w:rPr>
        <w:t>D</w:t>
      </w:r>
      <w:r w:rsidR="00B63929" w:rsidRPr="00B63929">
        <w:rPr>
          <w:rFonts w:ascii="Times New Roman" w:eastAsia="Times New Roman" w:hAnsi="Times New Roman" w:cs="Times New Roman"/>
          <w:b/>
          <w:bCs/>
          <w:color w:val="000000" w:themeColor="text1"/>
          <w:sz w:val="24"/>
          <w:szCs w:val="24"/>
        </w:rPr>
        <w:t xml:space="preserve">emographic </w:t>
      </w:r>
      <w:r w:rsidR="00AA0F77">
        <w:rPr>
          <w:rFonts w:ascii="Times New Roman" w:eastAsia="Times New Roman" w:hAnsi="Times New Roman" w:cs="Times New Roman"/>
          <w:b/>
          <w:bCs/>
          <w:color w:val="000000" w:themeColor="text1"/>
          <w:sz w:val="24"/>
          <w:szCs w:val="24"/>
        </w:rPr>
        <w:t>P</w:t>
      </w:r>
      <w:r w:rsidR="00B63929" w:rsidRPr="00B63929">
        <w:rPr>
          <w:rFonts w:ascii="Times New Roman" w:eastAsia="Times New Roman" w:hAnsi="Times New Roman" w:cs="Times New Roman"/>
          <w:b/>
          <w:bCs/>
          <w:color w:val="000000" w:themeColor="text1"/>
          <w:sz w:val="24"/>
          <w:szCs w:val="24"/>
        </w:rPr>
        <w:t xml:space="preserve">rofile of </w:t>
      </w:r>
      <w:r w:rsidR="00AA0F77">
        <w:rPr>
          <w:rFonts w:ascii="Times New Roman" w:eastAsia="Times New Roman" w:hAnsi="Times New Roman" w:cs="Times New Roman"/>
          <w:b/>
          <w:bCs/>
          <w:color w:val="000000" w:themeColor="text1"/>
          <w:sz w:val="24"/>
          <w:szCs w:val="24"/>
        </w:rPr>
        <w:t>S</w:t>
      </w:r>
      <w:r w:rsidR="00B63929" w:rsidRPr="00B63929">
        <w:rPr>
          <w:rFonts w:ascii="Times New Roman" w:eastAsia="Times New Roman" w:hAnsi="Times New Roman" w:cs="Times New Roman"/>
          <w:b/>
          <w:bCs/>
          <w:color w:val="000000" w:themeColor="text1"/>
          <w:sz w:val="24"/>
          <w:szCs w:val="24"/>
        </w:rPr>
        <w:t xml:space="preserve">tudents in a </w:t>
      </w:r>
      <w:r w:rsidR="00AA0F77">
        <w:rPr>
          <w:rFonts w:ascii="Times New Roman" w:eastAsia="Times New Roman" w:hAnsi="Times New Roman" w:cs="Times New Roman"/>
          <w:b/>
          <w:bCs/>
          <w:color w:val="000000" w:themeColor="text1"/>
          <w:sz w:val="24"/>
          <w:szCs w:val="24"/>
        </w:rPr>
        <w:t>P</w:t>
      </w:r>
      <w:r w:rsidR="00B63929" w:rsidRPr="00B63929">
        <w:rPr>
          <w:rFonts w:ascii="Times New Roman" w:eastAsia="Times New Roman" w:hAnsi="Times New Roman" w:cs="Times New Roman"/>
          <w:b/>
          <w:bCs/>
          <w:color w:val="000000" w:themeColor="text1"/>
          <w:sz w:val="24"/>
          <w:szCs w:val="24"/>
        </w:rPr>
        <w:t xml:space="preserve">ost-secondary </w:t>
      </w:r>
      <w:r w:rsidR="00AA0F77">
        <w:rPr>
          <w:rFonts w:ascii="Times New Roman" w:eastAsia="Times New Roman" w:hAnsi="Times New Roman" w:cs="Times New Roman"/>
          <w:b/>
          <w:bCs/>
          <w:color w:val="000000" w:themeColor="text1"/>
          <w:sz w:val="24"/>
          <w:szCs w:val="24"/>
        </w:rPr>
        <w:t>W</w:t>
      </w:r>
      <w:r w:rsidR="00B63929" w:rsidRPr="00B63929">
        <w:rPr>
          <w:rFonts w:ascii="Times New Roman" w:eastAsia="Times New Roman" w:hAnsi="Times New Roman" w:cs="Times New Roman"/>
          <w:b/>
          <w:bCs/>
          <w:color w:val="000000" w:themeColor="text1"/>
          <w:sz w:val="24"/>
          <w:szCs w:val="24"/>
        </w:rPr>
        <w:t xml:space="preserve">elding </w:t>
      </w:r>
      <w:r w:rsidR="00AA0F77">
        <w:rPr>
          <w:rFonts w:ascii="Times New Roman" w:eastAsia="Times New Roman" w:hAnsi="Times New Roman" w:cs="Times New Roman"/>
          <w:b/>
          <w:bCs/>
          <w:color w:val="000000" w:themeColor="text1"/>
          <w:sz w:val="24"/>
          <w:szCs w:val="24"/>
        </w:rPr>
        <w:t>C</w:t>
      </w:r>
      <w:r w:rsidR="00B63929" w:rsidRPr="00B63929">
        <w:rPr>
          <w:rFonts w:ascii="Times New Roman" w:eastAsia="Times New Roman" w:hAnsi="Times New Roman" w:cs="Times New Roman"/>
          <w:b/>
          <w:bCs/>
          <w:color w:val="000000" w:themeColor="text1"/>
          <w:sz w:val="24"/>
          <w:szCs w:val="24"/>
        </w:rPr>
        <w:t>ourse</w:t>
      </w:r>
    </w:p>
    <w:p w14:paraId="2733FC9A" w14:textId="7519C0FA" w:rsidR="3C192CC1" w:rsidRDefault="6AB1C44B" w:rsidP="3C192CC1">
      <w:pPr>
        <w:spacing w:line="240" w:lineRule="auto"/>
        <w:rPr>
          <w:rFonts w:ascii="Times New Roman" w:eastAsia="Times New Roman" w:hAnsi="Times New Roman" w:cs="Times New Roman"/>
          <w:color w:val="000000" w:themeColor="text1"/>
          <w:sz w:val="24"/>
          <w:szCs w:val="24"/>
        </w:rPr>
      </w:pPr>
      <w:r w:rsidRPr="6AB1C44B">
        <w:rPr>
          <w:rFonts w:ascii="Times New Roman" w:eastAsia="Times New Roman" w:hAnsi="Times New Roman" w:cs="Times New Roman"/>
          <w:color w:val="000000" w:themeColor="text1"/>
          <w:sz w:val="24"/>
          <w:szCs w:val="24"/>
        </w:rPr>
        <w:t>The Tuesday lab consisted of nine students identifying as male and one student who identified as assigned female at birth (</w:t>
      </w:r>
      <w:proofErr w:type="gramStart"/>
      <w:r w:rsidRPr="6AB1C44B">
        <w:rPr>
          <w:rFonts w:ascii="Times New Roman" w:eastAsia="Times New Roman" w:hAnsi="Times New Roman" w:cs="Times New Roman"/>
          <w:color w:val="000000" w:themeColor="text1"/>
          <w:sz w:val="24"/>
          <w:szCs w:val="24"/>
        </w:rPr>
        <w:t>e.g.</w:t>
      </w:r>
      <w:proofErr w:type="gramEnd"/>
      <w:r w:rsidRPr="6AB1C44B">
        <w:rPr>
          <w:rFonts w:ascii="Times New Roman" w:eastAsia="Times New Roman" w:hAnsi="Times New Roman" w:cs="Times New Roman"/>
          <w:color w:val="000000" w:themeColor="text1"/>
          <w:sz w:val="24"/>
          <w:szCs w:val="24"/>
        </w:rPr>
        <w:t xml:space="preserve"> AFAB) student. The degree programs represented with the highest number of students were Agricultural Systems Technology (</w:t>
      </w:r>
      <w:r w:rsidRPr="6AB1C44B">
        <w:rPr>
          <w:rFonts w:ascii="Times New Roman" w:eastAsia="Times New Roman" w:hAnsi="Times New Roman" w:cs="Times New Roman"/>
          <w:i/>
          <w:iCs/>
          <w:color w:val="000000" w:themeColor="text1"/>
          <w:sz w:val="24"/>
          <w:szCs w:val="24"/>
        </w:rPr>
        <w:t xml:space="preserve">f </w:t>
      </w:r>
      <w:r w:rsidRPr="6AB1C44B">
        <w:rPr>
          <w:rFonts w:ascii="Times New Roman" w:eastAsia="Times New Roman" w:hAnsi="Times New Roman" w:cs="Times New Roman"/>
          <w:color w:val="000000" w:themeColor="text1"/>
          <w:sz w:val="24"/>
          <w:szCs w:val="24"/>
        </w:rPr>
        <w:t>= 3, 30%) and Technology Systems (</w:t>
      </w:r>
      <w:r w:rsidRPr="6AB1C44B">
        <w:rPr>
          <w:rFonts w:ascii="Times New Roman" w:eastAsia="Times New Roman" w:hAnsi="Times New Roman" w:cs="Times New Roman"/>
          <w:i/>
          <w:iCs/>
          <w:color w:val="000000" w:themeColor="text1"/>
          <w:sz w:val="24"/>
          <w:szCs w:val="24"/>
        </w:rPr>
        <w:t xml:space="preserve">f </w:t>
      </w:r>
      <w:r w:rsidRPr="6AB1C44B">
        <w:rPr>
          <w:rFonts w:ascii="Times New Roman" w:eastAsia="Times New Roman" w:hAnsi="Times New Roman" w:cs="Times New Roman"/>
          <w:color w:val="000000" w:themeColor="text1"/>
          <w:sz w:val="24"/>
          <w:szCs w:val="24"/>
        </w:rPr>
        <w:t>= 3, 30%). The average age of students participating in the Tuesday lab section was 24.6 (</w:t>
      </w:r>
      <w:r w:rsidRPr="6AB1C44B">
        <w:rPr>
          <w:rFonts w:ascii="Times New Roman" w:eastAsia="Times New Roman" w:hAnsi="Times New Roman" w:cs="Times New Roman"/>
          <w:i/>
          <w:iCs/>
          <w:color w:val="000000" w:themeColor="text1"/>
          <w:sz w:val="24"/>
          <w:szCs w:val="24"/>
        </w:rPr>
        <w:t>SD</w:t>
      </w:r>
      <w:r w:rsidRPr="6AB1C44B">
        <w:rPr>
          <w:rFonts w:ascii="Times New Roman" w:eastAsia="Times New Roman" w:hAnsi="Times New Roman" w:cs="Times New Roman"/>
          <w:color w:val="000000" w:themeColor="text1"/>
          <w:sz w:val="24"/>
          <w:szCs w:val="24"/>
        </w:rPr>
        <w:t xml:space="preserve"> = 5.85). The Thursday lab section consisted of nine students identifying as male and four students identifying as female. The degree programs represented with the highest number of students were Agricultural Education (</w:t>
      </w:r>
      <w:r w:rsidRPr="6AB1C44B">
        <w:rPr>
          <w:rFonts w:ascii="Times New Roman" w:eastAsia="Times New Roman" w:hAnsi="Times New Roman" w:cs="Times New Roman"/>
          <w:i/>
          <w:iCs/>
          <w:color w:val="000000" w:themeColor="text1"/>
          <w:sz w:val="24"/>
          <w:szCs w:val="24"/>
        </w:rPr>
        <w:t xml:space="preserve">f </w:t>
      </w:r>
      <w:r w:rsidRPr="6AB1C44B">
        <w:rPr>
          <w:rFonts w:ascii="Times New Roman" w:eastAsia="Times New Roman" w:hAnsi="Times New Roman" w:cs="Times New Roman"/>
          <w:color w:val="000000" w:themeColor="text1"/>
          <w:sz w:val="24"/>
          <w:szCs w:val="24"/>
        </w:rPr>
        <w:t>= 5, 33.3%) and Outdoor Product Design &amp; Development (</w:t>
      </w:r>
      <w:r w:rsidRPr="6AB1C44B">
        <w:rPr>
          <w:rFonts w:ascii="Times New Roman" w:eastAsia="Times New Roman" w:hAnsi="Times New Roman" w:cs="Times New Roman"/>
          <w:i/>
          <w:iCs/>
          <w:color w:val="000000" w:themeColor="text1"/>
          <w:sz w:val="24"/>
          <w:szCs w:val="24"/>
        </w:rPr>
        <w:t xml:space="preserve">f </w:t>
      </w:r>
      <w:r w:rsidRPr="6AB1C44B">
        <w:rPr>
          <w:rFonts w:ascii="Times New Roman" w:eastAsia="Times New Roman" w:hAnsi="Times New Roman" w:cs="Times New Roman"/>
          <w:color w:val="000000" w:themeColor="text1"/>
          <w:sz w:val="24"/>
          <w:szCs w:val="24"/>
        </w:rPr>
        <w:t>= 2, 13.3%). Two students in the Thursday lab did not provide their major. The average age of the Thursday lab section was 21.1 (</w:t>
      </w:r>
      <w:r w:rsidRPr="6AB1C44B">
        <w:rPr>
          <w:rFonts w:ascii="Times New Roman" w:eastAsia="Times New Roman" w:hAnsi="Times New Roman" w:cs="Times New Roman"/>
          <w:i/>
          <w:iCs/>
          <w:color w:val="000000" w:themeColor="text1"/>
          <w:sz w:val="24"/>
          <w:szCs w:val="24"/>
        </w:rPr>
        <w:t>SD</w:t>
      </w:r>
      <w:r w:rsidRPr="6AB1C44B">
        <w:rPr>
          <w:rFonts w:ascii="Times New Roman" w:eastAsia="Times New Roman" w:hAnsi="Times New Roman" w:cs="Times New Roman"/>
          <w:color w:val="000000" w:themeColor="text1"/>
          <w:sz w:val="24"/>
          <w:szCs w:val="24"/>
        </w:rPr>
        <w:t xml:space="preserve"> = 2.02). Each section contained students in various other majors. </w:t>
      </w:r>
    </w:p>
    <w:p w14:paraId="196A03EE" w14:textId="13279C71" w:rsidR="2D46C364" w:rsidRPr="00042F90" w:rsidRDefault="6AB1C44B" w:rsidP="3C192CC1">
      <w:pPr>
        <w:spacing w:line="257" w:lineRule="auto"/>
        <w:rPr>
          <w:rFonts w:ascii="Times New Roman" w:eastAsia="Times New Roman" w:hAnsi="Times New Roman" w:cs="Times New Roman"/>
          <w:b/>
          <w:bCs/>
          <w:color w:val="000000" w:themeColor="text1"/>
          <w:sz w:val="24"/>
          <w:szCs w:val="24"/>
        </w:rPr>
      </w:pPr>
      <w:r w:rsidRPr="6AB1C44B">
        <w:rPr>
          <w:rFonts w:ascii="Times New Roman" w:eastAsia="Times New Roman" w:hAnsi="Times New Roman" w:cs="Times New Roman"/>
          <w:b/>
          <w:bCs/>
          <w:color w:val="000000" w:themeColor="text1"/>
          <w:sz w:val="24"/>
          <w:szCs w:val="24"/>
        </w:rPr>
        <w:t>Objective Two.</w:t>
      </w:r>
      <w:r w:rsidRPr="6AB1C44B">
        <w:rPr>
          <w:rFonts w:ascii="Times New Roman" w:eastAsia="Times New Roman" w:hAnsi="Times New Roman" w:cs="Times New Roman"/>
          <w:color w:val="000000" w:themeColor="text1"/>
          <w:sz w:val="24"/>
          <w:szCs w:val="24"/>
        </w:rPr>
        <w:t xml:space="preserve"> </w:t>
      </w:r>
      <w:r w:rsidRPr="6AB1C44B">
        <w:rPr>
          <w:rFonts w:ascii="Times New Roman" w:eastAsia="Times New Roman" w:hAnsi="Times New Roman" w:cs="Times New Roman"/>
          <w:b/>
          <w:bCs/>
          <w:color w:val="000000" w:themeColor="text1"/>
          <w:sz w:val="24"/>
          <w:szCs w:val="24"/>
        </w:rPr>
        <w:t xml:space="preserve">Describe students’ preference on gender of the welding instructor </w:t>
      </w:r>
    </w:p>
    <w:p w14:paraId="4F503C4F" w14:textId="1AD8EA49" w:rsidR="2D46C364" w:rsidRDefault="3C192CC1" w:rsidP="3C192CC1">
      <w:pPr>
        <w:spacing w:line="257" w:lineRule="auto"/>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 xml:space="preserve">Students were asked to respond to the true or false statement, “I have no preference towards gender of the instructor if they can teach welding well.” All students in the Tuesday lab section selected true indicating they have no preference in both the pre- and post-surveys. All students in the Thursday lab section </w:t>
      </w:r>
      <w:proofErr w:type="gramStart"/>
      <w:r w:rsidRPr="3C192CC1">
        <w:rPr>
          <w:rFonts w:ascii="Times New Roman" w:eastAsia="Times New Roman" w:hAnsi="Times New Roman" w:cs="Times New Roman"/>
          <w:color w:val="000000" w:themeColor="text1"/>
          <w:sz w:val="24"/>
          <w:szCs w:val="24"/>
        </w:rPr>
        <w:t>with the exception of</w:t>
      </w:r>
      <w:proofErr w:type="gramEnd"/>
      <w:r w:rsidRPr="3C192CC1">
        <w:rPr>
          <w:rFonts w:ascii="Times New Roman" w:eastAsia="Times New Roman" w:hAnsi="Times New Roman" w:cs="Times New Roman"/>
          <w:color w:val="000000" w:themeColor="text1"/>
          <w:sz w:val="24"/>
          <w:szCs w:val="24"/>
        </w:rPr>
        <w:t xml:space="preserve"> one female student selected true indicating no preference in the pre- and post-surveys. </w:t>
      </w:r>
      <w:r w:rsidR="00404216">
        <w:rPr>
          <w:rFonts w:ascii="Times New Roman" w:eastAsia="Times New Roman" w:hAnsi="Times New Roman" w:cs="Times New Roman"/>
          <w:color w:val="000000" w:themeColor="text1"/>
          <w:sz w:val="24"/>
          <w:szCs w:val="24"/>
        </w:rPr>
        <w:t>The o</w:t>
      </w:r>
      <w:r w:rsidRPr="3C192CC1">
        <w:rPr>
          <w:rFonts w:ascii="Times New Roman" w:eastAsia="Times New Roman" w:hAnsi="Times New Roman" w:cs="Times New Roman"/>
          <w:color w:val="000000" w:themeColor="text1"/>
          <w:sz w:val="24"/>
          <w:szCs w:val="24"/>
        </w:rPr>
        <w:t xml:space="preserve">ne female student </w:t>
      </w:r>
      <w:r w:rsidR="00404216">
        <w:rPr>
          <w:rFonts w:ascii="Times New Roman" w:eastAsia="Times New Roman" w:hAnsi="Times New Roman" w:cs="Times New Roman"/>
          <w:color w:val="000000" w:themeColor="text1"/>
          <w:sz w:val="24"/>
          <w:szCs w:val="24"/>
        </w:rPr>
        <w:t xml:space="preserve">who </w:t>
      </w:r>
      <w:r w:rsidRPr="3C192CC1">
        <w:rPr>
          <w:rFonts w:ascii="Times New Roman" w:eastAsia="Times New Roman" w:hAnsi="Times New Roman" w:cs="Times New Roman"/>
          <w:color w:val="000000" w:themeColor="text1"/>
          <w:sz w:val="24"/>
          <w:szCs w:val="24"/>
        </w:rPr>
        <w:t>selected false indicat</w:t>
      </w:r>
      <w:r w:rsidR="00404216">
        <w:rPr>
          <w:rFonts w:ascii="Times New Roman" w:eastAsia="Times New Roman" w:hAnsi="Times New Roman" w:cs="Times New Roman"/>
          <w:color w:val="000000" w:themeColor="text1"/>
          <w:sz w:val="24"/>
          <w:szCs w:val="24"/>
        </w:rPr>
        <w:t>ed</w:t>
      </w:r>
      <w:r w:rsidRPr="3C192CC1">
        <w:rPr>
          <w:rFonts w:ascii="Times New Roman" w:eastAsia="Times New Roman" w:hAnsi="Times New Roman" w:cs="Times New Roman"/>
          <w:color w:val="000000" w:themeColor="text1"/>
          <w:sz w:val="24"/>
          <w:szCs w:val="24"/>
        </w:rPr>
        <w:t xml:space="preserve"> she did have a preference toward the gender of the instructor in both the pre- and post-survey. </w:t>
      </w:r>
    </w:p>
    <w:p w14:paraId="0DCD6C1B" w14:textId="15181F3D" w:rsidR="2D46C364" w:rsidRDefault="1667DCA6" w:rsidP="3C192CC1">
      <w:pPr>
        <w:tabs>
          <w:tab w:val="center" w:pos="2400"/>
          <w:tab w:val="right" w:pos="4800"/>
          <w:tab w:val="center" w:pos="4920"/>
          <w:tab w:val="right" w:pos="9840"/>
        </w:tabs>
        <w:spacing w:line="240" w:lineRule="atLeast"/>
        <w:rPr>
          <w:rFonts w:ascii="Times New Roman" w:eastAsia="Times New Roman" w:hAnsi="Times New Roman" w:cs="Times New Roman"/>
          <w:color w:val="000000" w:themeColor="text1"/>
          <w:sz w:val="20"/>
          <w:szCs w:val="20"/>
        </w:rPr>
      </w:pPr>
      <w:r w:rsidRPr="1667DCA6">
        <w:rPr>
          <w:rFonts w:ascii="Times" w:eastAsia="Times" w:hAnsi="Times" w:cs="Times"/>
          <w:sz w:val="24"/>
          <w:szCs w:val="24"/>
        </w:rPr>
        <w:t xml:space="preserve">For the next survey item, </w:t>
      </w:r>
      <w:r w:rsidRPr="1667DCA6">
        <w:rPr>
          <w:rFonts w:ascii="Times New Roman" w:eastAsia="Times New Roman" w:hAnsi="Times New Roman" w:cs="Times New Roman"/>
          <w:color w:val="000000" w:themeColor="text1"/>
          <w:sz w:val="24"/>
          <w:szCs w:val="24"/>
        </w:rPr>
        <w:t xml:space="preserve">“Given an option of instructors with similar background and knowledge of welding, which instructor would you choose”, the answer choices provided were male and female. However, several students in both lab sections wrote in various answers/comments which were analyzed as “neutral”. Descriptive statistics can be found in table 1. In the pre-test, 15 total students (combined Tuesday and Thursday sections) selected a male </w:t>
      </w:r>
      <w:proofErr w:type="gramStart"/>
      <w:r w:rsidRPr="1667DCA6">
        <w:rPr>
          <w:rFonts w:ascii="Times New Roman" w:eastAsia="Times New Roman" w:hAnsi="Times New Roman" w:cs="Times New Roman"/>
          <w:color w:val="000000" w:themeColor="text1"/>
          <w:sz w:val="24"/>
          <w:szCs w:val="24"/>
        </w:rPr>
        <w:t>instructor</w:t>
      </w:r>
      <w:proofErr w:type="gramEnd"/>
      <w:r w:rsidRPr="1667DCA6">
        <w:rPr>
          <w:rFonts w:ascii="Times New Roman" w:eastAsia="Times New Roman" w:hAnsi="Times New Roman" w:cs="Times New Roman"/>
          <w:color w:val="000000" w:themeColor="text1"/>
          <w:sz w:val="24"/>
          <w:szCs w:val="24"/>
        </w:rPr>
        <w:t xml:space="preserve"> and 3 total students selected a female instructor. Two male students in the Tuesday section which started with the male instructor changed their responses between the pre- and post-survey first selecting the male instructor then the female instructor. Between the pre- and post-</w:t>
      </w:r>
      <w:r w:rsidRPr="1667DCA6">
        <w:rPr>
          <w:rFonts w:ascii="Times New Roman" w:eastAsia="Times New Roman" w:hAnsi="Times New Roman" w:cs="Times New Roman"/>
          <w:color w:val="000000" w:themeColor="text1"/>
          <w:sz w:val="24"/>
          <w:szCs w:val="24"/>
        </w:rPr>
        <w:lastRenderedPageBreak/>
        <w:t xml:space="preserve">survey, the percentage of all students who chose “male instructor” dropped from 71.4% to 57.1%. On the post-survey, seven students (33.3%) selected neutral and wrote phrases such as “doesn’t matter”, “either”, “not important”, and “no preference”. </w:t>
      </w:r>
    </w:p>
    <w:p w14:paraId="21A146A1" w14:textId="500EDD51" w:rsidR="2D46C364" w:rsidRDefault="3C192CC1" w:rsidP="3C192CC1">
      <w:pPr>
        <w:tabs>
          <w:tab w:val="center" w:pos="2400"/>
          <w:tab w:val="right" w:pos="4800"/>
          <w:tab w:val="center" w:pos="4920"/>
          <w:tab w:val="right" w:pos="9840"/>
        </w:tabs>
        <w:spacing w:line="240" w:lineRule="auto"/>
        <w:rPr>
          <w:rFonts w:ascii="Times New Roman" w:eastAsia="Times New Roman" w:hAnsi="Times New Roman" w:cs="Times New Roman"/>
          <w:color w:val="000000" w:themeColor="text1"/>
          <w:sz w:val="20"/>
          <w:szCs w:val="20"/>
        </w:rPr>
      </w:pPr>
      <w:r w:rsidRPr="3C192CC1">
        <w:rPr>
          <w:rFonts w:ascii="Times New Roman" w:eastAsia="Times New Roman" w:hAnsi="Times New Roman" w:cs="Times New Roman"/>
          <w:color w:val="000000" w:themeColor="text1"/>
          <w:sz w:val="24"/>
          <w:szCs w:val="24"/>
        </w:rPr>
        <w:t>A chi-square test of association was conducted to examine if instructor gender differences were significant. The pre-survey showed significant difference between the female and male students regarding their preference of instructor gender (</w:t>
      </w:r>
      <w:r w:rsidRPr="3C192CC1">
        <w:rPr>
          <w:rFonts w:ascii="Times New Roman" w:eastAsia="Times New Roman" w:hAnsi="Times New Roman" w:cs="Times New Roman"/>
          <w:i/>
          <w:iCs/>
          <w:color w:val="000000" w:themeColor="text1"/>
          <w:sz w:val="24"/>
          <w:szCs w:val="24"/>
        </w:rPr>
        <w:t>x</w:t>
      </w:r>
      <w:r w:rsidRPr="3C192CC1">
        <w:rPr>
          <w:rFonts w:ascii="Times New Roman" w:eastAsia="Times New Roman" w:hAnsi="Times New Roman" w:cs="Times New Roman"/>
          <w:color w:val="000000" w:themeColor="text1"/>
          <w:sz w:val="24"/>
          <w:szCs w:val="24"/>
          <w:vertAlign w:val="superscript"/>
        </w:rPr>
        <w:t>2</w:t>
      </w:r>
      <w:r w:rsidRPr="3C192CC1">
        <w:rPr>
          <w:rFonts w:ascii="Times New Roman" w:eastAsia="Times New Roman" w:hAnsi="Times New Roman" w:cs="Times New Roman"/>
          <w:color w:val="000000" w:themeColor="text1"/>
          <w:sz w:val="24"/>
          <w:szCs w:val="24"/>
        </w:rPr>
        <w:t xml:space="preserve">(4) = 13.12, </w:t>
      </w:r>
      <w:r w:rsidRPr="3C192CC1">
        <w:rPr>
          <w:rFonts w:ascii="Times New Roman" w:eastAsia="Times New Roman" w:hAnsi="Times New Roman" w:cs="Times New Roman"/>
          <w:i/>
          <w:iCs/>
          <w:color w:val="000000" w:themeColor="text1"/>
          <w:sz w:val="24"/>
          <w:szCs w:val="24"/>
        </w:rPr>
        <w:t>p</w:t>
      </w:r>
      <w:r w:rsidRPr="3C192CC1">
        <w:rPr>
          <w:rFonts w:ascii="Times New Roman" w:eastAsia="Times New Roman" w:hAnsi="Times New Roman" w:cs="Times New Roman"/>
          <w:color w:val="000000" w:themeColor="text1"/>
          <w:sz w:val="24"/>
          <w:szCs w:val="24"/>
        </w:rPr>
        <w:t xml:space="preserve"> = .011). The post-survey showed no significant difference between the male and female students regarding preference of instructor gender (</w:t>
      </w:r>
      <w:r w:rsidRPr="3C192CC1">
        <w:rPr>
          <w:rFonts w:ascii="Times New Roman" w:eastAsia="Times New Roman" w:hAnsi="Times New Roman" w:cs="Times New Roman"/>
          <w:i/>
          <w:iCs/>
          <w:color w:val="000000" w:themeColor="text1"/>
          <w:sz w:val="24"/>
          <w:szCs w:val="24"/>
        </w:rPr>
        <w:t>x</w:t>
      </w:r>
      <w:r w:rsidRPr="3C192CC1">
        <w:rPr>
          <w:rFonts w:ascii="Times New Roman" w:eastAsia="Times New Roman" w:hAnsi="Times New Roman" w:cs="Times New Roman"/>
          <w:color w:val="000000" w:themeColor="text1"/>
          <w:sz w:val="24"/>
          <w:szCs w:val="24"/>
          <w:vertAlign w:val="superscript"/>
        </w:rPr>
        <w:t>2</w:t>
      </w:r>
      <w:r w:rsidRPr="3C192CC1">
        <w:rPr>
          <w:rFonts w:ascii="Times New Roman" w:eastAsia="Times New Roman" w:hAnsi="Times New Roman" w:cs="Times New Roman"/>
          <w:color w:val="000000" w:themeColor="text1"/>
          <w:sz w:val="24"/>
          <w:szCs w:val="24"/>
        </w:rPr>
        <w:t xml:space="preserve">(4) = 3.80, </w:t>
      </w:r>
      <w:r w:rsidRPr="3C192CC1">
        <w:rPr>
          <w:rFonts w:ascii="Times New Roman" w:eastAsia="Times New Roman" w:hAnsi="Times New Roman" w:cs="Times New Roman"/>
          <w:i/>
          <w:iCs/>
          <w:color w:val="000000" w:themeColor="text1"/>
          <w:sz w:val="24"/>
          <w:szCs w:val="24"/>
        </w:rPr>
        <w:t>p</w:t>
      </w:r>
      <w:r w:rsidRPr="3C192CC1">
        <w:rPr>
          <w:rFonts w:ascii="Times New Roman" w:eastAsia="Times New Roman" w:hAnsi="Times New Roman" w:cs="Times New Roman"/>
          <w:color w:val="000000" w:themeColor="text1"/>
          <w:sz w:val="24"/>
          <w:szCs w:val="24"/>
        </w:rPr>
        <w:t xml:space="preserve"> = .433).</w:t>
      </w:r>
    </w:p>
    <w:p w14:paraId="6CB801DB" w14:textId="14916194" w:rsidR="3C192CC1" w:rsidRDefault="3C192CC1" w:rsidP="3C192CC1">
      <w:pPr>
        <w:spacing w:line="257" w:lineRule="auto"/>
        <w:rPr>
          <w:rFonts w:ascii="Times" w:eastAsia="Times" w:hAnsi="Times" w:cs="Times"/>
          <w:b/>
          <w:bCs/>
          <w:sz w:val="24"/>
          <w:szCs w:val="24"/>
        </w:rPr>
      </w:pPr>
      <w:r w:rsidRPr="3C192CC1">
        <w:rPr>
          <w:rFonts w:ascii="Times" w:eastAsia="Times" w:hAnsi="Times" w:cs="Times"/>
          <w:b/>
          <w:bCs/>
          <w:sz w:val="24"/>
          <w:szCs w:val="24"/>
        </w:rPr>
        <w:t xml:space="preserve">Table 1 </w:t>
      </w:r>
    </w:p>
    <w:p w14:paraId="75CC7E97" w14:textId="7DC62766" w:rsidR="3C192CC1" w:rsidRDefault="3C192CC1" w:rsidP="3C192CC1">
      <w:pPr>
        <w:spacing w:line="240" w:lineRule="auto"/>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i/>
          <w:iCs/>
          <w:color w:val="000000" w:themeColor="text1"/>
          <w:sz w:val="24"/>
          <w:szCs w:val="24"/>
        </w:rPr>
        <w:t>Given an option of instructors with similar background and knowledge of welding, which instructor would you choose?</w:t>
      </w:r>
    </w:p>
    <w:tbl>
      <w:tblPr>
        <w:tblStyle w:val="TableGrid"/>
        <w:tblW w:w="0" w:type="auto"/>
        <w:tblLayout w:type="fixed"/>
        <w:tblLook w:val="04A0" w:firstRow="1" w:lastRow="0" w:firstColumn="1" w:lastColumn="0" w:noHBand="0" w:noVBand="1"/>
      </w:tblPr>
      <w:tblGrid>
        <w:gridCol w:w="1260"/>
        <w:gridCol w:w="1290"/>
        <w:gridCol w:w="1050"/>
        <w:gridCol w:w="1050"/>
        <w:gridCol w:w="1020"/>
        <w:gridCol w:w="1245"/>
        <w:gridCol w:w="1020"/>
        <w:gridCol w:w="1350"/>
      </w:tblGrid>
      <w:tr w:rsidR="3C192CC1" w14:paraId="77225645" w14:textId="77777777" w:rsidTr="00501245">
        <w:trPr>
          <w:trHeight w:val="225"/>
        </w:trPr>
        <w:tc>
          <w:tcPr>
            <w:tcW w:w="1260" w:type="dxa"/>
            <w:tcBorders>
              <w:top w:val="single" w:sz="6" w:space="0" w:color="auto"/>
              <w:left w:val="nil"/>
              <w:bottom w:val="single" w:sz="6" w:space="0" w:color="auto"/>
              <w:right w:val="nil"/>
            </w:tcBorders>
          </w:tcPr>
          <w:p w14:paraId="11EDCBF0" w14:textId="5F7EA1EA" w:rsidR="3C192CC1" w:rsidRDefault="3C192CC1" w:rsidP="3C192CC1">
            <w:pPr>
              <w:spacing w:line="259" w:lineRule="auto"/>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Lab Section</w:t>
            </w:r>
          </w:p>
        </w:tc>
        <w:tc>
          <w:tcPr>
            <w:tcW w:w="1290" w:type="dxa"/>
            <w:tcBorders>
              <w:top w:val="single" w:sz="6" w:space="0" w:color="auto"/>
              <w:left w:val="nil"/>
              <w:bottom w:val="single" w:sz="6" w:space="0" w:color="auto"/>
              <w:right w:val="nil"/>
            </w:tcBorders>
            <w:vAlign w:val="center"/>
          </w:tcPr>
          <w:p w14:paraId="2C8C0B10" w14:textId="13A7BE89"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Student Gender</w:t>
            </w:r>
          </w:p>
        </w:tc>
        <w:tc>
          <w:tcPr>
            <w:tcW w:w="3120" w:type="dxa"/>
            <w:gridSpan w:val="3"/>
            <w:tcBorders>
              <w:top w:val="single" w:sz="6" w:space="0" w:color="auto"/>
              <w:left w:val="nil"/>
              <w:bottom w:val="single" w:sz="6" w:space="0" w:color="auto"/>
              <w:right w:val="nil"/>
            </w:tcBorders>
            <w:vAlign w:val="center"/>
          </w:tcPr>
          <w:p w14:paraId="476FB49E" w14:textId="3CDA6EA9"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Week 4 Survey</w:t>
            </w:r>
          </w:p>
        </w:tc>
        <w:tc>
          <w:tcPr>
            <w:tcW w:w="3615" w:type="dxa"/>
            <w:gridSpan w:val="3"/>
            <w:tcBorders>
              <w:top w:val="single" w:sz="6" w:space="0" w:color="auto"/>
              <w:left w:val="nil"/>
              <w:bottom w:val="single" w:sz="6" w:space="0" w:color="auto"/>
              <w:right w:val="nil"/>
            </w:tcBorders>
            <w:vAlign w:val="center"/>
          </w:tcPr>
          <w:p w14:paraId="0EF8318B" w14:textId="5B05AC39"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Week 12 Survey</w:t>
            </w:r>
          </w:p>
        </w:tc>
      </w:tr>
      <w:tr w:rsidR="3C192CC1" w14:paraId="724DE738" w14:textId="77777777" w:rsidTr="00501245">
        <w:tc>
          <w:tcPr>
            <w:tcW w:w="1260" w:type="dxa"/>
            <w:vMerge w:val="restart"/>
            <w:tcBorders>
              <w:top w:val="single" w:sz="6" w:space="0" w:color="auto"/>
              <w:left w:val="nil"/>
              <w:bottom w:val="nil"/>
              <w:right w:val="nil"/>
            </w:tcBorders>
            <w:vAlign w:val="center"/>
          </w:tcPr>
          <w:p w14:paraId="34A4C6A2" w14:textId="20F2446E" w:rsidR="3C192CC1" w:rsidRDefault="3C192CC1" w:rsidP="3C192CC1">
            <w:pPr>
              <w:spacing w:line="259" w:lineRule="auto"/>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Tuesday</w:t>
            </w:r>
          </w:p>
        </w:tc>
        <w:tc>
          <w:tcPr>
            <w:tcW w:w="1290" w:type="dxa"/>
            <w:vMerge w:val="restart"/>
            <w:tcBorders>
              <w:top w:val="single" w:sz="6" w:space="0" w:color="auto"/>
              <w:left w:val="nil"/>
              <w:bottom w:val="single" w:sz="4" w:space="0" w:color="000000" w:themeColor="text1"/>
              <w:right w:val="nil"/>
            </w:tcBorders>
            <w:vAlign w:val="center"/>
          </w:tcPr>
          <w:p w14:paraId="4A61C8A4" w14:textId="76CEE23B" w:rsidR="3C192CC1" w:rsidRDefault="3C192CC1" w:rsidP="3C192CC1">
            <w:pPr>
              <w:spacing w:line="259" w:lineRule="auto"/>
              <w:jc w:val="center"/>
              <w:rPr>
                <w:rFonts w:ascii="Times New Roman" w:eastAsia="Times New Roman" w:hAnsi="Times New Roman" w:cs="Times New Roman"/>
                <w:color w:val="000000" w:themeColor="text1"/>
                <w:sz w:val="24"/>
                <w:szCs w:val="24"/>
              </w:rPr>
            </w:pPr>
          </w:p>
        </w:tc>
        <w:tc>
          <w:tcPr>
            <w:tcW w:w="3120" w:type="dxa"/>
            <w:gridSpan w:val="3"/>
            <w:tcBorders>
              <w:left w:val="nil"/>
              <w:bottom w:val="single" w:sz="6" w:space="0" w:color="auto"/>
              <w:right w:val="nil"/>
            </w:tcBorders>
            <w:vAlign w:val="center"/>
          </w:tcPr>
          <w:p w14:paraId="350EFD6D" w14:textId="4BD1D6A1"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i/>
                <w:iCs/>
                <w:color w:val="000000" w:themeColor="text1"/>
                <w:sz w:val="24"/>
                <w:szCs w:val="24"/>
              </w:rPr>
              <w:t>Instructor Choice</w:t>
            </w:r>
          </w:p>
        </w:tc>
        <w:tc>
          <w:tcPr>
            <w:tcW w:w="3615" w:type="dxa"/>
            <w:gridSpan w:val="3"/>
            <w:tcBorders>
              <w:left w:val="nil"/>
              <w:bottom w:val="single" w:sz="6" w:space="0" w:color="auto"/>
              <w:right w:val="nil"/>
            </w:tcBorders>
            <w:vAlign w:val="center"/>
          </w:tcPr>
          <w:p w14:paraId="0FB3F703" w14:textId="3C01F7FC"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i/>
                <w:iCs/>
                <w:color w:val="000000" w:themeColor="text1"/>
                <w:sz w:val="24"/>
                <w:szCs w:val="24"/>
              </w:rPr>
              <w:t>Instructor Choice</w:t>
            </w:r>
          </w:p>
        </w:tc>
      </w:tr>
      <w:tr w:rsidR="3C192CC1" w14:paraId="62BAE1D7" w14:textId="77777777" w:rsidTr="00501245">
        <w:tc>
          <w:tcPr>
            <w:tcW w:w="1260" w:type="dxa"/>
            <w:vMerge/>
            <w:tcBorders>
              <w:left w:val="nil"/>
              <w:bottom w:val="nil"/>
              <w:right w:val="nil"/>
            </w:tcBorders>
            <w:vAlign w:val="center"/>
          </w:tcPr>
          <w:p w14:paraId="2DD44C56" w14:textId="77777777" w:rsidR="00F621DD" w:rsidRDefault="00F621DD"/>
        </w:tc>
        <w:tc>
          <w:tcPr>
            <w:tcW w:w="1290" w:type="dxa"/>
            <w:vMerge/>
            <w:tcBorders>
              <w:left w:val="nil"/>
              <w:right w:val="nil"/>
            </w:tcBorders>
            <w:vAlign w:val="center"/>
          </w:tcPr>
          <w:p w14:paraId="7269E651" w14:textId="77777777" w:rsidR="00F621DD" w:rsidRDefault="00F621DD"/>
        </w:tc>
        <w:tc>
          <w:tcPr>
            <w:tcW w:w="1050" w:type="dxa"/>
            <w:tcBorders>
              <w:left w:val="nil"/>
              <w:bottom w:val="single" w:sz="6" w:space="0" w:color="auto"/>
              <w:right w:val="nil"/>
            </w:tcBorders>
            <w:vAlign w:val="center"/>
          </w:tcPr>
          <w:p w14:paraId="21C1021F" w14:textId="0CFC7CC0"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i/>
                <w:iCs/>
                <w:color w:val="000000" w:themeColor="text1"/>
                <w:sz w:val="24"/>
                <w:szCs w:val="24"/>
              </w:rPr>
              <w:t>Male</w:t>
            </w:r>
          </w:p>
        </w:tc>
        <w:tc>
          <w:tcPr>
            <w:tcW w:w="1050" w:type="dxa"/>
            <w:tcBorders>
              <w:left w:val="nil"/>
              <w:bottom w:val="single" w:sz="6" w:space="0" w:color="auto"/>
              <w:right w:val="nil"/>
            </w:tcBorders>
            <w:vAlign w:val="center"/>
          </w:tcPr>
          <w:p w14:paraId="5C520A76" w14:textId="6C392089"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i/>
                <w:iCs/>
                <w:color w:val="000000" w:themeColor="text1"/>
                <w:sz w:val="24"/>
                <w:szCs w:val="24"/>
              </w:rPr>
              <w:t>Female</w:t>
            </w:r>
          </w:p>
        </w:tc>
        <w:tc>
          <w:tcPr>
            <w:tcW w:w="1020" w:type="dxa"/>
            <w:tcBorders>
              <w:left w:val="nil"/>
              <w:bottom w:val="single" w:sz="6" w:space="0" w:color="auto"/>
              <w:right w:val="nil"/>
            </w:tcBorders>
          </w:tcPr>
          <w:p w14:paraId="42B2A22A" w14:textId="777A4EB8"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i/>
                <w:iCs/>
                <w:color w:val="000000" w:themeColor="text1"/>
                <w:sz w:val="24"/>
                <w:szCs w:val="24"/>
              </w:rPr>
              <w:t>Neutral</w:t>
            </w:r>
          </w:p>
        </w:tc>
        <w:tc>
          <w:tcPr>
            <w:tcW w:w="1245" w:type="dxa"/>
            <w:tcBorders>
              <w:left w:val="nil"/>
              <w:bottom w:val="single" w:sz="6" w:space="0" w:color="auto"/>
              <w:right w:val="nil"/>
            </w:tcBorders>
            <w:vAlign w:val="center"/>
          </w:tcPr>
          <w:p w14:paraId="7EA8A817" w14:textId="1687D552"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i/>
                <w:iCs/>
                <w:color w:val="000000" w:themeColor="text1"/>
                <w:sz w:val="24"/>
                <w:szCs w:val="24"/>
              </w:rPr>
              <w:t>Male</w:t>
            </w:r>
          </w:p>
        </w:tc>
        <w:tc>
          <w:tcPr>
            <w:tcW w:w="1020" w:type="dxa"/>
            <w:tcBorders>
              <w:left w:val="nil"/>
              <w:bottom w:val="single" w:sz="6" w:space="0" w:color="auto"/>
              <w:right w:val="nil"/>
            </w:tcBorders>
            <w:vAlign w:val="center"/>
          </w:tcPr>
          <w:p w14:paraId="32808712" w14:textId="0CECB0C4"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i/>
                <w:iCs/>
                <w:color w:val="000000" w:themeColor="text1"/>
                <w:sz w:val="24"/>
                <w:szCs w:val="24"/>
              </w:rPr>
              <w:t>Female</w:t>
            </w:r>
          </w:p>
        </w:tc>
        <w:tc>
          <w:tcPr>
            <w:tcW w:w="1350" w:type="dxa"/>
            <w:tcBorders>
              <w:left w:val="nil"/>
              <w:bottom w:val="single" w:sz="6" w:space="0" w:color="auto"/>
              <w:right w:val="nil"/>
            </w:tcBorders>
          </w:tcPr>
          <w:p w14:paraId="766B23C5" w14:textId="56DB17D9"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i/>
                <w:iCs/>
                <w:color w:val="000000" w:themeColor="text1"/>
                <w:sz w:val="24"/>
                <w:szCs w:val="24"/>
              </w:rPr>
              <w:t>Neutral</w:t>
            </w:r>
          </w:p>
        </w:tc>
      </w:tr>
      <w:tr w:rsidR="3C192CC1" w14:paraId="3590064B" w14:textId="77777777" w:rsidTr="00501245">
        <w:tc>
          <w:tcPr>
            <w:tcW w:w="1260" w:type="dxa"/>
            <w:vMerge/>
            <w:tcBorders>
              <w:left w:val="nil"/>
              <w:bottom w:val="nil"/>
              <w:right w:val="nil"/>
            </w:tcBorders>
            <w:vAlign w:val="center"/>
          </w:tcPr>
          <w:p w14:paraId="1834DB88" w14:textId="77777777" w:rsidR="00F621DD" w:rsidRDefault="00F621DD"/>
        </w:tc>
        <w:tc>
          <w:tcPr>
            <w:tcW w:w="1290" w:type="dxa"/>
            <w:vMerge/>
            <w:tcBorders>
              <w:left w:val="nil"/>
              <w:bottom w:val="single" w:sz="4" w:space="0" w:color="000000" w:themeColor="text1"/>
              <w:right w:val="nil"/>
            </w:tcBorders>
            <w:vAlign w:val="center"/>
          </w:tcPr>
          <w:p w14:paraId="3F0261B0" w14:textId="77777777" w:rsidR="00F621DD" w:rsidRDefault="00F621DD"/>
        </w:tc>
        <w:tc>
          <w:tcPr>
            <w:tcW w:w="1050" w:type="dxa"/>
            <w:tcBorders>
              <w:left w:val="nil"/>
              <w:bottom w:val="nil"/>
              <w:right w:val="nil"/>
            </w:tcBorders>
            <w:vAlign w:val="center"/>
          </w:tcPr>
          <w:p w14:paraId="386B8885" w14:textId="5BEB87F6"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i/>
                <w:iCs/>
                <w:color w:val="000000" w:themeColor="text1"/>
                <w:sz w:val="24"/>
                <w:szCs w:val="24"/>
              </w:rPr>
              <w:t>f</w:t>
            </w:r>
          </w:p>
          <w:p w14:paraId="082CE41F" w14:textId="2E22E729"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i/>
                <w:iCs/>
                <w:color w:val="000000" w:themeColor="text1"/>
                <w:sz w:val="24"/>
                <w:szCs w:val="24"/>
              </w:rPr>
              <w:t>(%)</w:t>
            </w:r>
          </w:p>
        </w:tc>
        <w:tc>
          <w:tcPr>
            <w:tcW w:w="1050" w:type="dxa"/>
            <w:tcBorders>
              <w:left w:val="nil"/>
              <w:bottom w:val="nil"/>
              <w:right w:val="nil"/>
            </w:tcBorders>
            <w:vAlign w:val="center"/>
          </w:tcPr>
          <w:p w14:paraId="17920EC9" w14:textId="12A54CDB"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i/>
                <w:iCs/>
                <w:color w:val="000000" w:themeColor="text1"/>
                <w:sz w:val="24"/>
                <w:szCs w:val="24"/>
              </w:rPr>
              <w:t>f</w:t>
            </w:r>
          </w:p>
          <w:p w14:paraId="687AB942" w14:textId="75812E17"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i/>
                <w:iCs/>
                <w:color w:val="000000" w:themeColor="text1"/>
                <w:sz w:val="24"/>
                <w:szCs w:val="24"/>
              </w:rPr>
              <w:t>(%)</w:t>
            </w:r>
          </w:p>
        </w:tc>
        <w:tc>
          <w:tcPr>
            <w:tcW w:w="1020" w:type="dxa"/>
            <w:tcBorders>
              <w:left w:val="nil"/>
              <w:bottom w:val="nil"/>
              <w:right w:val="nil"/>
            </w:tcBorders>
          </w:tcPr>
          <w:p w14:paraId="5B1029D0" w14:textId="2A54BB2C"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i/>
                <w:iCs/>
                <w:color w:val="000000" w:themeColor="text1"/>
                <w:sz w:val="24"/>
                <w:szCs w:val="24"/>
              </w:rPr>
              <w:t>f</w:t>
            </w:r>
          </w:p>
          <w:p w14:paraId="58EEBBB1" w14:textId="72665ADD"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i/>
                <w:iCs/>
                <w:color w:val="000000" w:themeColor="text1"/>
                <w:sz w:val="24"/>
                <w:szCs w:val="24"/>
              </w:rPr>
              <w:t>(%)</w:t>
            </w:r>
          </w:p>
        </w:tc>
        <w:tc>
          <w:tcPr>
            <w:tcW w:w="1245" w:type="dxa"/>
            <w:tcBorders>
              <w:left w:val="nil"/>
              <w:bottom w:val="nil"/>
              <w:right w:val="nil"/>
            </w:tcBorders>
            <w:vAlign w:val="center"/>
          </w:tcPr>
          <w:p w14:paraId="7851FE05" w14:textId="2ED6EA51"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i/>
                <w:iCs/>
                <w:color w:val="000000" w:themeColor="text1"/>
                <w:sz w:val="24"/>
                <w:szCs w:val="24"/>
              </w:rPr>
              <w:t>f</w:t>
            </w:r>
          </w:p>
          <w:p w14:paraId="7B1E47D0" w14:textId="276579CD"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i/>
                <w:iCs/>
                <w:color w:val="000000" w:themeColor="text1"/>
                <w:sz w:val="24"/>
                <w:szCs w:val="24"/>
              </w:rPr>
              <w:t>(%)</w:t>
            </w:r>
          </w:p>
        </w:tc>
        <w:tc>
          <w:tcPr>
            <w:tcW w:w="1020" w:type="dxa"/>
            <w:tcBorders>
              <w:left w:val="nil"/>
              <w:bottom w:val="nil"/>
              <w:right w:val="nil"/>
            </w:tcBorders>
            <w:vAlign w:val="center"/>
          </w:tcPr>
          <w:p w14:paraId="758E0F97" w14:textId="4D3167F6"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i/>
                <w:iCs/>
                <w:color w:val="000000" w:themeColor="text1"/>
                <w:sz w:val="24"/>
                <w:szCs w:val="24"/>
              </w:rPr>
              <w:t>f</w:t>
            </w:r>
          </w:p>
          <w:p w14:paraId="6462237F" w14:textId="3F15DB7D"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i/>
                <w:iCs/>
                <w:color w:val="000000" w:themeColor="text1"/>
                <w:sz w:val="24"/>
                <w:szCs w:val="24"/>
              </w:rPr>
              <w:t>(%)</w:t>
            </w:r>
          </w:p>
        </w:tc>
        <w:tc>
          <w:tcPr>
            <w:tcW w:w="1350" w:type="dxa"/>
            <w:tcBorders>
              <w:left w:val="nil"/>
              <w:bottom w:val="nil"/>
              <w:right w:val="nil"/>
            </w:tcBorders>
          </w:tcPr>
          <w:p w14:paraId="12681CE9" w14:textId="61104B43"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i/>
                <w:iCs/>
                <w:color w:val="000000" w:themeColor="text1"/>
                <w:sz w:val="24"/>
                <w:szCs w:val="24"/>
              </w:rPr>
              <w:t>f</w:t>
            </w:r>
          </w:p>
          <w:p w14:paraId="28EB1B07" w14:textId="713454B4"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i/>
                <w:iCs/>
                <w:color w:val="000000" w:themeColor="text1"/>
                <w:sz w:val="24"/>
                <w:szCs w:val="24"/>
              </w:rPr>
              <w:t>(%)</w:t>
            </w:r>
          </w:p>
        </w:tc>
      </w:tr>
      <w:tr w:rsidR="3C192CC1" w14:paraId="7D670154" w14:textId="77777777" w:rsidTr="00501245">
        <w:tc>
          <w:tcPr>
            <w:tcW w:w="1260" w:type="dxa"/>
            <w:vMerge/>
            <w:tcBorders>
              <w:left w:val="nil"/>
              <w:bottom w:val="nil"/>
              <w:right w:val="nil"/>
            </w:tcBorders>
            <w:vAlign w:val="center"/>
          </w:tcPr>
          <w:p w14:paraId="33323644" w14:textId="77777777" w:rsidR="00F621DD" w:rsidRDefault="00F621DD"/>
        </w:tc>
        <w:tc>
          <w:tcPr>
            <w:tcW w:w="1290" w:type="dxa"/>
            <w:tcBorders>
              <w:top w:val="single" w:sz="4" w:space="0" w:color="000000" w:themeColor="text1"/>
              <w:left w:val="nil"/>
              <w:bottom w:val="nil"/>
              <w:right w:val="nil"/>
            </w:tcBorders>
            <w:vAlign w:val="center"/>
          </w:tcPr>
          <w:p w14:paraId="7C41837F" w14:textId="0B89F25D"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Male</w:t>
            </w:r>
          </w:p>
        </w:tc>
        <w:tc>
          <w:tcPr>
            <w:tcW w:w="1050" w:type="dxa"/>
            <w:tcBorders>
              <w:left w:val="nil"/>
              <w:bottom w:val="nil"/>
              <w:right w:val="nil"/>
            </w:tcBorders>
            <w:vAlign w:val="center"/>
          </w:tcPr>
          <w:p w14:paraId="28BCF6D5" w14:textId="1743DB3B"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8</w:t>
            </w:r>
          </w:p>
          <w:p w14:paraId="42A7A425" w14:textId="29DC984A"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(88.9%)</w:t>
            </w:r>
          </w:p>
        </w:tc>
        <w:tc>
          <w:tcPr>
            <w:tcW w:w="1050" w:type="dxa"/>
            <w:tcBorders>
              <w:left w:val="nil"/>
              <w:bottom w:val="nil"/>
              <w:right w:val="nil"/>
            </w:tcBorders>
            <w:vAlign w:val="center"/>
          </w:tcPr>
          <w:p w14:paraId="707196B7" w14:textId="6EB87ADA"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0</w:t>
            </w:r>
          </w:p>
          <w:p w14:paraId="42C689F0" w14:textId="45E801AD"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(0%)</w:t>
            </w:r>
          </w:p>
        </w:tc>
        <w:tc>
          <w:tcPr>
            <w:tcW w:w="1020" w:type="dxa"/>
            <w:tcBorders>
              <w:left w:val="nil"/>
              <w:bottom w:val="nil"/>
              <w:right w:val="nil"/>
            </w:tcBorders>
          </w:tcPr>
          <w:p w14:paraId="0045A2C5" w14:textId="316CE6DB"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1</w:t>
            </w:r>
          </w:p>
          <w:p w14:paraId="29D692CF" w14:textId="21D88A6D"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(11.1%)</w:t>
            </w:r>
          </w:p>
        </w:tc>
        <w:tc>
          <w:tcPr>
            <w:tcW w:w="1245" w:type="dxa"/>
            <w:tcBorders>
              <w:left w:val="nil"/>
              <w:bottom w:val="nil"/>
              <w:right w:val="nil"/>
            </w:tcBorders>
            <w:vAlign w:val="center"/>
          </w:tcPr>
          <w:p w14:paraId="1AC7ACA3" w14:textId="2AB7F6B1"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6</w:t>
            </w:r>
            <w:r w:rsidRPr="3C192CC1">
              <w:rPr>
                <w:rFonts w:ascii="Times New Roman" w:eastAsia="Times New Roman" w:hAnsi="Times New Roman" w:cs="Times New Roman"/>
                <w:color w:val="000000" w:themeColor="text1"/>
                <w:sz w:val="24"/>
                <w:szCs w:val="24"/>
                <w:vertAlign w:val="superscript"/>
              </w:rPr>
              <w:t>*</w:t>
            </w:r>
            <w:r>
              <w:br/>
            </w:r>
            <w:r w:rsidRPr="00E2543C">
              <w:rPr>
                <w:rFonts w:ascii="Times New Roman" w:eastAsia="Times New Roman" w:hAnsi="Times New Roman" w:cs="Times New Roman"/>
                <w:color w:val="000000" w:themeColor="text1"/>
                <w:sz w:val="24"/>
                <w:szCs w:val="24"/>
              </w:rPr>
              <w:t>(75%)</w:t>
            </w:r>
          </w:p>
        </w:tc>
        <w:tc>
          <w:tcPr>
            <w:tcW w:w="1020" w:type="dxa"/>
            <w:tcBorders>
              <w:left w:val="nil"/>
              <w:bottom w:val="nil"/>
              <w:right w:val="nil"/>
            </w:tcBorders>
            <w:vAlign w:val="center"/>
          </w:tcPr>
          <w:p w14:paraId="2FDA9E0F" w14:textId="0AEFF3EF"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2</w:t>
            </w:r>
          </w:p>
          <w:p w14:paraId="47ED8561" w14:textId="56D743E6"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(25%)</w:t>
            </w:r>
          </w:p>
        </w:tc>
        <w:tc>
          <w:tcPr>
            <w:tcW w:w="1350" w:type="dxa"/>
            <w:tcBorders>
              <w:left w:val="nil"/>
              <w:bottom w:val="nil"/>
              <w:right w:val="nil"/>
            </w:tcBorders>
          </w:tcPr>
          <w:p w14:paraId="33411816" w14:textId="6B822454"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0</w:t>
            </w:r>
          </w:p>
          <w:p w14:paraId="3D5DA929" w14:textId="1BA5F892"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(0%)</w:t>
            </w:r>
          </w:p>
        </w:tc>
      </w:tr>
      <w:tr w:rsidR="3C192CC1" w14:paraId="78E7F860" w14:textId="77777777" w:rsidTr="00DD4049">
        <w:tc>
          <w:tcPr>
            <w:tcW w:w="1260" w:type="dxa"/>
            <w:vMerge/>
            <w:tcBorders>
              <w:left w:val="nil"/>
              <w:bottom w:val="nil"/>
              <w:right w:val="nil"/>
            </w:tcBorders>
            <w:vAlign w:val="center"/>
          </w:tcPr>
          <w:p w14:paraId="4C887E68" w14:textId="77777777" w:rsidR="00F621DD" w:rsidRDefault="00F621DD"/>
        </w:tc>
        <w:tc>
          <w:tcPr>
            <w:tcW w:w="1290" w:type="dxa"/>
            <w:tcBorders>
              <w:top w:val="nil"/>
              <w:left w:val="nil"/>
              <w:bottom w:val="nil"/>
              <w:right w:val="nil"/>
            </w:tcBorders>
            <w:vAlign w:val="center"/>
          </w:tcPr>
          <w:p w14:paraId="6A8EBFC2" w14:textId="6EC221F1"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AFAB</w:t>
            </w:r>
          </w:p>
        </w:tc>
        <w:tc>
          <w:tcPr>
            <w:tcW w:w="1050" w:type="dxa"/>
            <w:tcBorders>
              <w:top w:val="nil"/>
              <w:left w:val="nil"/>
              <w:bottom w:val="nil"/>
              <w:right w:val="nil"/>
            </w:tcBorders>
            <w:vAlign w:val="center"/>
          </w:tcPr>
          <w:p w14:paraId="625C2134" w14:textId="45CFF4FA"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0</w:t>
            </w:r>
          </w:p>
          <w:p w14:paraId="7912922C" w14:textId="07D3FE6B"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(0%)</w:t>
            </w:r>
          </w:p>
        </w:tc>
        <w:tc>
          <w:tcPr>
            <w:tcW w:w="1050" w:type="dxa"/>
            <w:tcBorders>
              <w:top w:val="nil"/>
              <w:left w:val="nil"/>
              <w:bottom w:val="nil"/>
              <w:right w:val="nil"/>
            </w:tcBorders>
            <w:vAlign w:val="center"/>
          </w:tcPr>
          <w:p w14:paraId="0C278E77" w14:textId="44CA109E"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0</w:t>
            </w:r>
          </w:p>
          <w:p w14:paraId="104092EF" w14:textId="27571D08"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(0%)</w:t>
            </w:r>
          </w:p>
        </w:tc>
        <w:tc>
          <w:tcPr>
            <w:tcW w:w="1020" w:type="dxa"/>
            <w:tcBorders>
              <w:top w:val="nil"/>
              <w:left w:val="nil"/>
              <w:bottom w:val="nil"/>
              <w:right w:val="nil"/>
            </w:tcBorders>
          </w:tcPr>
          <w:p w14:paraId="67BC0EFF" w14:textId="37F8B432"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1</w:t>
            </w:r>
          </w:p>
          <w:p w14:paraId="7C6D8444" w14:textId="4E98E475"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(100%)</w:t>
            </w:r>
          </w:p>
        </w:tc>
        <w:tc>
          <w:tcPr>
            <w:tcW w:w="1245" w:type="dxa"/>
            <w:tcBorders>
              <w:top w:val="nil"/>
              <w:left w:val="nil"/>
              <w:bottom w:val="nil"/>
              <w:right w:val="nil"/>
            </w:tcBorders>
            <w:vAlign w:val="center"/>
          </w:tcPr>
          <w:p w14:paraId="6460B0F0" w14:textId="6911F3FB"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0</w:t>
            </w:r>
          </w:p>
          <w:p w14:paraId="373CB24C" w14:textId="3726447E"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(0%)</w:t>
            </w:r>
          </w:p>
        </w:tc>
        <w:tc>
          <w:tcPr>
            <w:tcW w:w="1020" w:type="dxa"/>
            <w:tcBorders>
              <w:top w:val="nil"/>
              <w:left w:val="nil"/>
              <w:bottom w:val="nil"/>
              <w:right w:val="nil"/>
            </w:tcBorders>
            <w:vAlign w:val="center"/>
          </w:tcPr>
          <w:p w14:paraId="3F8273EE" w14:textId="493D5DCA"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0</w:t>
            </w:r>
          </w:p>
          <w:p w14:paraId="45303F29" w14:textId="39605E68"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(0%)</w:t>
            </w:r>
          </w:p>
        </w:tc>
        <w:tc>
          <w:tcPr>
            <w:tcW w:w="1350" w:type="dxa"/>
            <w:tcBorders>
              <w:top w:val="nil"/>
              <w:left w:val="nil"/>
              <w:bottom w:val="nil"/>
              <w:right w:val="nil"/>
            </w:tcBorders>
          </w:tcPr>
          <w:p w14:paraId="58454C23" w14:textId="49B7443D"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1</w:t>
            </w:r>
          </w:p>
          <w:p w14:paraId="72C9CF36" w14:textId="3DAA4E7D" w:rsidR="3C192CC1" w:rsidRDefault="3C192CC1"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(100%)</w:t>
            </w:r>
          </w:p>
        </w:tc>
      </w:tr>
      <w:tr w:rsidR="00F75779" w14:paraId="0C384814" w14:textId="77777777" w:rsidTr="00DD4049">
        <w:trPr>
          <w:trHeight w:val="270"/>
        </w:trPr>
        <w:tc>
          <w:tcPr>
            <w:tcW w:w="9285" w:type="dxa"/>
            <w:gridSpan w:val="8"/>
            <w:tcBorders>
              <w:top w:val="nil"/>
              <w:left w:val="nil"/>
              <w:bottom w:val="nil"/>
              <w:right w:val="nil"/>
            </w:tcBorders>
          </w:tcPr>
          <w:p w14:paraId="5F33DAE0" w14:textId="66B8415C" w:rsidR="00F75779" w:rsidRDefault="00F75779" w:rsidP="3C192CC1">
            <w:pPr>
              <w:spacing w:line="259" w:lineRule="auto"/>
              <w:rPr>
                <w:rFonts w:ascii="Times New Roman" w:eastAsia="Times New Roman" w:hAnsi="Times New Roman" w:cs="Times New Roman"/>
                <w:color w:val="000000" w:themeColor="text1"/>
                <w:sz w:val="24"/>
                <w:szCs w:val="24"/>
              </w:rPr>
            </w:pPr>
          </w:p>
        </w:tc>
      </w:tr>
      <w:tr w:rsidR="00F75779" w14:paraId="78C56C18" w14:textId="77777777" w:rsidTr="00DD4049">
        <w:tc>
          <w:tcPr>
            <w:tcW w:w="1260" w:type="dxa"/>
            <w:vMerge w:val="restart"/>
            <w:tcBorders>
              <w:top w:val="nil"/>
              <w:left w:val="nil"/>
              <w:right w:val="nil"/>
            </w:tcBorders>
            <w:vAlign w:val="center"/>
          </w:tcPr>
          <w:p w14:paraId="7CF72358" w14:textId="20FF500A" w:rsidR="00F75779" w:rsidRDefault="00F75779"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Thursday</w:t>
            </w:r>
          </w:p>
        </w:tc>
        <w:tc>
          <w:tcPr>
            <w:tcW w:w="1290" w:type="dxa"/>
            <w:tcBorders>
              <w:top w:val="nil"/>
              <w:left w:val="nil"/>
              <w:bottom w:val="nil"/>
              <w:right w:val="nil"/>
            </w:tcBorders>
            <w:vAlign w:val="center"/>
          </w:tcPr>
          <w:p w14:paraId="735C9609" w14:textId="126A590D" w:rsidR="00F75779" w:rsidRDefault="00F75779"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Male</w:t>
            </w:r>
          </w:p>
        </w:tc>
        <w:tc>
          <w:tcPr>
            <w:tcW w:w="1050" w:type="dxa"/>
            <w:tcBorders>
              <w:top w:val="nil"/>
              <w:left w:val="nil"/>
              <w:bottom w:val="nil"/>
              <w:right w:val="nil"/>
            </w:tcBorders>
            <w:vAlign w:val="center"/>
          </w:tcPr>
          <w:p w14:paraId="55FC918B" w14:textId="0F076F04" w:rsidR="00F75779" w:rsidRDefault="00F75779"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6</w:t>
            </w:r>
            <w:r>
              <w:br/>
            </w:r>
            <w:r w:rsidRPr="3C192CC1">
              <w:rPr>
                <w:rFonts w:ascii="Times New Roman" w:eastAsia="Times New Roman" w:hAnsi="Times New Roman" w:cs="Times New Roman"/>
                <w:color w:val="000000" w:themeColor="text1"/>
                <w:sz w:val="24"/>
                <w:szCs w:val="24"/>
              </w:rPr>
              <w:t>(85.7%)</w:t>
            </w:r>
          </w:p>
        </w:tc>
        <w:tc>
          <w:tcPr>
            <w:tcW w:w="1050" w:type="dxa"/>
            <w:tcBorders>
              <w:top w:val="nil"/>
              <w:left w:val="nil"/>
              <w:bottom w:val="nil"/>
              <w:right w:val="nil"/>
            </w:tcBorders>
            <w:vAlign w:val="center"/>
          </w:tcPr>
          <w:p w14:paraId="4608653A" w14:textId="03BEB8BA" w:rsidR="00F75779" w:rsidRDefault="00F75779"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1</w:t>
            </w:r>
          </w:p>
          <w:p w14:paraId="6D2BA088" w14:textId="68776375" w:rsidR="00F75779" w:rsidRDefault="00F75779"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(14.3%)</w:t>
            </w:r>
          </w:p>
        </w:tc>
        <w:tc>
          <w:tcPr>
            <w:tcW w:w="1020" w:type="dxa"/>
            <w:tcBorders>
              <w:top w:val="nil"/>
              <w:left w:val="nil"/>
              <w:bottom w:val="nil"/>
              <w:right w:val="nil"/>
            </w:tcBorders>
            <w:vAlign w:val="center"/>
          </w:tcPr>
          <w:p w14:paraId="19069C74" w14:textId="430E518E" w:rsidR="00F75779" w:rsidRDefault="00F75779"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0</w:t>
            </w:r>
          </w:p>
          <w:p w14:paraId="0B96E491" w14:textId="15749EF5" w:rsidR="00F75779" w:rsidRDefault="00F75779"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(0%)</w:t>
            </w:r>
          </w:p>
        </w:tc>
        <w:tc>
          <w:tcPr>
            <w:tcW w:w="1245" w:type="dxa"/>
            <w:tcBorders>
              <w:top w:val="nil"/>
              <w:left w:val="nil"/>
              <w:bottom w:val="nil"/>
              <w:right w:val="nil"/>
            </w:tcBorders>
            <w:vAlign w:val="center"/>
          </w:tcPr>
          <w:p w14:paraId="4E96D321" w14:textId="4372ADBC" w:rsidR="00F75779" w:rsidRDefault="00F75779"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3</w:t>
            </w:r>
          </w:p>
          <w:p w14:paraId="028DA005" w14:textId="4E475A12" w:rsidR="00F75779" w:rsidRDefault="00F75779"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(50%)</w:t>
            </w:r>
          </w:p>
        </w:tc>
        <w:tc>
          <w:tcPr>
            <w:tcW w:w="1020" w:type="dxa"/>
            <w:tcBorders>
              <w:top w:val="nil"/>
              <w:left w:val="nil"/>
              <w:bottom w:val="nil"/>
              <w:right w:val="nil"/>
            </w:tcBorders>
            <w:vAlign w:val="center"/>
          </w:tcPr>
          <w:p w14:paraId="05CF509A" w14:textId="4F04CE5A" w:rsidR="00F75779" w:rsidRDefault="00F75779"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0</w:t>
            </w:r>
          </w:p>
          <w:p w14:paraId="5B42E03F" w14:textId="7D496CEE" w:rsidR="00F75779" w:rsidRDefault="00F75779"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(0%)</w:t>
            </w:r>
          </w:p>
        </w:tc>
        <w:tc>
          <w:tcPr>
            <w:tcW w:w="1350" w:type="dxa"/>
            <w:tcBorders>
              <w:top w:val="nil"/>
              <w:left w:val="nil"/>
              <w:bottom w:val="nil"/>
              <w:right w:val="nil"/>
            </w:tcBorders>
            <w:vAlign w:val="center"/>
          </w:tcPr>
          <w:p w14:paraId="0B48C048" w14:textId="58A5C7CA" w:rsidR="00F75779" w:rsidRDefault="00E2543C" w:rsidP="3C192CC1">
            <w:pPr>
              <w:spacing w:line="259"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4</w:t>
            </w:r>
          </w:p>
          <w:p w14:paraId="3F76C856" w14:textId="6080FC32" w:rsidR="00F75779" w:rsidRDefault="00F75779"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(50%)</w:t>
            </w:r>
          </w:p>
        </w:tc>
      </w:tr>
      <w:tr w:rsidR="00F75779" w14:paraId="00CB3CE9" w14:textId="77777777" w:rsidTr="00F75779">
        <w:tc>
          <w:tcPr>
            <w:tcW w:w="1260" w:type="dxa"/>
            <w:vMerge/>
            <w:tcBorders>
              <w:left w:val="nil"/>
              <w:bottom w:val="single" w:sz="6" w:space="0" w:color="auto"/>
              <w:right w:val="nil"/>
            </w:tcBorders>
            <w:vAlign w:val="center"/>
          </w:tcPr>
          <w:p w14:paraId="02CF9DBF" w14:textId="066ACFC6" w:rsidR="00F75779" w:rsidRDefault="00F75779" w:rsidP="3C192CC1">
            <w:pPr>
              <w:spacing w:line="259" w:lineRule="auto"/>
              <w:jc w:val="center"/>
              <w:rPr>
                <w:rFonts w:ascii="Times New Roman" w:eastAsia="Times New Roman" w:hAnsi="Times New Roman" w:cs="Times New Roman"/>
                <w:color w:val="000000" w:themeColor="text1"/>
                <w:sz w:val="24"/>
                <w:szCs w:val="24"/>
              </w:rPr>
            </w:pPr>
          </w:p>
        </w:tc>
        <w:tc>
          <w:tcPr>
            <w:tcW w:w="1290" w:type="dxa"/>
            <w:tcBorders>
              <w:top w:val="nil"/>
              <w:left w:val="nil"/>
              <w:bottom w:val="single" w:sz="6" w:space="0" w:color="auto"/>
              <w:right w:val="nil"/>
            </w:tcBorders>
            <w:vAlign w:val="center"/>
          </w:tcPr>
          <w:p w14:paraId="7495CD65" w14:textId="4000B9A8" w:rsidR="00F75779" w:rsidRDefault="00F75779"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Female</w:t>
            </w:r>
          </w:p>
        </w:tc>
        <w:tc>
          <w:tcPr>
            <w:tcW w:w="1050" w:type="dxa"/>
            <w:tcBorders>
              <w:top w:val="nil"/>
              <w:left w:val="nil"/>
              <w:bottom w:val="single" w:sz="6" w:space="0" w:color="auto"/>
              <w:right w:val="nil"/>
            </w:tcBorders>
            <w:vAlign w:val="center"/>
          </w:tcPr>
          <w:p w14:paraId="6049F8F1" w14:textId="5D6ADBBB" w:rsidR="00F75779" w:rsidRDefault="00F75779"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1</w:t>
            </w:r>
          </w:p>
          <w:p w14:paraId="66F49B09" w14:textId="2E5CB575" w:rsidR="00F75779" w:rsidRDefault="00F75779"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(25%)</w:t>
            </w:r>
          </w:p>
        </w:tc>
        <w:tc>
          <w:tcPr>
            <w:tcW w:w="1050" w:type="dxa"/>
            <w:tcBorders>
              <w:top w:val="nil"/>
              <w:left w:val="nil"/>
              <w:bottom w:val="single" w:sz="6" w:space="0" w:color="auto"/>
              <w:right w:val="nil"/>
            </w:tcBorders>
            <w:vAlign w:val="center"/>
          </w:tcPr>
          <w:p w14:paraId="4D3CCF91" w14:textId="3DC23878" w:rsidR="00F75779" w:rsidRDefault="00F75779"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2</w:t>
            </w:r>
            <w:r>
              <w:br/>
            </w:r>
            <w:r w:rsidRPr="3C192CC1">
              <w:rPr>
                <w:rFonts w:ascii="Times New Roman" w:eastAsia="Times New Roman" w:hAnsi="Times New Roman" w:cs="Times New Roman"/>
                <w:color w:val="000000" w:themeColor="text1"/>
                <w:sz w:val="24"/>
                <w:szCs w:val="24"/>
              </w:rPr>
              <w:t>(50%)</w:t>
            </w:r>
          </w:p>
        </w:tc>
        <w:tc>
          <w:tcPr>
            <w:tcW w:w="1020" w:type="dxa"/>
            <w:tcBorders>
              <w:top w:val="nil"/>
              <w:left w:val="nil"/>
              <w:bottom w:val="single" w:sz="6" w:space="0" w:color="auto"/>
              <w:right w:val="nil"/>
            </w:tcBorders>
            <w:vAlign w:val="center"/>
          </w:tcPr>
          <w:p w14:paraId="5935879B" w14:textId="4E513A89" w:rsidR="00F75779" w:rsidRDefault="00F75779"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1</w:t>
            </w:r>
          </w:p>
          <w:p w14:paraId="4AE09544" w14:textId="202BAE42" w:rsidR="00F75779" w:rsidRDefault="00F75779"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(25%)</w:t>
            </w:r>
          </w:p>
        </w:tc>
        <w:tc>
          <w:tcPr>
            <w:tcW w:w="1245" w:type="dxa"/>
            <w:tcBorders>
              <w:top w:val="nil"/>
              <w:left w:val="nil"/>
              <w:bottom w:val="single" w:sz="6" w:space="0" w:color="auto"/>
              <w:right w:val="nil"/>
            </w:tcBorders>
            <w:vAlign w:val="center"/>
          </w:tcPr>
          <w:p w14:paraId="482137C7" w14:textId="1AA00302" w:rsidR="00F75779" w:rsidRDefault="00E2543C" w:rsidP="3C192CC1">
            <w:pPr>
              <w:spacing w:line="259"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3</w:t>
            </w:r>
            <w:r w:rsidR="00F75779">
              <w:br/>
            </w:r>
            <w:r w:rsidR="00F75779" w:rsidRPr="3C192CC1">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6</w:t>
            </w:r>
            <w:r w:rsidR="00F75779" w:rsidRPr="3C192CC1">
              <w:rPr>
                <w:rFonts w:ascii="Times New Roman" w:eastAsia="Times New Roman" w:hAnsi="Times New Roman" w:cs="Times New Roman"/>
                <w:color w:val="000000" w:themeColor="text1"/>
                <w:sz w:val="24"/>
                <w:szCs w:val="24"/>
              </w:rPr>
              <w:t>0%)</w:t>
            </w:r>
          </w:p>
        </w:tc>
        <w:tc>
          <w:tcPr>
            <w:tcW w:w="1020" w:type="dxa"/>
            <w:tcBorders>
              <w:top w:val="nil"/>
              <w:left w:val="nil"/>
              <w:bottom w:val="single" w:sz="6" w:space="0" w:color="auto"/>
              <w:right w:val="nil"/>
            </w:tcBorders>
            <w:vAlign w:val="center"/>
          </w:tcPr>
          <w:p w14:paraId="4D6EA16D" w14:textId="6FA7C5B9" w:rsidR="00F75779" w:rsidRDefault="00F75779"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0</w:t>
            </w:r>
          </w:p>
          <w:p w14:paraId="6CA04E7C" w14:textId="2C12ECFC" w:rsidR="00F75779" w:rsidRDefault="00F75779"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(0%)</w:t>
            </w:r>
          </w:p>
        </w:tc>
        <w:tc>
          <w:tcPr>
            <w:tcW w:w="1350" w:type="dxa"/>
            <w:tcBorders>
              <w:top w:val="nil"/>
              <w:left w:val="nil"/>
              <w:bottom w:val="single" w:sz="6" w:space="0" w:color="auto"/>
              <w:right w:val="nil"/>
            </w:tcBorders>
            <w:vAlign w:val="center"/>
          </w:tcPr>
          <w:p w14:paraId="2AB3F831" w14:textId="35060DA8" w:rsidR="00F75779" w:rsidRDefault="00F75779"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2</w:t>
            </w:r>
          </w:p>
          <w:p w14:paraId="5B56C251" w14:textId="23A137D3" w:rsidR="00F75779" w:rsidRDefault="00F75779" w:rsidP="3C192CC1">
            <w:pPr>
              <w:spacing w:line="259" w:lineRule="auto"/>
              <w:jc w:val="center"/>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w:t>
            </w:r>
            <w:r w:rsidR="00E2543C">
              <w:rPr>
                <w:rFonts w:ascii="Times New Roman" w:eastAsia="Times New Roman" w:hAnsi="Times New Roman" w:cs="Times New Roman"/>
                <w:color w:val="000000" w:themeColor="text1"/>
                <w:sz w:val="24"/>
                <w:szCs w:val="24"/>
              </w:rPr>
              <w:t>4</w:t>
            </w:r>
            <w:r w:rsidRPr="3C192CC1">
              <w:rPr>
                <w:rFonts w:ascii="Times New Roman" w:eastAsia="Times New Roman" w:hAnsi="Times New Roman" w:cs="Times New Roman"/>
                <w:color w:val="000000" w:themeColor="text1"/>
                <w:sz w:val="24"/>
                <w:szCs w:val="24"/>
              </w:rPr>
              <w:t>0%)</w:t>
            </w:r>
          </w:p>
        </w:tc>
      </w:tr>
    </w:tbl>
    <w:p w14:paraId="47EA0045" w14:textId="104D7612" w:rsidR="3C192CC1" w:rsidRDefault="6AB1C44B" w:rsidP="3C192CC1">
      <w:pPr>
        <w:spacing w:line="240" w:lineRule="auto"/>
        <w:rPr>
          <w:rFonts w:ascii="Times New Roman" w:eastAsia="Times New Roman" w:hAnsi="Times New Roman" w:cs="Times New Roman"/>
          <w:color w:val="000000" w:themeColor="text1"/>
          <w:sz w:val="24"/>
          <w:szCs w:val="24"/>
        </w:rPr>
      </w:pPr>
      <w:r w:rsidRPr="6AB1C44B">
        <w:rPr>
          <w:rFonts w:ascii="Times New Roman" w:eastAsia="Times New Roman" w:hAnsi="Times New Roman" w:cs="Times New Roman"/>
          <w:color w:val="000000" w:themeColor="text1"/>
          <w:sz w:val="24"/>
          <w:szCs w:val="24"/>
          <w:vertAlign w:val="superscript"/>
        </w:rPr>
        <w:t>*</w:t>
      </w:r>
      <w:r w:rsidRPr="6AB1C44B">
        <w:rPr>
          <w:rFonts w:ascii="Times New Roman" w:eastAsia="Times New Roman" w:hAnsi="Times New Roman" w:cs="Times New Roman"/>
          <w:i/>
          <w:iCs/>
          <w:color w:val="000000" w:themeColor="text1"/>
          <w:sz w:val="24"/>
          <w:szCs w:val="24"/>
        </w:rPr>
        <w:t>Note.</w:t>
      </w:r>
      <w:r w:rsidRPr="6AB1C44B">
        <w:rPr>
          <w:rFonts w:ascii="Times New Roman" w:eastAsia="Times New Roman" w:hAnsi="Times New Roman" w:cs="Times New Roman"/>
          <w:color w:val="000000" w:themeColor="text1"/>
          <w:sz w:val="24"/>
          <w:szCs w:val="24"/>
        </w:rPr>
        <w:t xml:space="preserve"> For Tuesday, one student did not answer for the week 12 survey. For Thursday, three male students did not answer for the week four survey and three male students did not answer for the week 12 survey. For Thursday, one female student did not answer for the week four survey. AFAB = Assigned Female at Birth</w:t>
      </w:r>
    </w:p>
    <w:p w14:paraId="78E45E33" w14:textId="62827316" w:rsidR="6AB1C44B" w:rsidRDefault="6AB1C44B" w:rsidP="6AB1C44B">
      <w:pPr>
        <w:spacing w:line="257" w:lineRule="auto"/>
        <w:rPr>
          <w:rFonts w:ascii="Times New Roman" w:eastAsia="Times New Roman" w:hAnsi="Times New Roman" w:cs="Times New Roman"/>
          <w:b/>
          <w:bCs/>
          <w:color w:val="000000" w:themeColor="text1"/>
          <w:sz w:val="24"/>
          <w:szCs w:val="24"/>
        </w:rPr>
      </w:pPr>
      <w:r w:rsidRPr="6AB1C44B">
        <w:rPr>
          <w:rFonts w:ascii="Times New Roman" w:eastAsia="Times New Roman" w:hAnsi="Times New Roman" w:cs="Times New Roman"/>
          <w:b/>
          <w:bCs/>
          <w:color w:val="000000" w:themeColor="text1"/>
          <w:sz w:val="24"/>
          <w:szCs w:val="24"/>
        </w:rPr>
        <w:t>Objective Three: Describe Students’ Tinkering Self-efficacy</w:t>
      </w:r>
    </w:p>
    <w:p w14:paraId="54259A4A" w14:textId="1CC8C1FB" w:rsidR="6AB1C44B" w:rsidRDefault="6AB1C44B" w:rsidP="6AB1C44B">
      <w:pPr>
        <w:spacing w:line="257" w:lineRule="auto"/>
        <w:rPr>
          <w:rFonts w:ascii="Times New Roman" w:eastAsia="Times New Roman" w:hAnsi="Times New Roman" w:cs="Times New Roman"/>
          <w:color w:val="000000" w:themeColor="text1"/>
          <w:sz w:val="24"/>
          <w:szCs w:val="24"/>
        </w:rPr>
      </w:pPr>
      <w:r w:rsidRPr="6AB1C44B">
        <w:rPr>
          <w:rFonts w:ascii="Times New Roman" w:eastAsia="Times New Roman" w:hAnsi="Times New Roman" w:cs="Times New Roman"/>
          <w:color w:val="000000" w:themeColor="text1"/>
          <w:sz w:val="24"/>
          <w:szCs w:val="24"/>
        </w:rPr>
        <w:t>The third research objective sought to describe students’ tinkering self-efficacy. On the pre-survey, female students averaged a tinkering self-efficacy score of 5.10 (</w:t>
      </w:r>
      <w:r w:rsidRPr="6AB1C44B">
        <w:rPr>
          <w:rFonts w:ascii="Times New Roman" w:eastAsia="Times New Roman" w:hAnsi="Times New Roman" w:cs="Times New Roman"/>
          <w:i/>
          <w:iCs/>
          <w:color w:val="000000" w:themeColor="text1"/>
          <w:sz w:val="24"/>
          <w:szCs w:val="24"/>
        </w:rPr>
        <w:t>SD</w:t>
      </w:r>
      <w:r w:rsidRPr="6AB1C44B">
        <w:rPr>
          <w:rFonts w:ascii="Times New Roman" w:eastAsia="Times New Roman" w:hAnsi="Times New Roman" w:cs="Times New Roman"/>
          <w:color w:val="000000" w:themeColor="text1"/>
          <w:sz w:val="24"/>
          <w:szCs w:val="24"/>
        </w:rPr>
        <w:t xml:space="preserve"> = 1.15). On the post-survey, female students averaged a 4.96 (</w:t>
      </w:r>
      <w:r w:rsidRPr="6AB1C44B">
        <w:rPr>
          <w:rFonts w:ascii="Times New Roman" w:eastAsia="Times New Roman" w:hAnsi="Times New Roman" w:cs="Times New Roman"/>
          <w:i/>
          <w:iCs/>
          <w:color w:val="000000" w:themeColor="text1"/>
          <w:sz w:val="24"/>
          <w:szCs w:val="24"/>
        </w:rPr>
        <w:t>SD</w:t>
      </w:r>
      <w:r w:rsidRPr="6AB1C44B">
        <w:rPr>
          <w:rFonts w:ascii="Times New Roman" w:eastAsia="Times New Roman" w:hAnsi="Times New Roman" w:cs="Times New Roman"/>
          <w:color w:val="000000" w:themeColor="text1"/>
          <w:sz w:val="24"/>
          <w:szCs w:val="24"/>
        </w:rPr>
        <w:t xml:space="preserve"> = 1.39). For male students on the pre-survey, the tinkering self-efficacy score averaged 6.59 (</w:t>
      </w:r>
      <w:r w:rsidRPr="6AB1C44B">
        <w:rPr>
          <w:rFonts w:ascii="Times New Roman" w:eastAsia="Times New Roman" w:hAnsi="Times New Roman" w:cs="Times New Roman"/>
          <w:i/>
          <w:iCs/>
          <w:color w:val="000000" w:themeColor="text1"/>
          <w:sz w:val="24"/>
          <w:szCs w:val="24"/>
        </w:rPr>
        <w:t>SD</w:t>
      </w:r>
      <w:r w:rsidRPr="6AB1C44B">
        <w:rPr>
          <w:rFonts w:ascii="Times New Roman" w:eastAsia="Times New Roman" w:hAnsi="Times New Roman" w:cs="Times New Roman"/>
          <w:color w:val="000000" w:themeColor="text1"/>
          <w:sz w:val="24"/>
          <w:szCs w:val="24"/>
        </w:rPr>
        <w:t xml:space="preserve"> = 0.44) and at the post-survey tinkering self-efficacy score averaged 6.52 (</w:t>
      </w:r>
      <w:r w:rsidRPr="6AB1C44B">
        <w:rPr>
          <w:rFonts w:ascii="Times New Roman" w:eastAsia="Times New Roman" w:hAnsi="Times New Roman" w:cs="Times New Roman"/>
          <w:i/>
          <w:iCs/>
          <w:color w:val="000000" w:themeColor="text1"/>
          <w:sz w:val="24"/>
          <w:szCs w:val="24"/>
        </w:rPr>
        <w:t>SD</w:t>
      </w:r>
      <w:r w:rsidRPr="6AB1C44B">
        <w:rPr>
          <w:rFonts w:ascii="Times New Roman" w:eastAsia="Times New Roman" w:hAnsi="Times New Roman" w:cs="Times New Roman"/>
          <w:color w:val="000000" w:themeColor="text1"/>
          <w:sz w:val="24"/>
          <w:szCs w:val="24"/>
        </w:rPr>
        <w:t xml:space="preserve"> = 0.70). Both the males and females tinkering self-efficacy scores dropped between the pre and post surveys. The AFAB student recorded a score of seven out of seven on both the pre survey and the post survey tinkering self-efficacy construct. This indicated the AFAB student had a high level of tinkering self-efficacy.</w:t>
      </w:r>
    </w:p>
    <w:p w14:paraId="24518096" w14:textId="385E1A3B" w:rsidR="6AB1C44B" w:rsidRDefault="6AB1C44B" w:rsidP="6AB1C44B">
      <w:pPr>
        <w:spacing w:line="240" w:lineRule="auto"/>
        <w:rPr>
          <w:rFonts w:ascii="Times New Roman" w:eastAsia="Times New Roman" w:hAnsi="Times New Roman" w:cs="Times New Roman"/>
          <w:b/>
          <w:bCs/>
          <w:color w:val="000000" w:themeColor="text1"/>
          <w:sz w:val="24"/>
          <w:szCs w:val="24"/>
        </w:rPr>
      </w:pPr>
      <w:r w:rsidRPr="6AB1C44B">
        <w:rPr>
          <w:rFonts w:ascii="Times New Roman" w:eastAsia="Times New Roman" w:hAnsi="Times New Roman" w:cs="Times New Roman"/>
          <w:b/>
          <w:bCs/>
          <w:color w:val="000000" w:themeColor="text1"/>
          <w:sz w:val="24"/>
          <w:szCs w:val="24"/>
        </w:rPr>
        <w:lastRenderedPageBreak/>
        <w:t>Objective Four: Determine the correlation between students’ tinkering self-efficacy and students’ preference on gender of the welding instructor</w:t>
      </w:r>
    </w:p>
    <w:p w14:paraId="2A1EAA39" w14:textId="7930D702" w:rsidR="439A39EA" w:rsidRDefault="1667DCA6" w:rsidP="00CF140B">
      <w:pPr>
        <w:spacing w:after="0" w:line="240" w:lineRule="auto"/>
        <w:rPr>
          <w:rFonts w:ascii="Times New Roman" w:eastAsia="Times New Roman" w:hAnsi="Times New Roman" w:cs="Times New Roman"/>
          <w:sz w:val="24"/>
          <w:szCs w:val="24"/>
        </w:rPr>
      </w:pPr>
      <w:r w:rsidRPr="1667DCA6">
        <w:rPr>
          <w:rFonts w:ascii="Times New Roman" w:eastAsia="Times New Roman" w:hAnsi="Times New Roman" w:cs="Times New Roman"/>
          <w:color w:val="000000" w:themeColor="text1"/>
          <w:sz w:val="24"/>
          <w:szCs w:val="24"/>
        </w:rPr>
        <w:t xml:space="preserve">The fourth research objective sought to determine if a correlation was present between tinkering self-efficacy and the students’ preference on gender of the welding instructor. A Point Biserial Correlation was conducted to determine strength of correlation between the </w:t>
      </w:r>
      <w:r w:rsidR="00CF140B">
        <w:rPr>
          <w:rFonts w:ascii="Times New Roman" w:eastAsia="Times New Roman" w:hAnsi="Times New Roman" w:cs="Times New Roman"/>
          <w:color w:val="000000" w:themeColor="text1"/>
          <w:sz w:val="24"/>
          <w:szCs w:val="24"/>
        </w:rPr>
        <w:t>student gender and tinkering self-efficacy score</w:t>
      </w:r>
      <w:r w:rsidRPr="1667DCA6">
        <w:rPr>
          <w:rFonts w:ascii="Times New Roman" w:eastAsia="Times New Roman" w:hAnsi="Times New Roman" w:cs="Times New Roman"/>
          <w:color w:val="000000" w:themeColor="text1"/>
          <w:sz w:val="24"/>
          <w:szCs w:val="24"/>
        </w:rPr>
        <w:t xml:space="preserve">. A </w:t>
      </w:r>
      <w:r w:rsidR="00CF140B">
        <w:rPr>
          <w:rFonts w:ascii="Times New Roman" w:eastAsia="Times New Roman" w:hAnsi="Times New Roman" w:cs="Times New Roman"/>
          <w:color w:val="000000" w:themeColor="text1"/>
          <w:sz w:val="24"/>
          <w:szCs w:val="24"/>
        </w:rPr>
        <w:t xml:space="preserve">significant </w:t>
      </w:r>
      <w:r w:rsidRPr="1667DCA6">
        <w:rPr>
          <w:rFonts w:ascii="Times New Roman" w:eastAsia="Times New Roman" w:hAnsi="Times New Roman" w:cs="Times New Roman"/>
          <w:color w:val="000000" w:themeColor="text1"/>
          <w:sz w:val="24"/>
          <w:szCs w:val="24"/>
        </w:rPr>
        <w:t xml:space="preserve">moderate </w:t>
      </w:r>
      <w:r w:rsidR="00CF140B">
        <w:rPr>
          <w:rFonts w:ascii="Times New Roman" w:eastAsia="Times New Roman" w:hAnsi="Times New Roman" w:cs="Times New Roman"/>
          <w:color w:val="000000" w:themeColor="text1"/>
          <w:sz w:val="24"/>
          <w:szCs w:val="24"/>
        </w:rPr>
        <w:t xml:space="preserve">negative </w:t>
      </w:r>
      <w:r w:rsidRPr="1667DCA6">
        <w:rPr>
          <w:rFonts w:ascii="Times New Roman" w:eastAsia="Times New Roman" w:hAnsi="Times New Roman" w:cs="Times New Roman"/>
          <w:color w:val="000000" w:themeColor="text1"/>
          <w:sz w:val="24"/>
          <w:szCs w:val="24"/>
        </w:rPr>
        <w:t xml:space="preserve">correlation was found </w:t>
      </w:r>
      <w:r w:rsidR="00CF140B">
        <w:rPr>
          <w:rFonts w:ascii="Times New Roman" w:eastAsia="Times New Roman" w:hAnsi="Times New Roman" w:cs="Times New Roman"/>
          <w:color w:val="000000" w:themeColor="text1"/>
          <w:sz w:val="24"/>
          <w:szCs w:val="24"/>
        </w:rPr>
        <w:t xml:space="preserve">between student gender and </w:t>
      </w:r>
      <w:r w:rsidRPr="1667DCA6">
        <w:rPr>
          <w:rFonts w:ascii="Times New Roman" w:eastAsia="Times New Roman" w:hAnsi="Times New Roman" w:cs="Times New Roman"/>
          <w:color w:val="000000" w:themeColor="text1"/>
          <w:sz w:val="24"/>
          <w:szCs w:val="24"/>
        </w:rPr>
        <w:t>week 4 pre-survey</w:t>
      </w:r>
      <w:r w:rsidR="00CF140B">
        <w:rPr>
          <w:rFonts w:ascii="Times New Roman" w:eastAsia="Times New Roman" w:hAnsi="Times New Roman" w:cs="Times New Roman"/>
          <w:color w:val="000000" w:themeColor="text1"/>
          <w:sz w:val="24"/>
          <w:szCs w:val="24"/>
        </w:rPr>
        <w:t xml:space="preserve"> tinkering self-efficacy score</w:t>
      </w:r>
      <w:r w:rsidRPr="1667DCA6">
        <w:rPr>
          <w:rFonts w:ascii="Times New Roman" w:eastAsia="Times New Roman" w:hAnsi="Times New Roman" w:cs="Times New Roman"/>
          <w:color w:val="000000" w:themeColor="text1"/>
          <w:sz w:val="24"/>
          <w:szCs w:val="24"/>
        </w:rPr>
        <w:t xml:space="preserve"> </w:t>
      </w:r>
      <w:r w:rsidRPr="1667DCA6">
        <w:rPr>
          <w:rFonts w:ascii="Times New Roman" w:eastAsia="Times New Roman" w:hAnsi="Times New Roman" w:cs="Times New Roman"/>
          <w:sz w:val="24"/>
          <w:szCs w:val="24"/>
        </w:rPr>
        <w:t>(</w:t>
      </w:r>
      <w:r w:rsidRPr="00CF140B">
        <w:rPr>
          <w:rFonts w:ascii="Times New Roman" w:eastAsia="Times New Roman" w:hAnsi="Times New Roman" w:cs="Times New Roman"/>
          <w:i/>
          <w:iCs/>
          <w:sz w:val="24"/>
          <w:szCs w:val="24"/>
        </w:rPr>
        <w:t>r</w:t>
      </w:r>
      <w:r w:rsidR="00CF140B" w:rsidRPr="002C4D9A">
        <w:rPr>
          <w:rFonts w:ascii="Times New Roman" w:eastAsia="Times New Roman" w:hAnsi="Times New Roman" w:cs="Times New Roman"/>
          <w:i/>
          <w:iCs/>
          <w:sz w:val="24"/>
          <w:szCs w:val="24"/>
          <w:vertAlign w:val="subscript"/>
        </w:rPr>
        <w:t>pb</w:t>
      </w:r>
      <w:r w:rsidR="002C4D9A" w:rsidRPr="002C4D9A">
        <w:rPr>
          <w:rFonts w:ascii="Times New Roman" w:eastAsia="Times New Roman" w:hAnsi="Times New Roman" w:cs="Times New Roman"/>
          <w:i/>
          <w:iCs/>
          <w:sz w:val="24"/>
          <w:szCs w:val="24"/>
          <w:vertAlign w:val="subscript"/>
        </w:rPr>
        <w:t>is</w:t>
      </w:r>
      <w:r w:rsidRPr="1667DCA6">
        <w:rPr>
          <w:rFonts w:ascii="Times New Roman" w:eastAsia="Times New Roman" w:hAnsi="Times New Roman" w:cs="Times New Roman"/>
          <w:sz w:val="24"/>
          <w:szCs w:val="24"/>
        </w:rPr>
        <w:t xml:space="preserve">= -0.56, </w:t>
      </w:r>
      <w:r w:rsidRPr="00CF140B">
        <w:rPr>
          <w:rFonts w:ascii="Times New Roman" w:eastAsia="Times New Roman" w:hAnsi="Times New Roman" w:cs="Times New Roman"/>
          <w:i/>
          <w:iCs/>
          <w:sz w:val="24"/>
          <w:szCs w:val="24"/>
        </w:rPr>
        <w:t>p</w:t>
      </w:r>
      <w:r w:rsidRPr="1667DCA6">
        <w:rPr>
          <w:rFonts w:ascii="Times New Roman" w:eastAsia="Times New Roman" w:hAnsi="Times New Roman" w:cs="Times New Roman"/>
          <w:sz w:val="24"/>
          <w:szCs w:val="24"/>
        </w:rPr>
        <w:t xml:space="preserve"> = 0.014) before the switching of instructors. </w:t>
      </w:r>
      <w:r w:rsidR="00CF140B">
        <w:rPr>
          <w:rFonts w:ascii="Times New Roman" w:eastAsia="Times New Roman" w:hAnsi="Times New Roman" w:cs="Times New Roman"/>
          <w:sz w:val="24"/>
          <w:szCs w:val="24"/>
        </w:rPr>
        <w:t>There was n</w:t>
      </w:r>
      <w:r w:rsidRPr="1667DCA6">
        <w:rPr>
          <w:rFonts w:ascii="Times New Roman" w:eastAsia="Times New Roman" w:hAnsi="Times New Roman" w:cs="Times New Roman"/>
          <w:sz w:val="24"/>
          <w:szCs w:val="24"/>
        </w:rPr>
        <w:t xml:space="preserve">o significant correlation </w:t>
      </w:r>
      <w:r w:rsidR="00CF140B">
        <w:rPr>
          <w:rFonts w:ascii="Times New Roman" w:eastAsia="Times New Roman" w:hAnsi="Times New Roman" w:cs="Times New Roman"/>
          <w:sz w:val="24"/>
          <w:szCs w:val="24"/>
        </w:rPr>
        <w:t xml:space="preserve">between </w:t>
      </w:r>
      <w:r w:rsidRPr="1667DCA6">
        <w:rPr>
          <w:rFonts w:ascii="Times New Roman" w:eastAsia="Times New Roman" w:hAnsi="Times New Roman" w:cs="Times New Roman"/>
          <w:sz w:val="24"/>
          <w:szCs w:val="24"/>
        </w:rPr>
        <w:t>student</w:t>
      </w:r>
      <w:r w:rsidR="00CF140B">
        <w:rPr>
          <w:rFonts w:ascii="Times New Roman" w:eastAsia="Times New Roman" w:hAnsi="Times New Roman" w:cs="Times New Roman"/>
          <w:sz w:val="24"/>
          <w:szCs w:val="24"/>
        </w:rPr>
        <w:t xml:space="preserve"> gender and wee</w:t>
      </w:r>
      <w:r w:rsidRPr="1667DCA6">
        <w:rPr>
          <w:rFonts w:ascii="Times New Roman" w:eastAsia="Times New Roman" w:hAnsi="Times New Roman" w:cs="Times New Roman"/>
          <w:sz w:val="24"/>
          <w:szCs w:val="24"/>
        </w:rPr>
        <w:t xml:space="preserve">k 12 post-survey </w:t>
      </w:r>
      <w:r w:rsidR="00CF140B">
        <w:rPr>
          <w:rFonts w:ascii="Times New Roman" w:eastAsia="Times New Roman" w:hAnsi="Times New Roman" w:cs="Times New Roman"/>
          <w:sz w:val="24"/>
          <w:szCs w:val="24"/>
        </w:rPr>
        <w:t xml:space="preserve">tinkering efficacy score </w:t>
      </w:r>
      <w:r w:rsidRPr="1667DCA6">
        <w:rPr>
          <w:rFonts w:ascii="Times New Roman" w:eastAsia="Times New Roman" w:hAnsi="Times New Roman" w:cs="Times New Roman"/>
          <w:sz w:val="24"/>
          <w:szCs w:val="24"/>
        </w:rPr>
        <w:t>(</w:t>
      </w:r>
      <w:r w:rsidRPr="00CF140B">
        <w:rPr>
          <w:rFonts w:ascii="Times New Roman" w:eastAsia="Times New Roman" w:hAnsi="Times New Roman" w:cs="Times New Roman"/>
          <w:i/>
          <w:iCs/>
          <w:sz w:val="24"/>
          <w:szCs w:val="24"/>
        </w:rPr>
        <w:t>r</w:t>
      </w:r>
      <w:r w:rsidR="00CF140B" w:rsidRPr="00CF140B">
        <w:rPr>
          <w:rFonts w:ascii="Times New Roman" w:eastAsia="Times New Roman" w:hAnsi="Times New Roman" w:cs="Times New Roman"/>
          <w:i/>
          <w:iCs/>
          <w:sz w:val="24"/>
          <w:szCs w:val="24"/>
          <w:vertAlign w:val="subscript"/>
        </w:rPr>
        <w:t>pb</w:t>
      </w:r>
      <w:r w:rsidR="002C4D9A">
        <w:rPr>
          <w:rFonts w:ascii="Times New Roman" w:eastAsia="Times New Roman" w:hAnsi="Times New Roman" w:cs="Times New Roman"/>
          <w:i/>
          <w:iCs/>
          <w:sz w:val="24"/>
          <w:szCs w:val="24"/>
          <w:vertAlign w:val="subscript"/>
        </w:rPr>
        <w:t>is</w:t>
      </w:r>
      <w:r w:rsidRPr="1667DCA6">
        <w:rPr>
          <w:rFonts w:ascii="Times New Roman" w:eastAsia="Times New Roman" w:hAnsi="Times New Roman" w:cs="Times New Roman"/>
          <w:sz w:val="24"/>
          <w:szCs w:val="24"/>
          <w:vertAlign w:val="subscript"/>
        </w:rPr>
        <w:t xml:space="preserve"> </w:t>
      </w:r>
      <w:r w:rsidRPr="1667DCA6">
        <w:rPr>
          <w:rFonts w:ascii="Times New Roman" w:eastAsia="Times New Roman" w:hAnsi="Times New Roman" w:cs="Times New Roman"/>
          <w:sz w:val="24"/>
          <w:szCs w:val="24"/>
        </w:rPr>
        <w:t xml:space="preserve">= -0.323, </w:t>
      </w:r>
      <w:r w:rsidRPr="00CF140B">
        <w:rPr>
          <w:rFonts w:ascii="Times New Roman" w:eastAsia="Times New Roman" w:hAnsi="Times New Roman" w:cs="Times New Roman"/>
          <w:i/>
          <w:iCs/>
          <w:sz w:val="24"/>
          <w:szCs w:val="24"/>
        </w:rPr>
        <w:t xml:space="preserve">p </w:t>
      </w:r>
      <w:r w:rsidRPr="1667DCA6">
        <w:rPr>
          <w:rFonts w:ascii="Times New Roman" w:eastAsia="Times New Roman" w:hAnsi="Times New Roman" w:cs="Times New Roman"/>
          <w:sz w:val="24"/>
          <w:szCs w:val="24"/>
        </w:rPr>
        <w:t>= 0.260).</w:t>
      </w:r>
    </w:p>
    <w:p w14:paraId="1939F300" w14:textId="77777777" w:rsidR="00CF140B" w:rsidRDefault="00CF140B" w:rsidP="00CF140B">
      <w:pPr>
        <w:spacing w:after="0" w:line="240" w:lineRule="auto"/>
        <w:rPr>
          <w:rFonts w:ascii="Times New Roman" w:eastAsia="Times New Roman" w:hAnsi="Times New Roman" w:cs="Times New Roman"/>
          <w:sz w:val="24"/>
          <w:szCs w:val="24"/>
        </w:rPr>
      </w:pPr>
    </w:p>
    <w:p w14:paraId="2A384E68" w14:textId="31D4F19E" w:rsidR="2D46C364" w:rsidRDefault="1667DCA6" w:rsidP="1667DCA6">
      <w:pPr>
        <w:spacing w:line="257" w:lineRule="auto"/>
        <w:jc w:val="center"/>
        <w:rPr>
          <w:rFonts w:ascii="Times" w:eastAsia="Times" w:hAnsi="Times" w:cs="Times"/>
          <w:b/>
          <w:bCs/>
          <w:sz w:val="24"/>
          <w:szCs w:val="24"/>
        </w:rPr>
      </w:pPr>
      <w:r w:rsidRPr="1667DCA6">
        <w:rPr>
          <w:rFonts w:ascii="Times" w:eastAsia="Times" w:hAnsi="Times" w:cs="Times"/>
          <w:b/>
          <w:bCs/>
          <w:sz w:val="24"/>
          <w:szCs w:val="24"/>
        </w:rPr>
        <w:t>Conclusions/Recommendations</w:t>
      </w:r>
    </w:p>
    <w:p w14:paraId="00AEB1AC" w14:textId="7E1128CB" w:rsidR="3C192CC1" w:rsidRDefault="3C192CC1" w:rsidP="3C192CC1">
      <w:pPr>
        <w:spacing w:line="257" w:lineRule="auto"/>
        <w:rPr>
          <w:rFonts w:ascii="Times" w:eastAsia="Times" w:hAnsi="Times" w:cs="Times"/>
          <w:sz w:val="24"/>
          <w:szCs w:val="24"/>
          <w:highlight w:val="green"/>
        </w:rPr>
      </w:pPr>
      <w:r w:rsidRPr="3C192CC1">
        <w:rPr>
          <w:rFonts w:ascii="Times New Roman" w:eastAsia="Times New Roman" w:hAnsi="Times New Roman" w:cs="Times New Roman"/>
          <w:color w:val="000000" w:themeColor="text1"/>
          <w:sz w:val="24"/>
          <w:szCs w:val="24"/>
        </w:rPr>
        <w:t xml:space="preserve">The purpose of this study was to examine students’ perceptions of female versus male instructors in a post-secondary welding course. It is essential to understand student perceptions of their instructors which </w:t>
      </w:r>
      <w:r w:rsidR="00404216">
        <w:rPr>
          <w:rFonts w:ascii="Times New Roman" w:eastAsia="Times New Roman" w:hAnsi="Times New Roman" w:cs="Times New Roman"/>
          <w:color w:val="000000" w:themeColor="text1"/>
          <w:sz w:val="24"/>
          <w:szCs w:val="24"/>
        </w:rPr>
        <w:t>has the potential to</w:t>
      </w:r>
      <w:r w:rsidRPr="3C192CC1">
        <w:rPr>
          <w:rFonts w:ascii="Times New Roman" w:eastAsia="Times New Roman" w:hAnsi="Times New Roman" w:cs="Times New Roman"/>
          <w:color w:val="000000" w:themeColor="text1"/>
          <w:sz w:val="24"/>
          <w:szCs w:val="24"/>
        </w:rPr>
        <w:t xml:space="preserve"> impact instructors</w:t>
      </w:r>
      <w:r w:rsidR="006D1EC2">
        <w:rPr>
          <w:rFonts w:ascii="Times New Roman" w:eastAsia="Times New Roman" w:hAnsi="Times New Roman" w:cs="Times New Roman"/>
          <w:color w:val="000000" w:themeColor="text1"/>
          <w:sz w:val="24"/>
          <w:szCs w:val="24"/>
        </w:rPr>
        <w:t>’ performance</w:t>
      </w:r>
      <w:r w:rsidR="003D5D22">
        <w:rPr>
          <w:rFonts w:ascii="Times New Roman" w:eastAsia="Times New Roman" w:hAnsi="Times New Roman" w:cs="Times New Roman"/>
          <w:color w:val="000000" w:themeColor="text1"/>
          <w:sz w:val="24"/>
          <w:szCs w:val="24"/>
        </w:rPr>
        <w:t xml:space="preserve">, </w:t>
      </w:r>
      <w:proofErr w:type="gramStart"/>
      <w:r w:rsidR="003D5D22">
        <w:rPr>
          <w:rFonts w:ascii="Times New Roman" w:eastAsia="Times New Roman" w:hAnsi="Times New Roman" w:cs="Times New Roman"/>
          <w:color w:val="000000" w:themeColor="text1"/>
          <w:sz w:val="24"/>
          <w:szCs w:val="24"/>
        </w:rPr>
        <w:t>evaluations</w:t>
      </w:r>
      <w:proofErr w:type="gramEnd"/>
      <w:r w:rsidR="006D1EC2">
        <w:rPr>
          <w:rFonts w:ascii="Times New Roman" w:eastAsia="Times New Roman" w:hAnsi="Times New Roman" w:cs="Times New Roman"/>
          <w:color w:val="000000" w:themeColor="text1"/>
          <w:sz w:val="24"/>
          <w:szCs w:val="24"/>
        </w:rPr>
        <w:t xml:space="preserve"> </w:t>
      </w:r>
      <w:r w:rsidRPr="3C192CC1">
        <w:rPr>
          <w:rFonts w:ascii="Times New Roman" w:eastAsia="Times New Roman" w:hAnsi="Times New Roman" w:cs="Times New Roman"/>
          <w:color w:val="000000" w:themeColor="text1"/>
          <w:sz w:val="24"/>
          <w:szCs w:val="24"/>
        </w:rPr>
        <w:t>and desire</w:t>
      </w:r>
      <w:r w:rsidR="003D5D22">
        <w:rPr>
          <w:rFonts w:ascii="Times New Roman" w:eastAsia="Times New Roman" w:hAnsi="Times New Roman" w:cs="Times New Roman"/>
          <w:color w:val="000000" w:themeColor="text1"/>
          <w:sz w:val="24"/>
          <w:szCs w:val="24"/>
        </w:rPr>
        <w:t>s</w:t>
      </w:r>
      <w:r w:rsidRPr="3C192CC1">
        <w:rPr>
          <w:rFonts w:ascii="Times New Roman" w:eastAsia="Times New Roman" w:hAnsi="Times New Roman" w:cs="Times New Roman"/>
          <w:color w:val="000000" w:themeColor="text1"/>
          <w:sz w:val="24"/>
          <w:szCs w:val="24"/>
        </w:rPr>
        <w:t xml:space="preserve"> to remain in the profession. </w:t>
      </w:r>
      <w:r w:rsidR="005D42D3">
        <w:rPr>
          <w:rFonts w:ascii="Times New Roman" w:eastAsia="Times New Roman" w:hAnsi="Times New Roman" w:cs="Times New Roman"/>
          <w:color w:val="000000" w:themeColor="text1"/>
          <w:sz w:val="24"/>
          <w:szCs w:val="24"/>
        </w:rPr>
        <w:t>F</w:t>
      </w:r>
      <w:r w:rsidRPr="3C192CC1">
        <w:rPr>
          <w:rFonts w:ascii="Times New Roman" w:eastAsia="Times New Roman" w:hAnsi="Times New Roman" w:cs="Times New Roman"/>
          <w:color w:val="000000" w:themeColor="text1"/>
          <w:sz w:val="24"/>
          <w:szCs w:val="24"/>
        </w:rPr>
        <w:t>emale</w:t>
      </w:r>
      <w:r w:rsidR="005D42D3">
        <w:rPr>
          <w:rFonts w:ascii="Times New Roman" w:eastAsia="Times New Roman" w:hAnsi="Times New Roman" w:cs="Times New Roman"/>
          <w:color w:val="000000" w:themeColor="text1"/>
          <w:sz w:val="24"/>
          <w:szCs w:val="24"/>
        </w:rPr>
        <w:t xml:space="preserve"> representation in agricultural education is increasing</w:t>
      </w:r>
      <w:r w:rsidRPr="3C192CC1">
        <w:rPr>
          <w:rFonts w:ascii="Times New Roman" w:eastAsia="Times New Roman" w:hAnsi="Times New Roman" w:cs="Times New Roman"/>
          <w:color w:val="000000" w:themeColor="text1"/>
          <w:sz w:val="24"/>
          <w:szCs w:val="24"/>
        </w:rPr>
        <w:t xml:space="preserve"> (</w:t>
      </w:r>
      <w:r w:rsidRPr="3C192CC1">
        <w:rPr>
          <w:rFonts w:ascii="Times" w:eastAsia="Times" w:hAnsi="Times" w:cs="Times"/>
          <w:sz w:val="24"/>
          <w:szCs w:val="24"/>
        </w:rPr>
        <w:t xml:space="preserve">Smith et al., 2021) and </w:t>
      </w:r>
      <w:r w:rsidR="00AF1E64">
        <w:rPr>
          <w:rFonts w:ascii="Times" w:eastAsia="Times" w:hAnsi="Times" w:cs="Times"/>
          <w:sz w:val="24"/>
          <w:szCs w:val="24"/>
        </w:rPr>
        <w:t xml:space="preserve">yet </w:t>
      </w:r>
      <w:r w:rsidRPr="3C192CC1">
        <w:rPr>
          <w:rFonts w:ascii="Times" w:eastAsia="Times" w:hAnsi="Times" w:cs="Times"/>
          <w:sz w:val="24"/>
          <w:szCs w:val="24"/>
        </w:rPr>
        <w:t>female agricultural education instructors</w:t>
      </w:r>
      <w:r w:rsidR="003D5D22">
        <w:rPr>
          <w:rFonts w:ascii="Times" w:eastAsia="Times" w:hAnsi="Times" w:cs="Times"/>
          <w:sz w:val="24"/>
          <w:szCs w:val="24"/>
        </w:rPr>
        <w:t xml:space="preserve"> continue to</w:t>
      </w:r>
      <w:r w:rsidRPr="3C192CC1">
        <w:rPr>
          <w:rFonts w:ascii="Times" w:eastAsia="Times" w:hAnsi="Times" w:cs="Times"/>
          <w:sz w:val="24"/>
          <w:szCs w:val="24"/>
        </w:rPr>
        <w:t xml:space="preserve"> experience gender bias in the profession (Kelsey, 2007). </w:t>
      </w:r>
      <w:r w:rsidRPr="3C192CC1">
        <w:rPr>
          <w:rFonts w:ascii="Times New Roman" w:eastAsia="Times New Roman" w:hAnsi="Times New Roman" w:cs="Times New Roman"/>
          <w:color w:val="000000" w:themeColor="text1"/>
          <w:sz w:val="24"/>
          <w:szCs w:val="24"/>
        </w:rPr>
        <w:t>This study reinforces the emphasis of gender representation in agricultur</w:t>
      </w:r>
      <w:r w:rsidR="003D5D22">
        <w:rPr>
          <w:rFonts w:ascii="Times New Roman" w:eastAsia="Times New Roman" w:hAnsi="Times New Roman" w:cs="Times New Roman"/>
          <w:color w:val="000000" w:themeColor="text1"/>
          <w:sz w:val="24"/>
          <w:szCs w:val="24"/>
        </w:rPr>
        <w:t>e</w:t>
      </w:r>
      <w:r w:rsidRPr="3C192CC1">
        <w:rPr>
          <w:rFonts w:ascii="Times New Roman" w:eastAsia="Times New Roman" w:hAnsi="Times New Roman" w:cs="Times New Roman"/>
          <w:color w:val="000000" w:themeColor="text1"/>
          <w:sz w:val="24"/>
          <w:szCs w:val="24"/>
        </w:rPr>
        <w:t>, especially agricultural mechanics-based courses and adds to the little literature regarding gender bias in agricultural mechanics (Thoron et al., 2016).</w:t>
      </w:r>
      <w:r w:rsidRPr="3C192CC1">
        <w:rPr>
          <w:rFonts w:ascii="Times" w:eastAsia="Times" w:hAnsi="Times" w:cs="Times"/>
          <w:sz w:val="24"/>
          <w:szCs w:val="24"/>
        </w:rPr>
        <w:t xml:space="preserve"> </w:t>
      </w:r>
    </w:p>
    <w:p w14:paraId="37AB706F" w14:textId="1B1BE5F8" w:rsidR="3C192CC1" w:rsidRDefault="1667DCA6" w:rsidP="3C192CC1">
      <w:pPr>
        <w:spacing w:line="257" w:lineRule="auto"/>
        <w:rPr>
          <w:rFonts w:ascii="Times New Roman" w:eastAsia="Times New Roman" w:hAnsi="Times New Roman" w:cs="Times New Roman"/>
          <w:color w:val="000000" w:themeColor="text1"/>
          <w:sz w:val="24"/>
          <w:szCs w:val="24"/>
        </w:rPr>
      </w:pPr>
      <w:r w:rsidRPr="1667DCA6">
        <w:rPr>
          <w:rFonts w:ascii="Times New Roman" w:eastAsia="Times New Roman" w:hAnsi="Times New Roman" w:cs="Times New Roman"/>
          <w:color w:val="000000" w:themeColor="text1"/>
          <w:sz w:val="24"/>
          <w:szCs w:val="24"/>
        </w:rPr>
        <w:t xml:space="preserve">All students participating in this study, </w:t>
      </w:r>
      <w:r w:rsidR="006B3CED" w:rsidRPr="1667DCA6">
        <w:rPr>
          <w:rFonts w:ascii="Times New Roman" w:eastAsia="Times New Roman" w:hAnsi="Times New Roman" w:cs="Times New Roman"/>
          <w:color w:val="000000" w:themeColor="text1"/>
          <w:sz w:val="24"/>
          <w:szCs w:val="24"/>
        </w:rPr>
        <w:t>except for</w:t>
      </w:r>
      <w:r w:rsidRPr="1667DCA6">
        <w:rPr>
          <w:rFonts w:ascii="Times New Roman" w:eastAsia="Times New Roman" w:hAnsi="Times New Roman" w:cs="Times New Roman"/>
          <w:color w:val="000000" w:themeColor="text1"/>
          <w:sz w:val="24"/>
          <w:szCs w:val="24"/>
        </w:rPr>
        <w:t xml:space="preserve"> one female student, claimed zero preference regarding the gender of their lab instructor, yet </w:t>
      </w:r>
      <w:r w:rsidR="006B3CED" w:rsidRPr="1667DCA6">
        <w:rPr>
          <w:rFonts w:ascii="Times New Roman" w:eastAsia="Times New Roman" w:hAnsi="Times New Roman" w:cs="Times New Roman"/>
          <w:color w:val="000000" w:themeColor="text1"/>
          <w:sz w:val="24"/>
          <w:szCs w:val="24"/>
        </w:rPr>
        <w:t>most</w:t>
      </w:r>
      <w:r w:rsidRPr="1667DCA6">
        <w:rPr>
          <w:rFonts w:ascii="Times New Roman" w:eastAsia="Times New Roman" w:hAnsi="Times New Roman" w:cs="Times New Roman"/>
          <w:color w:val="000000" w:themeColor="text1"/>
          <w:sz w:val="24"/>
          <w:szCs w:val="24"/>
        </w:rPr>
        <w:t xml:space="preserve"> students when stipulated to choose between a male and female instructor chose the male instructor. Preference evolved between week four and week 12 as more students wrote in a neutral option regarding </w:t>
      </w:r>
      <w:r w:rsidR="006B3CED">
        <w:rPr>
          <w:rFonts w:ascii="Times New Roman" w:eastAsia="Times New Roman" w:hAnsi="Times New Roman" w:cs="Times New Roman"/>
          <w:color w:val="000000" w:themeColor="text1"/>
          <w:sz w:val="24"/>
          <w:szCs w:val="24"/>
        </w:rPr>
        <w:t xml:space="preserve">instructor </w:t>
      </w:r>
      <w:r w:rsidRPr="1667DCA6">
        <w:rPr>
          <w:rFonts w:ascii="Times New Roman" w:eastAsia="Times New Roman" w:hAnsi="Times New Roman" w:cs="Times New Roman"/>
          <w:color w:val="000000" w:themeColor="text1"/>
          <w:sz w:val="24"/>
          <w:szCs w:val="24"/>
        </w:rPr>
        <w:t xml:space="preserve">gender. Our study showed tinkering self-efficacy and preference of instructor gender were associated in the pre-survey. Having a qualified female instructor altered student’s perceptions regarding learning welding content from a female. A limitation of this research was the potential for students to choose socially acceptable responses. However, we utilized deception to limit this bias. </w:t>
      </w:r>
    </w:p>
    <w:p w14:paraId="2F1FC2BC" w14:textId="50D7EF4A" w:rsidR="002E3027" w:rsidRDefault="1667DCA6" w:rsidP="3C192CC1">
      <w:pPr>
        <w:spacing w:line="257" w:lineRule="auto"/>
        <w:rPr>
          <w:rFonts w:ascii="Times New Roman" w:eastAsia="Times New Roman" w:hAnsi="Times New Roman" w:cs="Times New Roman"/>
          <w:color w:val="000000" w:themeColor="text1"/>
          <w:sz w:val="24"/>
          <w:szCs w:val="24"/>
        </w:rPr>
      </w:pPr>
      <w:r w:rsidRPr="1667DCA6">
        <w:rPr>
          <w:rFonts w:ascii="Times New Roman" w:eastAsia="Times New Roman" w:hAnsi="Times New Roman" w:cs="Times New Roman"/>
          <w:color w:val="000000" w:themeColor="text1"/>
          <w:sz w:val="24"/>
          <w:szCs w:val="24"/>
        </w:rPr>
        <w:t xml:space="preserve">Female students indicated lower tinkering self-efficacy scores than male students in both the pre- and post-surveys. This is consistent with the Baker &amp; Krause (2007) claim of females exhibiting lower tinkering self-efficacy than males. At the post-survey, a percentage of both male and female students shifted their preference of instructor gender. However, tinkering self-efficacy did not increase for either male or female students. We recommend further tinkering self-efficacy research be conducted to determine the lower levels of tinkering self-efficacy in females.  </w:t>
      </w:r>
    </w:p>
    <w:p w14:paraId="5D9153C9" w14:textId="50233EC6" w:rsidR="00F66ECA" w:rsidRDefault="3C192CC1" w:rsidP="3C192CC1">
      <w:pPr>
        <w:spacing w:line="257" w:lineRule="auto"/>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 xml:space="preserve">We have several recommendations for future research and for teacher preparations programs across the country regarding the research findings. We recommend similar research be conducted to </w:t>
      </w:r>
      <w:r w:rsidR="00AF1E64">
        <w:rPr>
          <w:rFonts w:ascii="Times New Roman" w:eastAsia="Times New Roman" w:hAnsi="Times New Roman" w:cs="Times New Roman"/>
          <w:color w:val="000000" w:themeColor="text1"/>
          <w:sz w:val="24"/>
          <w:szCs w:val="24"/>
        </w:rPr>
        <w:t xml:space="preserve">better </w:t>
      </w:r>
      <w:r w:rsidRPr="3C192CC1">
        <w:rPr>
          <w:rFonts w:ascii="Times New Roman" w:eastAsia="Times New Roman" w:hAnsi="Times New Roman" w:cs="Times New Roman"/>
          <w:color w:val="000000" w:themeColor="text1"/>
          <w:sz w:val="24"/>
          <w:szCs w:val="24"/>
        </w:rPr>
        <w:t>understand student preferences and bias towards instructors in agricultural mechanic</w:t>
      </w:r>
      <w:r w:rsidR="00AF1E64">
        <w:rPr>
          <w:rFonts w:ascii="Times New Roman" w:eastAsia="Times New Roman" w:hAnsi="Times New Roman" w:cs="Times New Roman"/>
          <w:color w:val="000000" w:themeColor="text1"/>
          <w:sz w:val="24"/>
          <w:szCs w:val="24"/>
        </w:rPr>
        <w:t>s</w:t>
      </w:r>
      <w:r w:rsidRPr="3C192CC1">
        <w:rPr>
          <w:rFonts w:ascii="Times New Roman" w:eastAsia="Times New Roman" w:hAnsi="Times New Roman" w:cs="Times New Roman"/>
          <w:color w:val="000000" w:themeColor="text1"/>
          <w:sz w:val="24"/>
          <w:szCs w:val="24"/>
        </w:rPr>
        <w:t>. Qualitative research ought to be conducted to determine</w:t>
      </w:r>
      <w:r w:rsidR="004F50FA">
        <w:rPr>
          <w:rFonts w:ascii="Times New Roman" w:eastAsia="Times New Roman" w:hAnsi="Times New Roman" w:cs="Times New Roman"/>
          <w:color w:val="000000" w:themeColor="text1"/>
          <w:sz w:val="24"/>
          <w:szCs w:val="24"/>
        </w:rPr>
        <w:t xml:space="preserve"> </w:t>
      </w:r>
      <w:r w:rsidRPr="3C192CC1">
        <w:rPr>
          <w:rFonts w:ascii="Times New Roman" w:eastAsia="Times New Roman" w:hAnsi="Times New Roman" w:cs="Times New Roman"/>
          <w:color w:val="000000" w:themeColor="text1"/>
          <w:sz w:val="24"/>
          <w:szCs w:val="24"/>
        </w:rPr>
        <w:t xml:space="preserve">factors to reduce bias such as interviews with instructors in agricultural education. We recommend teacher preparation programs dedicate time </w:t>
      </w:r>
      <w:r w:rsidR="003D5D22">
        <w:rPr>
          <w:rFonts w:ascii="Times New Roman" w:eastAsia="Times New Roman" w:hAnsi="Times New Roman" w:cs="Times New Roman"/>
          <w:color w:val="000000" w:themeColor="text1"/>
          <w:sz w:val="24"/>
          <w:szCs w:val="24"/>
        </w:rPr>
        <w:t xml:space="preserve">and efforts </w:t>
      </w:r>
      <w:r w:rsidRPr="3C192CC1">
        <w:rPr>
          <w:rFonts w:ascii="Times New Roman" w:eastAsia="Times New Roman" w:hAnsi="Times New Roman" w:cs="Times New Roman"/>
          <w:color w:val="000000" w:themeColor="text1"/>
          <w:sz w:val="24"/>
          <w:szCs w:val="24"/>
        </w:rPr>
        <w:t>to addressing gender bias in agricultural mechanics and prepare instructors with strategies to combat issues which may arise in their own classrooms. Allocating efforts to teacher agricultural mechanics competencies may also build confidence in young female instructors.</w:t>
      </w:r>
    </w:p>
    <w:p w14:paraId="7F0E70BD" w14:textId="6A6C241A" w:rsidR="3C192CC1" w:rsidRDefault="3C192CC1" w:rsidP="3C192CC1">
      <w:pPr>
        <w:spacing w:line="257" w:lineRule="auto"/>
        <w:jc w:val="center"/>
        <w:rPr>
          <w:rFonts w:ascii="Times New Roman" w:eastAsia="Times New Roman" w:hAnsi="Times New Roman" w:cs="Times New Roman"/>
          <w:b/>
          <w:bCs/>
          <w:color w:val="000000" w:themeColor="text1"/>
          <w:sz w:val="24"/>
          <w:szCs w:val="24"/>
        </w:rPr>
      </w:pPr>
      <w:r w:rsidRPr="3C192CC1">
        <w:rPr>
          <w:rFonts w:ascii="Times New Roman" w:eastAsia="Times New Roman" w:hAnsi="Times New Roman" w:cs="Times New Roman"/>
          <w:b/>
          <w:bCs/>
          <w:color w:val="000000" w:themeColor="text1"/>
          <w:sz w:val="24"/>
          <w:szCs w:val="24"/>
        </w:rPr>
        <w:lastRenderedPageBreak/>
        <w:t>References</w:t>
      </w:r>
    </w:p>
    <w:p w14:paraId="5B692E33" w14:textId="4FF271A0" w:rsidR="3C192CC1" w:rsidRDefault="3C192CC1" w:rsidP="3C192CC1">
      <w:pPr>
        <w:spacing w:line="240" w:lineRule="auto"/>
        <w:ind w:left="720" w:hanging="720"/>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Baker, D., &amp; Krause, S. (2007). How well do tinkering and technical activities connect engineering education standards with the engineering profession in today’s world? Proceedings of the 2007 ASEE Annual Conference &amp; Exposition American Society for Engineering Education, Honolulu, HI</w:t>
      </w:r>
    </w:p>
    <w:p w14:paraId="11CFAC22" w14:textId="1C5B2AD8" w:rsidR="3C192CC1" w:rsidRDefault="3C192CC1" w:rsidP="3C192CC1">
      <w:pPr>
        <w:spacing w:line="240" w:lineRule="auto"/>
        <w:ind w:left="720" w:hanging="720"/>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Bradley, H. R. (1971). A woman vocational agriculture teacher. The Agricultural Education Magazine, (44)2.</w:t>
      </w:r>
    </w:p>
    <w:p w14:paraId="74653CFF" w14:textId="2EE0DEF2" w:rsidR="3C192CC1" w:rsidRDefault="3C192CC1" w:rsidP="3C192CC1">
      <w:pPr>
        <w:spacing w:line="240" w:lineRule="auto"/>
        <w:ind w:left="720" w:hanging="720"/>
        <w:rPr>
          <w:rFonts w:ascii="Times New Roman" w:eastAsia="Times New Roman" w:hAnsi="Times New Roman" w:cs="Times New Roman"/>
          <w:color w:val="000000" w:themeColor="text1"/>
          <w:sz w:val="24"/>
          <w:szCs w:val="24"/>
        </w:rPr>
      </w:pPr>
      <w:proofErr w:type="spellStart"/>
      <w:r w:rsidRPr="3C192CC1">
        <w:rPr>
          <w:rFonts w:ascii="Times New Roman" w:eastAsia="Times New Roman" w:hAnsi="Times New Roman" w:cs="Times New Roman"/>
          <w:color w:val="000000" w:themeColor="text1"/>
          <w:sz w:val="24"/>
          <w:szCs w:val="24"/>
          <w:lang w:val="fr-FR"/>
        </w:rPr>
        <w:t>Crismond</w:t>
      </w:r>
      <w:proofErr w:type="spellEnd"/>
      <w:r w:rsidRPr="3C192CC1">
        <w:rPr>
          <w:rFonts w:ascii="Times New Roman" w:eastAsia="Times New Roman" w:hAnsi="Times New Roman" w:cs="Times New Roman"/>
          <w:color w:val="000000" w:themeColor="text1"/>
          <w:sz w:val="24"/>
          <w:szCs w:val="24"/>
          <w:lang w:val="fr-FR"/>
        </w:rPr>
        <w:t xml:space="preserve">, D. (2001). </w:t>
      </w:r>
      <w:r w:rsidRPr="3C192CC1">
        <w:rPr>
          <w:rFonts w:ascii="Times New Roman" w:eastAsia="Times New Roman" w:hAnsi="Times New Roman" w:cs="Times New Roman"/>
          <w:color w:val="000000" w:themeColor="text1"/>
          <w:sz w:val="24"/>
          <w:szCs w:val="24"/>
        </w:rPr>
        <w:t xml:space="preserve">Learning and using science ideas when doing investigate-and- redesign tasks: A study of naive, novice, and expert designers doing constrained and scaffolded design work. Journal of Research in Science Teaching, 38(7), 791-820. </w:t>
      </w:r>
      <w:hyperlink r:id="rId5">
        <w:r w:rsidRPr="3C192CC1">
          <w:rPr>
            <w:rStyle w:val="Hyperlink"/>
            <w:rFonts w:ascii="Times New Roman" w:eastAsia="Times New Roman" w:hAnsi="Times New Roman" w:cs="Times New Roman"/>
            <w:sz w:val="24"/>
            <w:szCs w:val="24"/>
          </w:rPr>
          <w:t>https://doi.org//002/tea.1032</w:t>
        </w:r>
      </w:hyperlink>
    </w:p>
    <w:p w14:paraId="066BEBD2" w14:textId="51E77E5F" w:rsidR="3C192CC1" w:rsidRDefault="3C192CC1" w:rsidP="3C192CC1">
      <w:pPr>
        <w:spacing w:line="240" w:lineRule="auto"/>
        <w:ind w:left="720" w:hanging="720"/>
        <w:rPr>
          <w:rFonts w:ascii="Times New Roman" w:eastAsia="Times New Roman" w:hAnsi="Times New Roman" w:cs="Times New Roman"/>
          <w:color w:val="000000" w:themeColor="text1"/>
          <w:sz w:val="24"/>
          <w:szCs w:val="24"/>
        </w:rPr>
      </w:pPr>
      <w:proofErr w:type="spellStart"/>
      <w:r w:rsidRPr="3C192CC1">
        <w:rPr>
          <w:rFonts w:ascii="Times New Roman" w:eastAsia="Times New Roman" w:hAnsi="Times New Roman" w:cs="Times New Roman"/>
          <w:color w:val="000000" w:themeColor="text1"/>
          <w:sz w:val="24"/>
          <w:szCs w:val="24"/>
        </w:rPr>
        <w:t>Eagly</w:t>
      </w:r>
      <w:proofErr w:type="spellEnd"/>
      <w:r w:rsidRPr="3C192CC1">
        <w:rPr>
          <w:rFonts w:ascii="Times New Roman" w:eastAsia="Times New Roman" w:hAnsi="Times New Roman" w:cs="Times New Roman"/>
          <w:color w:val="000000" w:themeColor="text1"/>
          <w:sz w:val="24"/>
          <w:szCs w:val="24"/>
        </w:rPr>
        <w:t xml:space="preserve">, A. H. (1987). </w:t>
      </w:r>
      <w:r w:rsidRPr="3C192CC1">
        <w:rPr>
          <w:rFonts w:ascii="Times New Roman" w:eastAsia="Times New Roman" w:hAnsi="Times New Roman" w:cs="Times New Roman"/>
          <w:i/>
          <w:iCs/>
          <w:color w:val="000000" w:themeColor="text1"/>
          <w:sz w:val="24"/>
          <w:szCs w:val="24"/>
        </w:rPr>
        <w:t>Sex Differences in Social Behavior: A Social-Role Interpretation</w:t>
      </w:r>
      <w:r w:rsidRPr="3C192CC1">
        <w:rPr>
          <w:rFonts w:ascii="Times New Roman" w:eastAsia="Times New Roman" w:hAnsi="Times New Roman" w:cs="Times New Roman"/>
          <w:color w:val="000000" w:themeColor="text1"/>
          <w:sz w:val="24"/>
          <w:szCs w:val="24"/>
        </w:rPr>
        <w:t xml:space="preserve">, Psychology Press. </w:t>
      </w:r>
      <w:hyperlink r:id="rId6">
        <w:r w:rsidRPr="3C192CC1">
          <w:rPr>
            <w:rStyle w:val="Hyperlink"/>
            <w:rFonts w:ascii="Times New Roman" w:eastAsia="Times New Roman" w:hAnsi="Times New Roman" w:cs="Times New Roman"/>
            <w:sz w:val="24"/>
            <w:szCs w:val="24"/>
          </w:rPr>
          <w:t>https://doi.org/10.4324/9780203781906</w:t>
        </w:r>
      </w:hyperlink>
    </w:p>
    <w:p w14:paraId="24355367" w14:textId="0EDA0B90" w:rsidR="3C192CC1" w:rsidRDefault="3C192CC1" w:rsidP="3C192CC1">
      <w:pPr>
        <w:spacing w:line="240" w:lineRule="auto"/>
        <w:ind w:left="720" w:hanging="720"/>
        <w:rPr>
          <w:rFonts w:ascii="Times New Roman" w:eastAsia="Times New Roman" w:hAnsi="Times New Roman" w:cs="Times New Roman"/>
          <w:color w:val="0563C1"/>
          <w:sz w:val="24"/>
          <w:szCs w:val="24"/>
        </w:rPr>
      </w:pPr>
      <w:proofErr w:type="spellStart"/>
      <w:r w:rsidRPr="3C192CC1">
        <w:rPr>
          <w:rFonts w:ascii="Times New Roman" w:eastAsia="Times New Roman" w:hAnsi="Times New Roman" w:cs="Times New Roman"/>
          <w:color w:val="000000" w:themeColor="text1"/>
          <w:sz w:val="24"/>
          <w:szCs w:val="24"/>
        </w:rPr>
        <w:t>Eagly</w:t>
      </w:r>
      <w:proofErr w:type="spellEnd"/>
      <w:r w:rsidRPr="3C192CC1">
        <w:rPr>
          <w:rFonts w:ascii="Times New Roman" w:eastAsia="Times New Roman" w:hAnsi="Times New Roman" w:cs="Times New Roman"/>
          <w:color w:val="000000" w:themeColor="text1"/>
          <w:sz w:val="24"/>
          <w:szCs w:val="24"/>
        </w:rPr>
        <w:t xml:space="preserve">, A.H., &amp; Karau, S.J. (2002). Role congruity theory of prejudice toward female leaders. </w:t>
      </w:r>
      <w:r w:rsidRPr="3C192CC1">
        <w:rPr>
          <w:rFonts w:ascii="Times New Roman" w:eastAsia="Times New Roman" w:hAnsi="Times New Roman" w:cs="Times New Roman"/>
          <w:i/>
          <w:iCs/>
          <w:color w:val="000000" w:themeColor="text1"/>
          <w:sz w:val="24"/>
          <w:szCs w:val="24"/>
        </w:rPr>
        <w:t>Psychological Review</w:t>
      </w:r>
      <w:r w:rsidRPr="3C192CC1">
        <w:rPr>
          <w:rFonts w:ascii="Times New Roman" w:eastAsia="Times New Roman" w:hAnsi="Times New Roman" w:cs="Times New Roman"/>
          <w:color w:val="000000" w:themeColor="text1"/>
          <w:sz w:val="24"/>
          <w:szCs w:val="24"/>
        </w:rPr>
        <w:t xml:space="preserve">, Vol. 109, 573-598.  </w:t>
      </w:r>
      <w:hyperlink r:id="rId7">
        <w:r w:rsidRPr="3C192CC1">
          <w:rPr>
            <w:rStyle w:val="Hyperlink"/>
            <w:rFonts w:ascii="Times New Roman" w:eastAsia="Times New Roman" w:hAnsi="Times New Roman" w:cs="Times New Roman"/>
            <w:sz w:val="24"/>
            <w:szCs w:val="24"/>
          </w:rPr>
          <w:t>https://doi.org/10.1037/0033-295X.109.3.573</w:t>
        </w:r>
      </w:hyperlink>
    </w:p>
    <w:p w14:paraId="1EF0F6AA" w14:textId="568AC42D" w:rsidR="3C192CC1" w:rsidRDefault="3C192CC1" w:rsidP="3C192CC1">
      <w:pPr>
        <w:ind w:left="720" w:hanging="720"/>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 xml:space="preserve">Eck, C. J., &amp; Edwards, M. C. (2019). Teacher shortage in school-based, agricultural education (SBAE): A historical review. </w:t>
      </w:r>
      <w:r w:rsidRPr="3C192CC1">
        <w:rPr>
          <w:rFonts w:ascii="Times New Roman" w:eastAsia="Times New Roman" w:hAnsi="Times New Roman" w:cs="Times New Roman"/>
          <w:i/>
          <w:iCs/>
          <w:color w:val="000000" w:themeColor="text1"/>
          <w:sz w:val="24"/>
          <w:szCs w:val="24"/>
        </w:rPr>
        <w:t>Journal of Agricultural Education, 60</w:t>
      </w:r>
      <w:r w:rsidRPr="3C192CC1">
        <w:rPr>
          <w:rFonts w:ascii="Times New Roman" w:eastAsia="Times New Roman" w:hAnsi="Times New Roman" w:cs="Times New Roman"/>
          <w:color w:val="000000" w:themeColor="text1"/>
          <w:sz w:val="24"/>
          <w:szCs w:val="24"/>
        </w:rPr>
        <w:t xml:space="preserve">(4), 223-239. </w:t>
      </w:r>
      <w:hyperlink r:id="rId8">
        <w:r w:rsidRPr="3C192CC1">
          <w:rPr>
            <w:rStyle w:val="Hyperlink"/>
            <w:rFonts w:ascii="Times New Roman" w:eastAsia="Times New Roman" w:hAnsi="Times New Roman" w:cs="Times New Roman"/>
            <w:sz w:val="24"/>
            <w:szCs w:val="24"/>
          </w:rPr>
          <w:t>https://doi.org/10.5032/jae.2019.04223</w:t>
        </w:r>
      </w:hyperlink>
    </w:p>
    <w:p w14:paraId="1FEA4983" w14:textId="28E3817F" w:rsidR="3C192CC1" w:rsidRPr="00BA79E8" w:rsidRDefault="3C192CC1" w:rsidP="00BA79E8">
      <w:pPr>
        <w:spacing w:beforeAutospacing="1" w:afterAutospacing="1" w:line="240" w:lineRule="auto"/>
        <w:ind w:left="720" w:hanging="720"/>
        <w:rPr>
          <w:rFonts w:ascii="Times New Roman" w:eastAsia="Times New Roman" w:hAnsi="Times New Roman" w:cs="Times New Roman"/>
          <w:color w:val="4471C4"/>
          <w:sz w:val="24"/>
          <w:szCs w:val="24"/>
        </w:rPr>
      </w:pPr>
      <w:r w:rsidRPr="3C192CC1">
        <w:rPr>
          <w:rFonts w:ascii="Times New Roman" w:eastAsia="Times New Roman" w:hAnsi="Times New Roman" w:cs="Times New Roman"/>
          <w:color w:val="000000" w:themeColor="text1"/>
          <w:sz w:val="24"/>
          <w:szCs w:val="24"/>
          <w:lang w:val="fr-FR"/>
        </w:rPr>
        <w:t xml:space="preserve">Fox, N. S., Brennan, J. S., &amp; Chasen, S. T. (2008). </w:t>
      </w:r>
      <w:r w:rsidRPr="3C192CC1">
        <w:rPr>
          <w:rFonts w:ascii="Times New Roman" w:eastAsia="Times New Roman" w:hAnsi="Times New Roman" w:cs="Times New Roman"/>
          <w:color w:val="000000" w:themeColor="text1"/>
          <w:sz w:val="24"/>
          <w:szCs w:val="24"/>
        </w:rPr>
        <w:t>Clinical estimation of fetal weight and the Hawthorne effect. </w:t>
      </w:r>
      <w:r w:rsidRPr="3C192CC1">
        <w:rPr>
          <w:rStyle w:val="Emphasis"/>
          <w:rFonts w:ascii="Times New Roman" w:eastAsia="Times New Roman" w:hAnsi="Times New Roman" w:cs="Times New Roman"/>
          <w:color w:val="000000" w:themeColor="text1"/>
          <w:sz w:val="24"/>
          <w:szCs w:val="24"/>
        </w:rPr>
        <w:t>European Journal of Obstetrics &amp; Gynecology and Reproductive Biology, 141</w:t>
      </w:r>
      <w:r w:rsidRPr="3C192CC1">
        <w:rPr>
          <w:rFonts w:ascii="Times New Roman" w:eastAsia="Times New Roman" w:hAnsi="Times New Roman" w:cs="Times New Roman"/>
          <w:color w:val="000000" w:themeColor="text1"/>
          <w:sz w:val="24"/>
          <w:szCs w:val="24"/>
        </w:rPr>
        <w:t xml:space="preserve">(2), 111-114. </w:t>
      </w:r>
      <w:r w:rsidRPr="3C192CC1">
        <w:rPr>
          <w:rFonts w:ascii="Times New Roman" w:eastAsia="Times New Roman" w:hAnsi="Times New Roman" w:cs="Times New Roman"/>
          <w:color w:val="2F5496" w:themeColor="accent1" w:themeShade="BF"/>
          <w:sz w:val="24"/>
          <w:szCs w:val="24"/>
        </w:rPr>
        <w:t>https.//doi.org/</w:t>
      </w:r>
      <w:hyperlink r:id="rId9">
        <w:r w:rsidRPr="3C192CC1">
          <w:rPr>
            <w:rStyle w:val="Hyperlink"/>
            <w:rFonts w:ascii="Times New Roman" w:eastAsia="Times New Roman" w:hAnsi="Times New Roman" w:cs="Times New Roman"/>
            <w:sz w:val="24"/>
            <w:szCs w:val="24"/>
          </w:rPr>
          <w:t>10.1016/j.ejogrb.2008.07.023</w:t>
        </w:r>
      </w:hyperlink>
    </w:p>
    <w:p w14:paraId="652A78D0" w14:textId="4663AA43" w:rsidR="3C192CC1" w:rsidRDefault="3C192CC1" w:rsidP="3C192CC1">
      <w:pPr>
        <w:spacing w:line="240" w:lineRule="auto"/>
        <w:ind w:left="720" w:hanging="720"/>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 xml:space="preserve">Gabriel, P. E., &amp; Schmitz, S. (2007). Gender differences in occupational distributions among workers. </w:t>
      </w:r>
      <w:r w:rsidRPr="3C192CC1">
        <w:rPr>
          <w:rFonts w:ascii="Times New Roman" w:eastAsia="Times New Roman" w:hAnsi="Times New Roman" w:cs="Times New Roman"/>
          <w:i/>
          <w:iCs/>
          <w:color w:val="000000" w:themeColor="text1"/>
          <w:sz w:val="24"/>
          <w:szCs w:val="24"/>
        </w:rPr>
        <w:t>Monthly Labor Review</w:t>
      </w:r>
      <w:r w:rsidRPr="3C192CC1">
        <w:rPr>
          <w:rFonts w:ascii="Times New Roman" w:eastAsia="Times New Roman" w:hAnsi="Times New Roman" w:cs="Times New Roman"/>
          <w:color w:val="000000" w:themeColor="text1"/>
          <w:sz w:val="24"/>
          <w:szCs w:val="24"/>
        </w:rPr>
        <w:t xml:space="preserve">, </w:t>
      </w:r>
      <w:r w:rsidRPr="3C192CC1">
        <w:rPr>
          <w:rFonts w:ascii="Times New Roman" w:eastAsia="Times New Roman" w:hAnsi="Times New Roman" w:cs="Times New Roman"/>
          <w:i/>
          <w:iCs/>
          <w:color w:val="000000" w:themeColor="text1"/>
          <w:sz w:val="24"/>
          <w:szCs w:val="24"/>
        </w:rPr>
        <w:t>130</w:t>
      </w:r>
      <w:r w:rsidRPr="3C192CC1">
        <w:rPr>
          <w:rFonts w:ascii="Times New Roman" w:eastAsia="Times New Roman" w:hAnsi="Times New Roman" w:cs="Times New Roman"/>
          <w:color w:val="000000" w:themeColor="text1"/>
          <w:sz w:val="24"/>
          <w:szCs w:val="24"/>
        </w:rPr>
        <w:t xml:space="preserve">(6), 19–24. </w:t>
      </w:r>
      <w:hyperlink r:id="rId10">
        <w:r w:rsidRPr="3C192CC1">
          <w:rPr>
            <w:rStyle w:val="Hyperlink"/>
            <w:rFonts w:ascii="Times New Roman" w:eastAsia="Times New Roman" w:hAnsi="Times New Roman" w:cs="Times New Roman"/>
            <w:sz w:val="24"/>
            <w:szCs w:val="24"/>
          </w:rPr>
          <w:t>http://www.jstor.org/stable/23806779</w:t>
        </w:r>
      </w:hyperlink>
      <w:r w:rsidRPr="3C192CC1">
        <w:rPr>
          <w:rFonts w:ascii="Times New Roman" w:eastAsia="Times New Roman" w:hAnsi="Times New Roman" w:cs="Times New Roman"/>
          <w:color w:val="000000" w:themeColor="text1"/>
          <w:sz w:val="24"/>
          <w:szCs w:val="24"/>
        </w:rPr>
        <w:t xml:space="preserve"> </w:t>
      </w:r>
    </w:p>
    <w:p w14:paraId="113049C1" w14:textId="1654AEDA" w:rsidR="3C192CC1" w:rsidRDefault="3C192CC1" w:rsidP="3C192CC1">
      <w:pPr>
        <w:spacing w:line="240" w:lineRule="auto"/>
        <w:ind w:left="567" w:hanging="567"/>
        <w:rPr>
          <w:rFonts w:ascii="Calibri" w:eastAsia="Calibri" w:hAnsi="Calibri" w:cs="Calibri"/>
          <w:color w:val="000000" w:themeColor="text1"/>
        </w:rPr>
      </w:pPr>
      <w:proofErr w:type="spellStart"/>
      <w:r w:rsidRPr="3C192CC1">
        <w:rPr>
          <w:rFonts w:ascii="Times New Roman" w:eastAsia="Times New Roman" w:hAnsi="Times New Roman" w:cs="Times New Roman"/>
          <w:color w:val="000000" w:themeColor="text1"/>
          <w:sz w:val="24"/>
          <w:szCs w:val="24"/>
        </w:rPr>
        <w:t>Karakowsky</w:t>
      </w:r>
      <w:proofErr w:type="spellEnd"/>
      <w:r w:rsidRPr="3C192CC1">
        <w:rPr>
          <w:rFonts w:ascii="Times New Roman" w:eastAsia="Times New Roman" w:hAnsi="Times New Roman" w:cs="Times New Roman"/>
          <w:color w:val="000000" w:themeColor="text1"/>
          <w:sz w:val="24"/>
          <w:szCs w:val="24"/>
        </w:rPr>
        <w:t xml:space="preserve">, L., </w:t>
      </w:r>
      <w:proofErr w:type="spellStart"/>
      <w:r w:rsidRPr="3C192CC1">
        <w:rPr>
          <w:rFonts w:ascii="Times New Roman" w:eastAsia="Times New Roman" w:hAnsi="Times New Roman" w:cs="Times New Roman"/>
          <w:color w:val="000000" w:themeColor="text1"/>
          <w:sz w:val="24"/>
          <w:szCs w:val="24"/>
        </w:rPr>
        <w:t>DeGama</w:t>
      </w:r>
      <w:proofErr w:type="spellEnd"/>
      <w:r w:rsidRPr="3C192CC1">
        <w:rPr>
          <w:rFonts w:ascii="Times New Roman" w:eastAsia="Times New Roman" w:hAnsi="Times New Roman" w:cs="Times New Roman"/>
          <w:color w:val="000000" w:themeColor="text1"/>
          <w:sz w:val="24"/>
          <w:szCs w:val="24"/>
        </w:rPr>
        <w:t xml:space="preserve">, N., &amp; </w:t>
      </w:r>
      <w:proofErr w:type="spellStart"/>
      <w:r w:rsidRPr="3C192CC1">
        <w:rPr>
          <w:rFonts w:ascii="Times New Roman" w:eastAsia="Times New Roman" w:hAnsi="Times New Roman" w:cs="Times New Roman"/>
          <w:color w:val="000000" w:themeColor="text1"/>
          <w:sz w:val="24"/>
          <w:szCs w:val="24"/>
        </w:rPr>
        <w:t>McBey</w:t>
      </w:r>
      <w:proofErr w:type="spellEnd"/>
      <w:r w:rsidRPr="3C192CC1">
        <w:rPr>
          <w:rFonts w:ascii="Times New Roman" w:eastAsia="Times New Roman" w:hAnsi="Times New Roman" w:cs="Times New Roman"/>
          <w:color w:val="000000" w:themeColor="text1"/>
          <w:sz w:val="24"/>
          <w:szCs w:val="24"/>
        </w:rPr>
        <w:t xml:space="preserve">, K. (2016). Deconstructing Higgins: gender bias in the Pygmalion phenomenon. </w:t>
      </w:r>
      <w:hyperlink r:id="rId11">
        <w:r w:rsidRPr="3C192CC1">
          <w:rPr>
            <w:rStyle w:val="Hyperlink"/>
            <w:rFonts w:ascii="Times New Roman" w:eastAsia="Times New Roman" w:hAnsi="Times New Roman" w:cs="Times New Roman"/>
            <w:i/>
            <w:iCs/>
            <w:sz w:val="24"/>
            <w:szCs w:val="24"/>
          </w:rPr>
          <w:t>Gender in Management</w:t>
        </w:r>
      </w:hyperlink>
      <w:r w:rsidRPr="3C192CC1">
        <w:rPr>
          <w:rFonts w:ascii="Times New Roman" w:eastAsia="Times New Roman" w:hAnsi="Times New Roman" w:cs="Times New Roman"/>
          <w:color w:val="000000" w:themeColor="text1"/>
          <w:sz w:val="24"/>
          <w:szCs w:val="24"/>
        </w:rPr>
        <w:t xml:space="preserve">, Vol. 32 No. 1, 2-18. </w:t>
      </w:r>
      <w:hyperlink r:id="rId12">
        <w:r w:rsidRPr="3C192CC1">
          <w:rPr>
            <w:rStyle w:val="Hyperlink"/>
            <w:rFonts w:ascii="Times New Roman" w:eastAsia="Times New Roman" w:hAnsi="Times New Roman" w:cs="Times New Roman"/>
            <w:sz w:val="24"/>
            <w:szCs w:val="24"/>
          </w:rPr>
          <w:t>https://doi.org/10.1108/GM-04-2015-0040</w:t>
        </w:r>
      </w:hyperlink>
    </w:p>
    <w:p w14:paraId="51252125" w14:textId="31D4E63B" w:rsidR="3C192CC1" w:rsidRDefault="3C192CC1" w:rsidP="3C192CC1">
      <w:pPr>
        <w:spacing w:line="240" w:lineRule="auto"/>
        <w:ind w:left="567" w:hanging="567"/>
        <w:rPr>
          <w:rFonts w:ascii="Times New Roman" w:eastAsia="Times New Roman" w:hAnsi="Times New Roman" w:cs="Times New Roman"/>
          <w:color w:val="000000" w:themeColor="text1"/>
          <w:sz w:val="24"/>
          <w:szCs w:val="24"/>
        </w:rPr>
      </w:pPr>
      <w:proofErr w:type="spellStart"/>
      <w:r w:rsidRPr="3C192CC1">
        <w:rPr>
          <w:rFonts w:ascii="Times New Roman" w:eastAsia="Times New Roman" w:hAnsi="Times New Roman" w:cs="Times New Roman"/>
          <w:color w:val="000000" w:themeColor="text1"/>
          <w:sz w:val="24"/>
          <w:szCs w:val="24"/>
        </w:rPr>
        <w:t>Karakowsky</w:t>
      </w:r>
      <w:proofErr w:type="spellEnd"/>
      <w:r w:rsidRPr="3C192CC1">
        <w:rPr>
          <w:rFonts w:ascii="Times New Roman" w:eastAsia="Times New Roman" w:hAnsi="Times New Roman" w:cs="Times New Roman"/>
          <w:color w:val="000000" w:themeColor="text1"/>
          <w:sz w:val="24"/>
          <w:szCs w:val="24"/>
        </w:rPr>
        <w:t xml:space="preserve">, L., </w:t>
      </w:r>
      <w:proofErr w:type="spellStart"/>
      <w:r w:rsidRPr="3C192CC1">
        <w:rPr>
          <w:rFonts w:ascii="Times New Roman" w:eastAsia="Times New Roman" w:hAnsi="Times New Roman" w:cs="Times New Roman"/>
          <w:color w:val="000000" w:themeColor="text1"/>
          <w:sz w:val="24"/>
          <w:szCs w:val="24"/>
        </w:rPr>
        <w:t>DeGama</w:t>
      </w:r>
      <w:proofErr w:type="spellEnd"/>
      <w:r w:rsidRPr="3C192CC1">
        <w:rPr>
          <w:rFonts w:ascii="Times New Roman" w:eastAsia="Times New Roman" w:hAnsi="Times New Roman" w:cs="Times New Roman"/>
          <w:color w:val="000000" w:themeColor="text1"/>
          <w:sz w:val="24"/>
          <w:szCs w:val="24"/>
        </w:rPr>
        <w:t xml:space="preserve">, N. and </w:t>
      </w:r>
      <w:proofErr w:type="spellStart"/>
      <w:r w:rsidRPr="3C192CC1">
        <w:rPr>
          <w:rFonts w:ascii="Times New Roman" w:eastAsia="Times New Roman" w:hAnsi="Times New Roman" w:cs="Times New Roman"/>
          <w:color w:val="000000" w:themeColor="text1"/>
          <w:sz w:val="24"/>
          <w:szCs w:val="24"/>
        </w:rPr>
        <w:t>McBey</w:t>
      </w:r>
      <w:proofErr w:type="spellEnd"/>
      <w:r w:rsidRPr="3C192CC1">
        <w:rPr>
          <w:rFonts w:ascii="Times New Roman" w:eastAsia="Times New Roman" w:hAnsi="Times New Roman" w:cs="Times New Roman"/>
          <w:color w:val="000000" w:themeColor="text1"/>
          <w:sz w:val="24"/>
          <w:szCs w:val="24"/>
        </w:rPr>
        <w:t xml:space="preserve">, K. (2012). Facilitating the Pygmalion effect: the overlooked role of subordinate perceptions of the leader. </w:t>
      </w:r>
      <w:r w:rsidRPr="3C192CC1">
        <w:rPr>
          <w:rFonts w:ascii="Times New Roman" w:eastAsia="Times New Roman" w:hAnsi="Times New Roman" w:cs="Times New Roman"/>
          <w:i/>
          <w:iCs/>
          <w:color w:val="000000" w:themeColor="text1"/>
          <w:sz w:val="24"/>
          <w:szCs w:val="24"/>
        </w:rPr>
        <w:t xml:space="preserve">Journal of Occupational and Organizational Psychology. 85 </w:t>
      </w:r>
      <w:r w:rsidRPr="3C192CC1">
        <w:rPr>
          <w:rFonts w:ascii="Times New Roman" w:eastAsia="Times New Roman" w:hAnsi="Times New Roman" w:cs="Times New Roman"/>
          <w:color w:val="000000" w:themeColor="text1"/>
          <w:sz w:val="24"/>
          <w:szCs w:val="24"/>
        </w:rPr>
        <w:t>579-599.</w:t>
      </w:r>
    </w:p>
    <w:p w14:paraId="738CBFC7" w14:textId="5AA5FF43" w:rsidR="3C192CC1" w:rsidRDefault="3C192CC1" w:rsidP="3C192CC1">
      <w:pPr>
        <w:spacing w:line="240" w:lineRule="auto"/>
        <w:ind w:left="567" w:hanging="567"/>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 xml:space="preserve">Kelsey K. D. (2006). Teacher attrition among women in secondary agricultural education. </w:t>
      </w:r>
      <w:r w:rsidRPr="3C192CC1">
        <w:rPr>
          <w:rFonts w:ascii="Times New Roman" w:eastAsia="Times New Roman" w:hAnsi="Times New Roman" w:cs="Times New Roman"/>
          <w:i/>
          <w:iCs/>
          <w:color w:val="000000" w:themeColor="text1"/>
          <w:sz w:val="24"/>
          <w:szCs w:val="24"/>
        </w:rPr>
        <w:t xml:space="preserve">Journal of agricultural education, </w:t>
      </w:r>
      <w:r w:rsidRPr="3C192CC1">
        <w:rPr>
          <w:rFonts w:ascii="Times New Roman" w:eastAsia="Times New Roman" w:hAnsi="Times New Roman" w:cs="Times New Roman"/>
          <w:color w:val="000000" w:themeColor="text1"/>
          <w:sz w:val="24"/>
          <w:szCs w:val="24"/>
        </w:rPr>
        <w:t xml:space="preserve">47(3) 117-129 </w:t>
      </w:r>
      <w:hyperlink r:id="rId13">
        <w:r w:rsidRPr="3C192CC1">
          <w:rPr>
            <w:rStyle w:val="Hyperlink"/>
            <w:rFonts w:ascii="Times New Roman" w:eastAsia="Times New Roman" w:hAnsi="Times New Roman" w:cs="Times New Roman"/>
            <w:sz w:val="24"/>
            <w:szCs w:val="24"/>
          </w:rPr>
          <w:t>https://doi.org/10.5032/jae.2006.03117</w:t>
        </w:r>
      </w:hyperlink>
      <w:r w:rsidRPr="3C192CC1">
        <w:rPr>
          <w:rFonts w:ascii="Times New Roman" w:eastAsia="Times New Roman" w:hAnsi="Times New Roman" w:cs="Times New Roman"/>
          <w:color w:val="000000" w:themeColor="text1"/>
          <w:sz w:val="24"/>
          <w:szCs w:val="24"/>
        </w:rPr>
        <w:t xml:space="preserve"> </w:t>
      </w:r>
    </w:p>
    <w:p w14:paraId="691433BD" w14:textId="7D0E2D04" w:rsidR="3C192CC1" w:rsidRDefault="3C192CC1" w:rsidP="3C192CC1">
      <w:pPr>
        <w:spacing w:line="240" w:lineRule="auto"/>
        <w:ind w:left="720" w:hanging="720"/>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 xml:space="preserve">Kelsey K.D. (2007). Overcoming gender bias with self-efficacy: A case study of women agricultural education teachers and preservice students. </w:t>
      </w:r>
      <w:r w:rsidRPr="3C192CC1">
        <w:rPr>
          <w:rFonts w:ascii="Times New Roman" w:eastAsia="Times New Roman" w:hAnsi="Times New Roman" w:cs="Times New Roman"/>
          <w:i/>
          <w:iCs/>
          <w:color w:val="000000" w:themeColor="text1"/>
          <w:sz w:val="24"/>
          <w:szCs w:val="24"/>
        </w:rPr>
        <w:t xml:space="preserve">Journal of agricultural education, </w:t>
      </w:r>
      <w:r w:rsidRPr="3C192CC1">
        <w:rPr>
          <w:rFonts w:ascii="Times New Roman" w:eastAsia="Times New Roman" w:hAnsi="Times New Roman" w:cs="Times New Roman"/>
          <w:color w:val="000000" w:themeColor="text1"/>
          <w:sz w:val="24"/>
          <w:szCs w:val="24"/>
        </w:rPr>
        <w:t xml:space="preserve">48(1) 52-63 </w:t>
      </w:r>
      <w:hyperlink r:id="rId14">
        <w:r w:rsidRPr="3C192CC1">
          <w:rPr>
            <w:rStyle w:val="Hyperlink"/>
            <w:rFonts w:ascii="Times New Roman" w:eastAsia="Times New Roman" w:hAnsi="Times New Roman" w:cs="Times New Roman"/>
            <w:sz w:val="24"/>
            <w:szCs w:val="24"/>
          </w:rPr>
          <w:t>https://doi.org/10.5032/jae.2007.01052</w:t>
        </w:r>
      </w:hyperlink>
    </w:p>
    <w:p w14:paraId="76BFE63F" w14:textId="0B689A5F" w:rsidR="3C192CC1" w:rsidRDefault="3C192CC1" w:rsidP="3C192CC1">
      <w:pPr>
        <w:pStyle w:val="RefListing"/>
        <w:ind w:left="720" w:hanging="720"/>
        <w:rPr>
          <w:color w:val="000000" w:themeColor="text1"/>
          <w:sz w:val="24"/>
          <w:szCs w:val="24"/>
        </w:rPr>
      </w:pPr>
      <w:r w:rsidRPr="3C192CC1">
        <w:rPr>
          <w:color w:val="000000" w:themeColor="text1"/>
          <w:sz w:val="24"/>
          <w:szCs w:val="24"/>
        </w:rPr>
        <w:t xml:space="preserve">Knight, J. (1987). </w:t>
      </w:r>
      <w:proofErr w:type="gramStart"/>
      <w:r w:rsidRPr="3C192CC1">
        <w:rPr>
          <w:color w:val="000000" w:themeColor="text1"/>
          <w:sz w:val="24"/>
          <w:szCs w:val="24"/>
        </w:rPr>
        <w:t>Current status</w:t>
      </w:r>
      <w:proofErr w:type="gramEnd"/>
      <w:r w:rsidRPr="3C192CC1">
        <w:rPr>
          <w:color w:val="000000" w:themeColor="text1"/>
          <w:sz w:val="24"/>
          <w:szCs w:val="24"/>
        </w:rPr>
        <w:t xml:space="preserve"> of women teachers of vocational agriculture in Ohio and their perception of their place in the profession. Proceedings of the National Agricultural Education Research Meeting. 223-236.</w:t>
      </w:r>
    </w:p>
    <w:p w14:paraId="13A0E995" w14:textId="2BC03C4F" w:rsidR="3C192CC1" w:rsidRPr="00BA79E8" w:rsidRDefault="3C192CC1" w:rsidP="00BA79E8">
      <w:pPr>
        <w:spacing w:beforeAutospacing="1" w:afterAutospacing="1" w:line="240" w:lineRule="auto"/>
        <w:ind w:left="720" w:hanging="720"/>
        <w:rPr>
          <w:rFonts w:ascii="Times New Roman" w:eastAsia="Times New Roman" w:hAnsi="Times New Roman" w:cs="Times New Roman"/>
          <w:color w:val="333333"/>
          <w:sz w:val="24"/>
          <w:szCs w:val="24"/>
        </w:rPr>
      </w:pPr>
      <w:proofErr w:type="spellStart"/>
      <w:r w:rsidRPr="3C192CC1">
        <w:rPr>
          <w:rFonts w:ascii="Times New Roman" w:eastAsia="Times New Roman" w:hAnsi="Times New Roman" w:cs="Times New Roman"/>
          <w:color w:val="212121"/>
          <w:sz w:val="24"/>
          <w:szCs w:val="24"/>
        </w:rPr>
        <w:lastRenderedPageBreak/>
        <w:t>MacNell</w:t>
      </w:r>
      <w:proofErr w:type="spellEnd"/>
      <w:r w:rsidRPr="3C192CC1">
        <w:rPr>
          <w:rFonts w:ascii="Times New Roman" w:eastAsia="Times New Roman" w:hAnsi="Times New Roman" w:cs="Times New Roman"/>
          <w:color w:val="212121"/>
          <w:sz w:val="24"/>
          <w:szCs w:val="24"/>
        </w:rPr>
        <w:t xml:space="preserve">, L., Driscoll, A., Hunt, A. (2015) What’s in a Name: Exposing Gender Bias in Student Ratings of Teaching. </w:t>
      </w:r>
      <w:r w:rsidRPr="3C192CC1">
        <w:rPr>
          <w:rFonts w:ascii="Times New Roman" w:eastAsia="Times New Roman" w:hAnsi="Times New Roman" w:cs="Times New Roman"/>
          <w:i/>
          <w:iCs/>
          <w:color w:val="212121"/>
          <w:sz w:val="24"/>
          <w:szCs w:val="24"/>
        </w:rPr>
        <w:t>Innovative Higher Education,</w:t>
      </w:r>
      <w:r w:rsidRPr="3C192CC1">
        <w:rPr>
          <w:rFonts w:ascii="Times New Roman" w:eastAsia="Times New Roman" w:hAnsi="Times New Roman" w:cs="Times New Roman"/>
          <w:color w:val="212121"/>
          <w:sz w:val="24"/>
          <w:szCs w:val="24"/>
        </w:rPr>
        <w:t xml:space="preserve"> 40, 291-30 </w:t>
      </w:r>
      <w:hyperlink r:id="rId15">
        <w:r w:rsidRPr="3C192CC1">
          <w:rPr>
            <w:rStyle w:val="Hyperlink"/>
            <w:rFonts w:ascii="Times New Roman" w:eastAsia="Times New Roman" w:hAnsi="Times New Roman" w:cs="Times New Roman"/>
            <w:sz w:val="24"/>
            <w:szCs w:val="24"/>
          </w:rPr>
          <w:t>https://doi.org/10.1007/s10755-014-9313-4</w:t>
        </w:r>
      </w:hyperlink>
    </w:p>
    <w:p w14:paraId="4E98A70F" w14:textId="749096DE" w:rsidR="3C192CC1" w:rsidRDefault="3C192CC1" w:rsidP="3C192CC1">
      <w:pPr>
        <w:spacing w:line="240" w:lineRule="auto"/>
        <w:ind w:left="720" w:hanging="720"/>
        <w:rPr>
          <w:rFonts w:ascii="Times New Roman" w:eastAsia="Times New Roman" w:hAnsi="Times New Roman" w:cs="Times New Roman"/>
          <w:color w:val="4471C4"/>
          <w:sz w:val="24"/>
          <w:szCs w:val="24"/>
        </w:rPr>
      </w:pPr>
      <w:r w:rsidRPr="3C192CC1">
        <w:rPr>
          <w:rFonts w:ascii="Times New Roman" w:eastAsia="Times New Roman" w:hAnsi="Times New Roman" w:cs="Times New Roman"/>
          <w:color w:val="000000" w:themeColor="text1"/>
          <w:sz w:val="24"/>
          <w:szCs w:val="24"/>
        </w:rPr>
        <w:t xml:space="preserve">Merton, R.K. (1948). The self-fulfilling prophecy, </w:t>
      </w:r>
      <w:r w:rsidRPr="3C192CC1">
        <w:rPr>
          <w:rFonts w:ascii="Times New Roman" w:eastAsia="Times New Roman" w:hAnsi="Times New Roman" w:cs="Times New Roman"/>
          <w:i/>
          <w:iCs/>
          <w:color w:val="000000" w:themeColor="text1"/>
          <w:sz w:val="24"/>
          <w:szCs w:val="24"/>
        </w:rPr>
        <w:t>Antioch Review</w:t>
      </w:r>
      <w:r w:rsidRPr="3C192CC1">
        <w:rPr>
          <w:rFonts w:ascii="Times New Roman" w:eastAsia="Times New Roman" w:hAnsi="Times New Roman" w:cs="Times New Roman"/>
          <w:color w:val="000000" w:themeColor="text1"/>
          <w:sz w:val="24"/>
          <w:szCs w:val="24"/>
        </w:rPr>
        <w:t xml:space="preserve">, Vol. 8, 193-210. </w:t>
      </w:r>
      <w:hyperlink r:id="rId16">
        <w:r w:rsidRPr="3C192CC1">
          <w:rPr>
            <w:rStyle w:val="Hyperlink"/>
            <w:rFonts w:ascii="Times New Roman" w:eastAsia="Times New Roman" w:hAnsi="Times New Roman" w:cs="Times New Roman"/>
            <w:sz w:val="24"/>
            <w:szCs w:val="24"/>
          </w:rPr>
          <w:t>https://doi.org/10.2307/4609267</w:t>
        </w:r>
      </w:hyperlink>
    </w:p>
    <w:p w14:paraId="574BABFB" w14:textId="08DDEFFD" w:rsidR="3C192CC1" w:rsidRDefault="3C192CC1" w:rsidP="3C192CC1">
      <w:pPr>
        <w:spacing w:line="240" w:lineRule="auto"/>
        <w:ind w:left="720" w:hanging="720"/>
        <w:rPr>
          <w:rStyle w:val="Hyperlink"/>
          <w:rFonts w:ascii="Times New Roman" w:eastAsia="Times New Roman" w:hAnsi="Times New Roman" w:cs="Times New Roman"/>
          <w:sz w:val="24"/>
          <w:szCs w:val="24"/>
        </w:rPr>
      </w:pPr>
      <w:r w:rsidRPr="3C192CC1">
        <w:rPr>
          <w:rFonts w:ascii="Times New Roman" w:eastAsia="Times New Roman" w:hAnsi="Times New Roman" w:cs="Times New Roman"/>
          <w:color w:val="000000" w:themeColor="text1"/>
          <w:sz w:val="24"/>
          <w:szCs w:val="24"/>
        </w:rPr>
        <w:t xml:space="preserve">Mitchell, K., &amp; Martin, J. (2018). Gender Bias in Student Evaluations. </w:t>
      </w:r>
      <w:r w:rsidRPr="3C192CC1">
        <w:rPr>
          <w:rFonts w:ascii="Times New Roman" w:eastAsia="Times New Roman" w:hAnsi="Times New Roman" w:cs="Times New Roman"/>
          <w:i/>
          <w:iCs/>
          <w:color w:val="000000" w:themeColor="text1"/>
          <w:sz w:val="24"/>
          <w:szCs w:val="24"/>
        </w:rPr>
        <w:t>PS: Political Science&amp; Politics,</w:t>
      </w:r>
      <w:r w:rsidRPr="3C192CC1">
        <w:rPr>
          <w:rFonts w:ascii="Times New Roman" w:eastAsia="Times New Roman" w:hAnsi="Times New Roman" w:cs="Times New Roman"/>
          <w:color w:val="000000" w:themeColor="text1"/>
          <w:sz w:val="24"/>
          <w:szCs w:val="24"/>
        </w:rPr>
        <w:t xml:space="preserve"> </w:t>
      </w:r>
      <w:r w:rsidRPr="3C192CC1">
        <w:rPr>
          <w:rFonts w:ascii="Times New Roman" w:eastAsia="Times New Roman" w:hAnsi="Times New Roman" w:cs="Times New Roman"/>
          <w:i/>
          <w:iCs/>
          <w:color w:val="000000" w:themeColor="text1"/>
          <w:sz w:val="24"/>
          <w:szCs w:val="24"/>
        </w:rPr>
        <w:t>51</w:t>
      </w:r>
      <w:r w:rsidRPr="3C192CC1">
        <w:rPr>
          <w:rFonts w:ascii="Times New Roman" w:eastAsia="Times New Roman" w:hAnsi="Times New Roman" w:cs="Times New Roman"/>
          <w:color w:val="000000" w:themeColor="text1"/>
          <w:sz w:val="24"/>
          <w:szCs w:val="24"/>
        </w:rPr>
        <w:t xml:space="preserve">(3), 648-652. </w:t>
      </w:r>
      <w:r w:rsidR="00042F90" w:rsidRPr="00314D29">
        <w:rPr>
          <w:rStyle w:val="Hyperlink"/>
          <w:rFonts w:ascii="Times New Roman" w:eastAsia="Times New Roman" w:hAnsi="Times New Roman" w:cs="Times New Roman"/>
          <w:sz w:val="24"/>
          <w:szCs w:val="24"/>
        </w:rPr>
        <w:t>https://doi:10.1017/S104909651800001X</w:t>
      </w:r>
    </w:p>
    <w:p w14:paraId="754445B2" w14:textId="13DEBAD0" w:rsidR="00042F90" w:rsidRPr="00042F90" w:rsidRDefault="00042F90" w:rsidP="00042F90">
      <w:pPr>
        <w:ind w:left="720" w:hanging="720"/>
        <w:rPr>
          <w:rFonts w:ascii="Times New Roman" w:hAnsi="Times New Roman" w:cs="Times New Roman"/>
          <w:sz w:val="24"/>
          <w:szCs w:val="24"/>
        </w:rPr>
      </w:pPr>
      <w:r w:rsidRPr="00042F90">
        <w:rPr>
          <w:rFonts w:ascii="Times New Roman" w:hAnsi="Times New Roman" w:cs="Times New Roman"/>
          <w:sz w:val="24"/>
          <w:szCs w:val="24"/>
        </w:rPr>
        <w:t>Sallee, C. W., Edgar, D. W., &amp; Johnson, D. M. (2013). Student Perceptions of Instructional Methods towards Alternative Energy Education. </w:t>
      </w:r>
      <w:r w:rsidRPr="00042F90">
        <w:rPr>
          <w:rFonts w:ascii="Times New Roman" w:hAnsi="Times New Roman" w:cs="Times New Roman"/>
          <w:i/>
          <w:iCs/>
          <w:sz w:val="24"/>
          <w:szCs w:val="24"/>
        </w:rPr>
        <w:t>Journal of Agricultural Education</w:t>
      </w:r>
      <w:r w:rsidRPr="00042F90">
        <w:rPr>
          <w:rFonts w:ascii="Times New Roman" w:hAnsi="Times New Roman" w:cs="Times New Roman"/>
          <w:sz w:val="24"/>
          <w:szCs w:val="24"/>
        </w:rPr>
        <w:t>, </w:t>
      </w:r>
      <w:r w:rsidRPr="00042F90">
        <w:rPr>
          <w:rFonts w:ascii="Times New Roman" w:hAnsi="Times New Roman" w:cs="Times New Roman"/>
          <w:i/>
          <w:iCs/>
          <w:sz w:val="24"/>
          <w:szCs w:val="24"/>
        </w:rPr>
        <w:t>54</w:t>
      </w:r>
      <w:r w:rsidRPr="00042F90">
        <w:rPr>
          <w:rFonts w:ascii="Times New Roman" w:hAnsi="Times New Roman" w:cs="Times New Roman"/>
          <w:sz w:val="24"/>
          <w:szCs w:val="24"/>
        </w:rPr>
        <w:t>(2), 130-142.</w:t>
      </w:r>
    </w:p>
    <w:p w14:paraId="5BE4F511" w14:textId="7A1A0A75" w:rsidR="3C192CC1" w:rsidRDefault="3C192CC1" w:rsidP="3C192CC1">
      <w:pPr>
        <w:pStyle w:val="RefListing"/>
        <w:ind w:left="720" w:hanging="720"/>
        <w:rPr>
          <w:color w:val="000000" w:themeColor="text1"/>
        </w:rPr>
      </w:pPr>
      <w:r w:rsidRPr="3C192CC1">
        <w:rPr>
          <w:color w:val="000000" w:themeColor="text1"/>
          <w:sz w:val="24"/>
          <w:szCs w:val="24"/>
        </w:rPr>
        <w:t xml:space="preserve">Saucier, P. R., &amp; McKim, B. R. (2011). Assessing the Learning Needs of Student Teachers in Texas regarding Management of the Agricultural Mechanics Laboratory: Implications for the Professional Development of Early Career Teachers in Agricultural Education. </w:t>
      </w:r>
      <w:r w:rsidRPr="3C192CC1">
        <w:rPr>
          <w:i/>
          <w:iCs/>
          <w:color w:val="000000" w:themeColor="text1"/>
          <w:sz w:val="24"/>
          <w:szCs w:val="24"/>
        </w:rPr>
        <w:t>Journal of Agricultural Education</w:t>
      </w:r>
      <w:r w:rsidRPr="3C192CC1">
        <w:rPr>
          <w:color w:val="000000" w:themeColor="text1"/>
          <w:sz w:val="24"/>
          <w:szCs w:val="24"/>
        </w:rPr>
        <w:t xml:space="preserve">, 52(4), 24-43. </w:t>
      </w:r>
      <w:hyperlink r:id="rId17">
        <w:r w:rsidRPr="3C192CC1">
          <w:rPr>
            <w:rStyle w:val="Hyperlink"/>
            <w:sz w:val="24"/>
            <w:szCs w:val="24"/>
          </w:rPr>
          <w:t>https://doi/10.5032/jae.2011.04024</w:t>
        </w:r>
      </w:hyperlink>
    </w:p>
    <w:p w14:paraId="1481A99B" w14:textId="2892C844" w:rsidR="3C192CC1" w:rsidRDefault="3C192CC1" w:rsidP="3C192CC1">
      <w:pPr>
        <w:spacing w:line="240" w:lineRule="auto"/>
        <w:ind w:left="720" w:hanging="720"/>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 xml:space="preserve">Smith, A. R., Foster, D. D., Lawver, R. G. (2021). National Agricultural Education Supply &amp; Demand Study, 2021 Executive Summary. Retrieved from: </w:t>
      </w:r>
      <w:hyperlink r:id="rId18">
        <w:r w:rsidRPr="3C192CC1">
          <w:rPr>
            <w:rStyle w:val="Hyperlink"/>
            <w:rFonts w:ascii="Times New Roman" w:eastAsia="Times New Roman" w:hAnsi="Times New Roman" w:cs="Times New Roman"/>
            <w:sz w:val="24"/>
            <w:szCs w:val="24"/>
          </w:rPr>
          <w:t>http://aaaeonline.org/Resources/Documents/NSD</w:t>
        </w:r>
      </w:hyperlink>
    </w:p>
    <w:p w14:paraId="31A4DA50" w14:textId="6CBCBD2B" w:rsidR="3C192CC1" w:rsidRDefault="3C192CC1" w:rsidP="3C192CC1">
      <w:pPr>
        <w:spacing w:line="240" w:lineRule="auto"/>
        <w:ind w:left="567" w:hanging="567"/>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 xml:space="preserve">Thoron, A. C., Myers, B. E., &amp; Barrick, R. K. (2016). Priority 5: Efficient and effective agricultural education programs.  In T. G., Roberts, A. Harder, &amp; M. T., Brashears (Eds). (2016). </w:t>
      </w:r>
      <w:r w:rsidRPr="3C192CC1">
        <w:rPr>
          <w:rFonts w:ascii="Times New Roman" w:eastAsia="Times New Roman" w:hAnsi="Times New Roman" w:cs="Times New Roman"/>
          <w:i/>
          <w:iCs/>
          <w:color w:val="000000" w:themeColor="text1"/>
          <w:sz w:val="24"/>
          <w:szCs w:val="24"/>
        </w:rPr>
        <w:t>American Association for Agricultural Education national research agenda: 2016-2020.</w:t>
      </w:r>
      <w:r w:rsidRPr="3C192CC1">
        <w:rPr>
          <w:rFonts w:ascii="Times New Roman" w:eastAsia="Times New Roman" w:hAnsi="Times New Roman" w:cs="Times New Roman"/>
          <w:color w:val="000000" w:themeColor="text1"/>
          <w:sz w:val="24"/>
          <w:szCs w:val="24"/>
        </w:rPr>
        <w:t xml:space="preserve"> Gainesville, FL: Department of Agricultural Education and Communication.</w:t>
      </w:r>
    </w:p>
    <w:p w14:paraId="67652D00" w14:textId="4585206E" w:rsidR="3C192CC1" w:rsidRDefault="3C192CC1" w:rsidP="3C192CC1">
      <w:pPr>
        <w:spacing w:line="240" w:lineRule="auto"/>
        <w:ind w:left="567" w:hanging="567"/>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Thompson, O. E. (1986). Profile of vocational agriculture teachers: Trends in number, sex, preparation, and satisfaction of credential recipients. (ERIC Document Reproduction Service No. ED 273 789).</w:t>
      </w:r>
    </w:p>
    <w:p w14:paraId="4CA878BC" w14:textId="40BEC846" w:rsidR="3C192CC1" w:rsidRDefault="3C192CC1" w:rsidP="3C192CC1">
      <w:pPr>
        <w:spacing w:line="240" w:lineRule="auto"/>
        <w:ind w:left="567" w:hanging="567"/>
        <w:rPr>
          <w:rFonts w:ascii="Times New Roman" w:eastAsia="Times New Roman" w:hAnsi="Times New Roman" w:cs="Times New Roman"/>
          <w:color w:val="000000" w:themeColor="text1"/>
          <w:sz w:val="24"/>
          <w:szCs w:val="24"/>
        </w:rPr>
      </w:pPr>
      <w:r w:rsidRPr="3C192CC1">
        <w:rPr>
          <w:rFonts w:ascii="Times New Roman" w:eastAsia="Times New Roman" w:hAnsi="Times New Roman" w:cs="Times New Roman"/>
          <w:color w:val="000000" w:themeColor="text1"/>
          <w:sz w:val="24"/>
          <w:szCs w:val="24"/>
        </w:rPr>
        <w:t xml:space="preserve">Tummons, J. D., Langley, G. C., Reed, J. J. &amp; Paul, E. E. (2017). Concerns of female preservice teachers in teaching and supervising the agricultural mechanics laboratory. </w:t>
      </w:r>
      <w:r w:rsidRPr="3C192CC1">
        <w:rPr>
          <w:rFonts w:ascii="Times New Roman" w:eastAsia="Times New Roman" w:hAnsi="Times New Roman" w:cs="Times New Roman"/>
          <w:i/>
          <w:iCs/>
          <w:color w:val="000000" w:themeColor="text1"/>
          <w:sz w:val="24"/>
          <w:szCs w:val="24"/>
        </w:rPr>
        <w:t>Journal of Agricultural Education, 58</w:t>
      </w:r>
      <w:r w:rsidRPr="3C192CC1">
        <w:rPr>
          <w:rFonts w:ascii="Times New Roman" w:eastAsia="Times New Roman" w:hAnsi="Times New Roman" w:cs="Times New Roman"/>
          <w:color w:val="000000" w:themeColor="text1"/>
          <w:sz w:val="24"/>
          <w:szCs w:val="24"/>
        </w:rPr>
        <w:t xml:space="preserve">(3), 19-36. </w:t>
      </w:r>
      <w:hyperlink r:id="rId19">
        <w:r w:rsidRPr="3C192CC1">
          <w:rPr>
            <w:rStyle w:val="Hyperlink"/>
            <w:rFonts w:ascii="Times New Roman" w:eastAsia="Times New Roman" w:hAnsi="Times New Roman" w:cs="Times New Roman"/>
            <w:sz w:val="24"/>
            <w:szCs w:val="24"/>
          </w:rPr>
          <w:t>https://doi.org/10.5032/jae.2017.03019</w:t>
        </w:r>
      </w:hyperlink>
    </w:p>
    <w:p w14:paraId="1ED7F386" w14:textId="6D6432A6" w:rsidR="3C192CC1" w:rsidRDefault="3C192CC1" w:rsidP="3C192CC1">
      <w:pPr>
        <w:spacing w:line="257" w:lineRule="auto"/>
        <w:rPr>
          <w:rFonts w:ascii="Times New Roman" w:eastAsia="Times New Roman" w:hAnsi="Times New Roman" w:cs="Times New Roman"/>
          <w:b/>
          <w:bCs/>
          <w:color w:val="000000" w:themeColor="text1"/>
          <w:sz w:val="24"/>
          <w:szCs w:val="24"/>
        </w:rPr>
      </w:pPr>
    </w:p>
    <w:sectPr w:rsidR="3C192C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xml><?xml version="1.0" encoding="utf-8"?>
<int:Intelligence xmlns:int="http://schemas.microsoft.com/office/intelligence/2019/intelligence">
  <int:IntelligenceSettings/>
  <int:Manifest>
    <int:WordHash hashCode="SIIGKIfZHL1ZmP" id="HLjTtXcw"/>
  </int:Manifest>
  <int:Observations>
    <int:Content id="HLjTtXcw">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67D31"/>
    <w:multiLevelType w:val="hybridMultilevel"/>
    <w:tmpl w:val="4B7AF510"/>
    <w:lvl w:ilvl="0" w:tplc="FF82E2BA">
      <w:start w:val="1"/>
      <w:numFmt w:val="decimal"/>
      <w:lvlText w:val="%1."/>
      <w:lvlJc w:val="left"/>
      <w:pPr>
        <w:ind w:left="720" w:hanging="360"/>
      </w:pPr>
    </w:lvl>
    <w:lvl w:ilvl="1" w:tplc="7A6854C2">
      <w:start w:val="1"/>
      <w:numFmt w:val="lowerLetter"/>
      <w:lvlText w:val="%2."/>
      <w:lvlJc w:val="left"/>
      <w:pPr>
        <w:ind w:left="1440" w:hanging="360"/>
      </w:pPr>
    </w:lvl>
    <w:lvl w:ilvl="2" w:tplc="F380393A">
      <w:start w:val="1"/>
      <w:numFmt w:val="lowerRoman"/>
      <w:lvlText w:val="%3."/>
      <w:lvlJc w:val="right"/>
      <w:pPr>
        <w:ind w:left="2160" w:hanging="180"/>
      </w:pPr>
    </w:lvl>
    <w:lvl w:ilvl="3" w:tplc="CD84BCDC">
      <w:start w:val="1"/>
      <w:numFmt w:val="decimal"/>
      <w:lvlText w:val="%4."/>
      <w:lvlJc w:val="left"/>
      <w:pPr>
        <w:ind w:left="2880" w:hanging="360"/>
      </w:pPr>
    </w:lvl>
    <w:lvl w:ilvl="4" w:tplc="E5E2CEC6">
      <w:start w:val="1"/>
      <w:numFmt w:val="lowerLetter"/>
      <w:lvlText w:val="%5."/>
      <w:lvlJc w:val="left"/>
      <w:pPr>
        <w:ind w:left="3600" w:hanging="360"/>
      </w:pPr>
    </w:lvl>
    <w:lvl w:ilvl="5" w:tplc="FF20F828">
      <w:start w:val="1"/>
      <w:numFmt w:val="lowerRoman"/>
      <w:lvlText w:val="%6."/>
      <w:lvlJc w:val="right"/>
      <w:pPr>
        <w:ind w:left="4320" w:hanging="180"/>
      </w:pPr>
    </w:lvl>
    <w:lvl w:ilvl="6" w:tplc="A70C113A">
      <w:start w:val="1"/>
      <w:numFmt w:val="decimal"/>
      <w:lvlText w:val="%7."/>
      <w:lvlJc w:val="left"/>
      <w:pPr>
        <w:ind w:left="5040" w:hanging="360"/>
      </w:pPr>
    </w:lvl>
    <w:lvl w:ilvl="7" w:tplc="5B22AE7C">
      <w:start w:val="1"/>
      <w:numFmt w:val="lowerLetter"/>
      <w:lvlText w:val="%8."/>
      <w:lvlJc w:val="left"/>
      <w:pPr>
        <w:ind w:left="5760" w:hanging="360"/>
      </w:pPr>
    </w:lvl>
    <w:lvl w:ilvl="8" w:tplc="5D2AABBE">
      <w:start w:val="1"/>
      <w:numFmt w:val="lowerRoman"/>
      <w:lvlText w:val="%9."/>
      <w:lvlJc w:val="right"/>
      <w:pPr>
        <w:ind w:left="6480" w:hanging="180"/>
      </w:pPr>
    </w:lvl>
  </w:abstractNum>
  <w:abstractNum w:abstractNumId="1" w15:restartNumberingAfterBreak="0">
    <w:nsid w:val="522819DF"/>
    <w:multiLevelType w:val="hybridMultilevel"/>
    <w:tmpl w:val="8ACE763A"/>
    <w:lvl w:ilvl="0" w:tplc="FFFFFFFF">
      <w:start w:val="1"/>
      <w:numFmt w:val="decimal"/>
      <w:lvlText w:val="%1."/>
      <w:lvlJc w:val="left"/>
      <w:pPr>
        <w:ind w:left="720" w:hanging="360"/>
      </w:pPr>
    </w:lvl>
    <w:lvl w:ilvl="1" w:tplc="B5FE7718">
      <w:start w:val="1"/>
      <w:numFmt w:val="lowerLetter"/>
      <w:lvlText w:val="%2."/>
      <w:lvlJc w:val="left"/>
      <w:pPr>
        <w:ind w:left="1440" w:hanging="360"/>
      </w:pPr>
    </w:lvl>
    <w:lvl w:ilvl="2" w:tplc="45346BAA">
      <w:start w:val="1"/>
      <w:numFmt w:val="lowerRoman"/>
      <w:lvlText w:val="%3."/>
      <w:lvlJc w:val="right"/>
      <w:pPr>
        <w:ind w:left="2160" w:hanging="180"/>
      </w:pPr>
    </w:lvl>
    <w:lvl w:ilvl="3" w:tplc="DFCE736E">
      <w:start w:val="1"/>
      <w:numFmt w:val="decimal"/>
      <w:lvlText w:val="%4."/>
      <w:lvlJc w:val="left"/>
      <w:pPr>
        <w:ind w:left="2880" w:hanging="360"/>
      </w:pPr>
    </w:lvl>
    <w:lvl w:ilvl="4" w:tplc="C7185B2C">
      <w:start w:val="1"/>
      <w:numFmt w:val="lowerLetter"/>
      <w:lvlText w:val="%5."/>
      <w:lvlJc w:val="left"/>
      <w:pPr>
        <w:ind w:left="3600" w:hanging="360"/>
      </w:pPr>
    </w:lvl>
    <w:lvl w:ilvl="5" w:tplc="223E12BA">
      <w:start w:val="1"/>
      <w:numFmt w:val="lowerRoman"/>
      <w:lvlText w:val="%6."/>
      <w:lvlJc w:val="right"/>
      <w:pPr>
        <w:ind w:left="4320" w:hanging="180"/>
      </w:pPr>
    </w:lvl>
    <w:lvl w:ilvl="6" w:tplc="CCF21088">
      <w:start w:val="1"/>
      <w:numFmt w:val="decimal"/>
      <w:lvlText w:val="%7."/>
      <w:lvlJc w:val="left"/>
      <w:pPr>
        <w:ind w:left="5040" w:hanging="360"/>
      </w:pPr>
    </w:lvl>
    <w:lvl w:ilvl="7" w:tplc="77EAE69E">
      <w:start w:val="1"/>
      <w:numFmt w:val="lowerLetter"/>
      <w:lvlText w:val="%8."/>
      <w:lvlJc w:val="left"/>
      <w:pPr>
        <w:ind w:left="5760" w:hanging="360"/>
      </w:pPr>
    </w:lvl>
    <w:lvl w:ilvl="8" w:tplc="BF1C0996">
      <w:start w:val="1"/>
      <w:numFmt w:val="lowerRoman"/>
      <w:lvlText w:val="%9."/>
      <w:lvlJc w:val="right"/>
      <w:pPr>
        <w:ind w:left="6480" w:hanging="180"/>
      </w:pPr>
    </w:lvl>
  </w:abstractNum>
  <w:abstractNum w:abstractNumId="2" w15:restartNumberingAfterBreak="0">
    <w:nsid w:val="68C94526"/>
    <w:multiLevelType w:val="hybridMultilevel"/>
    <w:tmpl w:val="8ACE763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69BD55EE"/>
    <w:multiLevelType w:val="hybridMultilevel"/>
    <w:tmpl w:val="93AA57C8"/>
    <w:lvl w:ilvl="0" w:tplc="1C703C92">
      <w:start w:val="1"/>
      <w:numFmt w:val="decimal"/>
      <w:lvlText w:val="%1)"/>
      <w:lvlJc w:val="left"/>
      <w:pPr>
        <w:ind w:left="720" w:hanging="360"/>
      </w:pPr>
    </w:lvl>
    <w:lvl w:ilvl="1" w:tplc="39C80DD6">
      <w:start w:val="1"/>
      <w:numFmt w:val="lowerLetter"/>
      <w:lvlText w:val="%2."/>
      <w:lvlJc w:val="left"/>
      <w:pPr>
        <w:ind w:left="1440" w:hanging="360"/>
      </w:pPr>
    </w:lvl>
    <w:lvl w:ilvl="2" w:tplc="1444F4D6">
      <w:start w:val="1"/>
      <w:numFmt w:val="lowerRoman"/>
      <w:lvlText w:val="%3."/>
      <w:lvlJc w:val="right"/>
      <w:pPr>
        <w:ind w:left="2160" w:hanging="180"/>
      </w:pPr>
    </w:lvl>
    <w:lvl w:ilvl="3" w:tplc="71F2C580">
      <w:start w:val="1"/>
      <w:numFmt w:val="decimal"/>
      <w:lvlText w:val="%4."/>
      <w:lvlJc w:val="left"/>
      <w:pPr>
        <w:ind w:left="2880" w:hanging="360"/>
      </w:pPr>
    </w:lvl>
    <w:lvl w:ilvl="4" w:tplc="388A9058">
      <w:start w:val="1"/>
      <w:numFmt w:val="lowerLetter"/>
      <w:lvlText w:val="%5."/>
      <w:lvlJc w:val="left"/>
      <w:pPr>
        <w:ind w:left="3600" w:hanging="360"/>
      </w:pPr>
    </w:lvl>
    <w:lvl w:ilvl="5" w:tplc="2A844DB0">
      <w:start w:val="1"/>
      <w:numFmt w:val="lowerRoman"/>
      <w:lvlText w:val="%6."/>
      <w:lvlJc w:val="right"/>
      <w:pPr>
        <w:ind w:left="4320" w:hanging="180"/>
      </w:pPr>
    </w:lvl>
    <w:lvl w:ilvl="6" w:tplc="ECB21CE6">
      <w:start w:val="1"/>
      <w:numFmt w:val="decimal"/>
      <w:lvlText w:val="%7."/>
      <w:lvlJc w:val="left"/>
      <w:pPr>
        <w:ind w:left="5040" w:hanging="360"/>
      </w:pPr>
    </w:lvl>
    <w:lvl w:ilvl="7" w:tplc="E69481F0">
      <w:start w:val="1"/>
      <w:numFmt w:val="lowerLetter"/>
      <w:lvlText w:val="%8."/>
      <w:lvlJc w:val="left"/>
      <w:pPr>
        <w:ind w:left="5760" w:hanging="360"/>
      </w:pPr>
    </w:lvl>
    <w:lvl w:ilvl="8" w:tplc="49A000AC">
      <w:start w:val="1"/>
      <w:numFmt w:val="lowerRoman"/>
      <w:lvlText w:val="%9."/>
      <w:lvlJc w:val="right"/>
      <w:pPr>
        <w:ind w:left="6480" w:hanging="180"/>
      </w:pPr>
    </w:lvl>
  </w:abstractNum>
  <w:num w:numId="1" w16cid:durableId="1937785270">
    <w:abstractNumId w:val="0"/>
  </w:num>
  <w:num w:numId="2" w16cid:durableId="1634629244">
    <w:abstractNumId w:val="1"/>
  </w:num>
  <w:num w:numId="3" w16cid:durableId="286814861">
    <w:abstractNumId w:val="3"/>
  </w:num>
  <w:num w:numId="4" w16cid:durableId="19687066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B0D3F14"/>
    <w:rsid w:val="00041FA2"/>
    <w:rsid w:val="00042F90"/>
    <w:rsid w:val="0005184D"/>
    <w:rsid w:val="000C6C21"/>
    <w:rsid w:val="000F38E9"/>
    <w:rsid w:val="00117CDE"/>
    <w:rsid w:val="00190B37"/>
    <w:rsid w:val="00245B8D"/>
    <w:rsid w:val="00271C31"/>
    <w:rsid w:val="002C43E2"/>
    <w:rsid w:val="002C4D9A"/>
    <w:rsid w:val="002E3027"/>
    <w:rsid w:val="0034262C"/>
    <w:rsid w:val="003501F1"/>
    <w:rsid w:val="00371E73"/>
    <w:rsid w:val="00373364"/>
    <w:rsid w:val="003C7902"/>
    <w:rsid w:val="003D5D22"/>
    <w:rsid w:val="003E54CF"/>
    <w:rsid w:val="003F26BF"/>
    <w:rsid w:val="00404216"/>
    <w:rsid w:val="00423272"/>
    <w:rsid w:val="004F50FA"/>
    <w:rsid w:val="00501245"/>
    <w:rsid w:val="00527D2C"/>
    <w:rsid w:val="005C7B1B"/>
    <w:rsid w:val="005D42D3"/>
    <w:rsid w:val="005E2589"/>
    <w:rsid w:val="006A58E5"/>
    <w:rsid w:val="006B3CED"/>
    <w:rsid w:val="006D1EC2"/>
    <w:rsid w:val="006D37A3"/>
    <w:rsid w:val="00742F5C"/>
    <w:rsid w:val="008934EB"/>
    <w:rsid w:val="008F3151"/>
    <w:rsid w:val="00915C75"/>
    <w:rsid w:val="00963336"/>
    <w:rsid w:val="00974A7A"/>
    <w:rsid w:val="00AA0F77"/>
    <w:rsid w:val="00AA6C50"/>
    <w:rsid w:val="00AF1E64"/>
    <w:rsid w:val="00B01415"/>
    <w:rsid w:val="00B63929"/>
    <w:rsid w:val="00B7584F"/>
    <w:rsid w:val="00B96190"/>
    <w:rsid w:val="00BA79E8"/>
    <w:rsid w:val="00C32497"/>
    <w:rsid w:val="00CF140B"/>
    <w:rsid w:val="00DD4049"/>
    <w:rsid w:val="00DE6AC2"/>
    <w:rsid w:val="00E10288"/>
    <w:rsid w:val="00E2543C"/>
    <w:rsid w:val="00E63868"/>
    <w:rsid w:val="00F621DD"/>
    <w:rsid w:val="00F66ECA"/>
    <w:rsid w:val="00F75779"/>
    <w:rsid w:val="00FD674F"/>
    <w:rsid w:val="031EA179"/>
    <w:rsid w:val="0658778B"/>
    <w:rsid w:val="1667DCA6"/>
    <w:rsid w:val="233D425B"/>
    <w:rsid w:val="2D46C364"/>
    <w:rsid w:val="3C192CC1"/>
    <w:rsid w:val="439A39EA"/>
    <w:rsid w:val="4B0D3F14"/>
    <w:rsid w:val="5EE3EFD7"/>
    <w:rsid w:val="658B00E6"/>
    <w:rsid w:val="6AB1C4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A91CC"/>
  <w15:chartTrackingRefBased/>
  <w15:docId w15:val="{935A101B-9535-41BA-8F75-75AAB8C2B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customStyle="1" w:styleId="RefListing">
    <w:name w:val="Ref Listing"/>
    <w:basedOn w:val="Normal"/>
    <w:qFormat/>
    <w:rsid w:val="3C192CC1"/>
    <w:pPr>
      <w:widowControl w:val="0"/>
      <w:tabs>
        <w:tab w:val="center" w:pos="2400"/>
        <w:tab w:val="right" w:pos="4800"/>
        <w:tab w:val="center" w:pos="4920"/>
        <w:tab w:val="right" w:pos="9840"/>
      </w:tabs>
      <w:spacing w:before="60" w:line="200" w:lineRule="atLeast"/>
      <w:ind w:left="240" w:hanging="240"/>
    </w:pPr>
    <w:rPr>
      <w:rFonts w:ascii="Times New Roman" w:eastAsia="Times New Roman" w:hAnsi="Times New Roman" w:cs="Times New Roman"/>
      <w:sz w:val="18"/>
      <w:szCs w:val="18"/>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styleId="Emphasis">
    <w:name w:val="Emphasis"/>
    <w:basedOn w:val="DefaultParagraphFont"/>
    <w:uiPriority w:val="20"/>
    <w:qFormat/>
    <w:rPr>
      <w:i/>
      <w:iCs/>
    </w:rPr>
  </w:style>
  <w:style w:type="character" w:styleId="CommentReference">
    <w:name w:val="annotation reference"/>
    <w:basedOn w:val="DefaultParagraphFont"/>
    <w:uiPriority w:val="99"/>
    <w:semiHidden/>
    <w:unhideWhenUsed/>
    <w:rsid w:val="00B63929"/>
    <w:rPr>
      <w:sz w:val="16"/>
      <w:szCs w:val="16"/>
    </w:rPr>
  </w:style>
  <w:style w:type="paragraph" w:styleId="CommentText">
    <w:name w:val="annotation text"/>
    <w:basedOn w:val="Normal"/>
    <w:link w:val="CommentTextChar"/>
    <w:uiPriority w:val="99"/>
    <w:unhideWhenUsed/>
    <w:rsid w:val="00B63929"/>
    <w:pPr>
      <w:spacing w:line="240" w:lineRule="auto"/>
    </w:pPr>
    <w:rPr>
      <w:sz w:val="20"/>
      <w:szCs w:val="20"/>
    </w:rPr>
  </w:style>
  <w:style w:type="character" w:customStyle="1" w:styleId="CommentTextChar">
    <w:name w:val="Comment Text Char"/>
    <w:basedOn w:val="DefaultParagraphFont"/>
    <w:link w:val="CommentText"/>
    <w:uiPriority w:val="99"/>
    <w:rsid w:val="00B63929"/>
    <w:rPr>
      <w:sz w:val="20"/>
      <w:szCs w:val="20"/>
    </w:rPr>
  </w:style>
  <w:style w:type="paragraph" w:styleId="CommentSubject">
    <w:name w:val="annotation subject"/>
    <w:basedOn w:val="CommentText"/>
    <w:next w:val="CommentText"/>
    <w:link w:val="CommentSubjectChar"/>
    <w:uiPriority w:val="99"/>
    <w:semiHidden/>
    <w:unhideWhenUsed/>
    <w:rsid w:val="00B63929"/>
    <w:rPr>
      <w:b/>
      <w:bCs/>
    </w:rPr>
  </w:style>
  <w:style w:type="character" w:customStyle="1" w:styleId="CommentSubjectChar">
    <w:name w:val="Comment Subject Char"/>
    <w:basedOn w:val="CommentTextChar"/>
    <w:link w:val="CommentSubject"/>
    <w:uiPriority w:val="99"/>
    <w:semiHidden/>
    <w:rsid w:val="00B63929"/>
    <w:rPr>
      <w:b/>
      <w:bCs/>
      <w:sz w:val="20"/>
      <w:szCs w:val="20"/>
    </w:rPr>
  </w:style>
  <w:style w:type="character" w:styleId="UnresolvedMention">
    <w:name w:val="Unresolved Mention"/>
    <w:basedOn w:val="DefaultParagraphFont"/>
    <w:uiPriority w:val="99"/>
    <w:semiHidden/>
    <w:unhideWhenUsed/>
    <w:rsid w:val="00042F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1089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032/jae.2019.04223" TargetMode="External"/><Relationship Id="rId13" Type="http://schemas.openxmlformats.org/officeDocument/2006/relationships/hyperlink" Target="https://doi.org/10.5032/jae.2006.03117" TargetMode="External"/><Relationship Id="rId18" Type="http://schemas.openxmlformats.org/officeDocument/2006/relationships/hyperlink" Target="http://aaaeonline.org/Resources/Documents/NSD"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doi.org/10.1037/0033-295X.109.3.573" TargetMode="External"/><Relationship Id="rId12" Type="http://schemas.openxmlformats.org/officeDocument/2006/relationships/hyperlink" Target="https://doi.org/10.1108/GM-04-2015-0040" TargetMode="External"/><Relationship Id="rId17" Type="http://schemas.openxmlformats.org/officeDocument/2006/relationships/hyperlink" Target="https://doi/10.5032/jae.2011.04024" TargetMode="External"/><Relationship Id="rId2" Type="http://schemas.openxmlformats.org/officeDocument/2006/relationships/styles" Target="styles.xml"/><Relationship Id="rId16" Type="http://schemas.openxmlformats.org/officeDocument/2006/relationships/hyperlink" Target="https://doi.org/10.2307/4609267"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doi.org/10.4324/9780203781906" TargetMode="External"/><Relationship Id="rId11" Type="http://schemas.openxmlformats.org/officeDocument/2006/relationships/hyperlink" Target="https://www.emerald.com/insight/publication/issn/1754-2413" TargetMode="External"/><Relationship Id="rId5" Type="http://schemas.openxmlformats.org/officeDocument/2006/relationships/hyperlink" Target="https://doi.org//002/tea.1032" TargetMode="External"/><Relationship Id="rId15" Type="http://schemas.openxmlformats.org/officeDocument/2006/relationships/hyperlink" Target="https://doi.org/10.1007/s10755-014-9313-4" TargetMode="External"/><Relationship Id="rId10" Type="http://schemas.openxmlformats.org/officeDocument/2006/relationships/hyperlink" Target="http://www.jstor.org/stable/23806779" TargetMode="External"/><Relationship Id="rId19" Type="http://schemas.openxmlformats.org/officeDocument/2006/relationships/hyperlink" Target="https://doi.org/10.5032/jae.2017.03019" TargetMode="External"/><Relationship Id="rId4" Type="http://schemas.openxmlformats.org/officeDocument/2006/relationships/webSettings" Target="webSettings.xml"/><Relationship Id="rId9" Type="http://schemas.openxmlformats.org/officeDocument/2006/relationships/hyperlink" Target="https://doi.org/10.1016/j.ejogrb.2008.07.023" TargetMode="External"/><Relationship Id="rId14" Type="http://schemas.openxmlformats.org/officeDocument/2006/relationships/hyperlink" Target="https://doi.org/10.5032/jae.2007.01052" TargetMode="External"/><Relationship Id="Rfe2dbeb6c4c64fcb" Type="http://schemas.microsoft.com/office/2019/09/relationships/intelligence" Target="intelligenc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3251</Words>
  <Characters>18532</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Pate</dc:creator>
  <cp:keywords/>
  <dc:description/>
  <cp:lastModifiedBy>Kjersti Decker</cp:lastModifiedBy>
  <cp:revision>2</cp:revision>
  <dcterms:created xsi:type="dcterms:W3CDTF">2022-09-01T17:15:00Z</dcterms:created>
  <dcterms:modified xsi:type="dcterms:W3CDTF">2022-09-01T17:15:00Z</dcterms:modified>
</cp:coreProperties>
</file>