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BB30DE" w14:textId="00482823" w:rsidR="00856E31" w:rsidRDefault="006150B4" w:rsidP="005951F3">
      <w:pPr>
        <w:widowControl w:val="0"/>
        <w:jc w:val="center"/>
        <w:rPr>
          <w:rFonts w:eastAsia="Times New Roman"/>
          <w:b/>
          <w:bCs/>
        </w:rPr>
      </w:pPr>
      <w:r w:rsidRPr="00FC7C5C">
        <w:rPr>
          <w:rFonts w:eastAsia="Times New Roman"/>
          <w:b/>
          <w:bCs/>
        </w:rPr>
        <w:t>T</w:t>
      </w:r>
      <w:r w:rsidR="002501E8" w:rsidRPr="00FC7C5C">
        <w:rPr>
          <w:rFonts w:eastAsia="Times New Roman"/>
          <w:b/>
          <w:bCs/>
        </w:rPr>
        <w:t xml:space="preserve">he Influence of COVID-19 and Virtual Learning on the PCK Development of </w:t>
      </w:r>
      <w:r w:rsidR="007602BA">
        <w:rPr>
          <w:rFonts w:eastAsia="Times New Roman"/>
          <w:b/>
          <w:bCs/>
        </w:rPr>
        <w:t xml:space="preserve">Arizona </w:t>
      </w:r>
      <w:r w:rsidR="002501E8" w:rsidRPr="00FC7C5C">
        <w:rPr>
          <w:rFonts w:eastAsia="Times New Roman"/>
          <w:b/>
          <w:bCs/>
        </w:rPr>
        <w:t>Preservice SBAE Teachers</w:t>
      </w:r>
      <w:r w:rsidRPr="00FC7C5C">
        <w:rPr>
          <w:rFonts w:eastAsia="Times New Roman"/>
          <w:b/>
          <w:bCs/>
        </w:rPr>
        <w:t xml:space="preserve"> </w:t>
      </w:r>
    </w:p>
    <w:p w14:paraId="55408831" w14:textId="74947C99" w:rsidR="00FC7C5C" w:rsidRDefault="00FC7C5C" w:rsidP="005951F3">
      <w:pPr>
        <w:widowControl w:val="0"/>
        <w:jc w:val="center"/>
        <w:rPr>
          <w:rFonts w:eastAsia="Times New Roman"/>
          <w:b/>
          <w:bCs/>
        </w:rPr>
      </w:pPr>
    </w:p>
    <w:p w14:paraId="7F7CF5CF" w14:textId="7163E29C" w:rsidR="00AA0B75" w:rsidRPr="00AA0B75" w:rsidRDefault="00AA0B75" w:rsidP="005951F3">
      <w:pPr>
        <w:widowControl w:val="0"/>
        <w:jc w:val="center"/>
        <w:rPr>
          <w:rFonts w:eastAsia="Times New Roman"/>
        </w:rPr>
      </w:pPr>
      <w:r w:rsidRPr="00AA0B75">
        <w:rPr>
          <w:rFonts w:eastAsia="Times New Roman"/>
        </w:rPr>
        <w:t>Alexandra Schoeffling, The University of Arizona</w:t>
      </w:r>
    </w:p>
    <w:p w14:paraId="1F05A837" w14:textId="1FF97EFF" w:rsidR="00AA0B75" w:rsidRPr="00AA0B75" w:rsidRDefault="00AA0B75" w:rsidP="005951F3">
      <w:pPr>
        <w:widowControl w:val="0"/>
        <w:jc w:val="center"/>
        <w:rPr>
          <w:rFonts w:eastAsia="Times New Roman"/>
        </w:rPr>
      </w:pPr>
      <w:r w:rsidRPr="00AA0B75">
        <w:rPr>
          <w:rFonts w:eastAsia="Times New Roman"/>
        </w:rPr>
        <w:t>Amber H. Rice, The University of Arizona</w:t>
      </w:r>
    </w:p>
    <w:p w14:paraId="4189CE16" w14:textId="77777777" w:rsidR="00AA0B75" w:rsidRPr="00FC7C5C" w:rsidRDefault="00AA0B75" w:rsidP="005951F3">
      <w:pPr>
        <w:widowControl w:val="0"/>
        <w:jc w:val="center"/>
        <w:rPr>
          <w:rFonts w:eastAsia="Times New Roman"/>
          <w:b/>
          <w:bCs/>
        </w:rPr>
      </w:pPr>
    </w:p>
    <w:p w14:paraId="2ED0A80D" w14:textId="6B97642D" w:rsidR="00B94592" w:rsidRPr="00FC7C5C" w:rsidRDefault="00C40A4E" w:rsidP="005951F3">
      <w:pPr>
        <w:widowControl w:val="0"/>
        <w:spacing w:after="160"/>
        <w:jc w:val="center"/>
        <w:rPr>
          <w:rFonts w:eastAsia="Times New Roman"/>
          <w:b/>
        </w:rPr>
      </w:pPr>
      <w:r w:rsidRPr="00FC7C5C">
        <w:rPr>
          <w:rFonts w:eastAsia="Times New Roman"/>
          <w:b/>
        </w:rPr>
        <w:t>Introduction</w:t>
      </w:r>
      <w:r w:rsidR="00FC7C5C">
        <w:rPr>
          <w:rFonts w:eastAsia="Times New Roman"/>
          <w:b/>
        </w:rPr>
        <w:t>/Theoretical Framework</w:t>
      </w:r>
      <w:r w:rsidRPr="00FC7C5C">
        <w:rPr>
          <w:rFonts w:eastAsia="Times New Roman"/>
          <w:b/>
        </w:rPr>
        <w:t xml:space="preserve"> </w:t>
      </w:r>
    </w:p>
    <w:p w14:paraId="5436C0C4" w14:textId="74A53664" w:rsidR="004842CD" w:rsidRDefault="00C40A4E" w:rsidP="005951F3">
      <w:pPr>
        <w:widowControl w:val="0"/>
        <w:ind w:firstLine="720"/>
        <w:rPr>
          <w:rFonts w:eastAsia="Times New Roman"/>
        </w:rPr>
      </w:pPr>
      <w:r w:rsidRPr="00FC7C5C">
        <w:rPr>
          <w:rFonts w:eastAsia="Times New Roman"/>
        </w:rPr>
        <w:t xml:space="preserve">The </w:t>
      </w:r>
      <w:r w:rsidR="001564B2" w:rsidRPr="00FC7C5C">
        <w:rPr>
          <w:rFonts w:eastAsia="Times New Roman"/>
        </w:rPr>
        <w:t>rise of COVID-19</w:t>
      </w:r>
      <w:r w:rsidRPr="00FC7C5C">
        <w:rPr>
          <w:rFonts w:eastAsia="Times New Roman"/>
        </w:rPr>
        <w:t xml:space="preserve"> created mass disruption of </w:t>
      </w:r>
      <w:r w:rsidR="001564B2" w:rsidRPr="00FC7C5C">
        <w:rPr>
          <w:rFonts w:eastAsia="Times New Roman"/>
        </w:rPr>
        <w:t xml:space="preserve">education systems </w:t>
      </w:r>
      <w:r w:rsidR="00EA662C" w:rsidRPr="00FC7C5C">
        <w:rPr>
          <w:rFonts w:eastAsia="Times New Roman"/>
        </w:rPr>
        <w:t>worldwide</w:t>
      </w:r>
      <w:r w:rsidR="001564B2" w:rsidRPr="00FC7C5C">
        <w:rPr>
          <w:rFonts w:eastAsia="Times New Roman"/>
        </w:rPr>
        <w:t xml:space="preserve"> during the spring of 2020. </w:t>
      </w:r>
      <w:r w:rsidR="00AA0956" w:rsidRPr="00FC7C5C">
        <w:rPr>
          <w:rFonts w:eastAsia="Times New Roman"/>
        </w:rPr>
        <w:t>By mid-March, more than 1,100 universities and colleges throughout the U</w:t>
      </w:r>
      <w:r w:rsidR="002657C9" w:rsidRPr="00FC7C5C">
        <w:rPr>
          <w:rFonts w:eastAsia="Times New Roman"/>
        </w:rPr>
        <w:t>.</w:t>
      </w:r>
      <w:r w:rsidR="00AA0956" w:rsidRPr="00FC7C5C">
        <w:rPr>
          <w:rFonts w:eastAsia="Times New Roman"/>
        </w:rPr>
        <w:t>S</w:t>
      </w:r>
      <w:r w:rsidR="002657C9" w:rsidRPr="00FC7C5C">
        <w:rPr>
          <w:rFonts w:eastAsia="Times New Roman"/>
        </w:rPr>
        <w:t>.</w:t>
      </w:r>
      <w:r w:rsidR="00AA0956" w:rsidRPr="00FC7C5C">
        <w:rPr>
          <w:rFonts w:eastAsia="Times New Roman"/>
        </w:rPr>
        <w:t xml:space="preserve"> cancelled in-person courses, leading to the implementation of virtual learning for course work previously delivered </w:t>
      </w:r>
      <w:r w:rsidR="001F6C8E" w:rsidRPr="00FC7C5C">
        <w:rPr>
          <w:rFonts w:eastAsia="Times New Roman"/>
        </w:rPr>
        <w:t>in-person</w:t>
      </w:r>
      <w:r w:rsidR="00AA0956" w:rsidRPr="00FC7C5C">
        <w:rPr>
          <w:rFonts w:eastAsia="Times New Roman"/>
        </w:rPr>
        <w:t xml:space="preserve"> (Hess, 2020</w:t>
      </w:r>
      <w:r w:rsidR="001B22B3" w:rsidRPr="00FC7C5C">
        <w:rPr>
          <w:rFonts w:eastAsia="Times New Roman"/>
        </w:rPr>
        <w:t>; Smalley, 2020</w:t>
      </w:r>
      <w:r w:rsidR="00AA0956" w:rsidRPr="00FC7C5C">
        <w:rPr>
          <w:rFonts w:eastAsia="Times New Roman"/>
        </w:rPr>
        <w:t xml:space="preserve">). </w:t>
      </w:r>
      <w:r w:rsidR="004B277A">
        <w:rPr>
          <w:rFonts w:eastAsia="Times New Roman"/>
        </w:rPr>
        <w:t>Virtual learning</w:t>
      </w:r>
      <w:r w:rsidR="0049227D" w:rsidRPr="00FC7C5C">
        <w:rPr>
          <w:rFonts w:eastAsia="Times New Roman"/>
        </w:rPr>
        <w:t xml:space="preserve"> </w:t>
      </w:r>
      <w:r w:rsidR="00274D42" w:rsidRPr="00FC7C5C">
        <w:rPr>
          <w:rFonts w:eastAsia="Times New Roman"/>
        </w:rPr>
        <w:t xml:space="preserve">commonly </w:t>
      </w:r>
      <w:r w:rsidR="0049227D" w:rsidRPr="00FC7C5C">
        <w:rPr>
          <w:rFonts w:eastAsia="Times New Roman"/>
        </w:rPr>
        <w:t>involves instruction utilizing computers as the pathway for students to receive information</w:t>
      </w:r>
      <w:r w:rsidR="00274D42" w:rsidRPr="00FC7C5C">
        <w:rPr>
          <w:rFonts w:eastAsia="Times New Roman"/>
        </w:rPr>
        <w:t xml:space="preserve">, often coupled with learning management systems </w:t>
      </w:r>
      <w:r w:rsidR="00C24054" w:rsidRPr="00FC7C5C">
        <w:rPr>
          <w:rFonts w:eastAsia="Times New Roman"/>
        </w:rPr>
        <w:t>(Beek, 2011).</w:t>
      </w:r>
      <w:r w:rsidR="001E6338" w:rsidRPr="00FC7C5C" w:rsidDel="001E6338">
        <w:rPr>
          <w:rFonts w:eastAsia="Times New Roman"/>
        </w:rPr>
        <w:t xml:space="preserve"> </w:t>
      </w:r>
      <w:r w:rsidR="00274D42" w:rsidRPr="00FC7C5C">
        <w:rPr>
          <w:rFonts w:eastAsia="Times New Roman"/>
        </w:rPr>
        <w:t xml:space="preserve">Students connect with their instructor through a variety of </w:t>
      </w:r>
      <w:r w:rsidR="001D10BD" w:rsidRPr="00FC7C5C">
        <w:rPr>
          <w:rFonts w:eastAsia="Times New Roman"/>
        </w:rPr>
        <w:t>virtual learning options</w:t>
      </w:r>
      <w:r w:rsidR="00274D42" w:rsidRPr="00FC7C5C">
        <w:rPr>
          <w:rFonts w:eastAsia="Times New Roman"/>
        </w:rPr>
        <w:t xml:space="preserve"> including</w:t>
      </w:r>
      <w:r w:rsidR="0061534C" w:rsidRPr="00FC7C5C">
        <w:rPr>
          <w:rFonts w:eastAsia="Times New Roman"/>
        </w:rPr>
        <w:t xml:space="preserve"> synchronous</w:t>
      </w:r>
      <w:r w:rsidR="00274D42" w:rsidRPr="00FC7C5C">
        <w:rPr>
          <w:rFonts w:eastAsia="Times New Roman"/>
        </w:rPr>
        <w:t xml:space="preserve"> learning</w:t>
      </w:r>
      <w:r w:rsidR="00E64CF3">
        <w:rPr>
          <w:rFonts w:eastAsia="Times New Roman"/>
        </w:rPr>
        <w:t xml:space="preserve">, </w:t>
      </w:r>
      <w:r w:rsidR="0061534C" w:rsidRPr="00FC7C5C">
        <w:rPr>
          <w:rFonts w:eastAsia="Times New Roman"/>
        </w:rPr>
        <w:t>asynchronous</w:t>
      </w:r>
      <w:r w:rsidR="00274D42" w:rsidRPr="00FC7C5C">
        <w:rPr>
          <w:rFonts w:eastAsia="Times New Roman"/>
        </w:rPr>
        <w:t xml:space="preserve"> learning</w:t>
      </w:r>
      <w:r w:rsidR="00E64CF3">
        <w:rPr>
          <w:rFonts w:eastAsia="Times New Roman"/>
        </w:rPr>
        <w:t>,</w:t>
      </w:r>
      <w:r w:rsidR="0061534C" w:rsidRPr="00FC7C5C">
        <w:rPr>
          <w:rFonts w:eastAsia="Times New Roman"/>
        </w:rPr>
        <w:t xml:space="preserve"> </w:t>
      </w:r>
      <w:r w:rsidR="00274D42" w:rsidRPr="00FC7C5C">
        <w:rPr>
          <w:rFonts w:eastAsia="Times New Roman"/>
        </w:rPr>
        <w:t>and/</w:t>
      </w:r>
      <w:r w:rsidR="0061534C" w:rsidRPr="00FC7C5C">
        <w:rPr>
          <w:rFonts w:eastAsia="Times New Roman"/>
        </w:rPr>
        <w:t xml:space="preserve">or hybrid </w:t>
      </w:r>
      <w:r w:rsidR="00274D42" w:rsidRPr="00FC7C5C">
        <w:rPr>
          <w:rFonts w:eastAsia="Times New Roman"/>
        </w:rPr>
        <w:t>learning</w:t>
      </w:r>
      <w:r w:rsidR="0061534C" w:rsidRPr="00FC7C5C">
        <w:rPr>
          <w:rFonts w:eastAsia="Times New Roman"/>
        </w:rPr>
        <w:t xml:space="preserve"> (</w:t>
      </w:r>
      <w:proofErr w:type="spellStart"/>
      <w:r w:rsidR="0061534C" w:rsidRPr="00FC7C5C">
        <w:rPr>
          <w:rFonts w:eastAsia="Times New Roman"/>
        </w:rPr>
        <w:t>Finol</w:t>
      </w:r>
      <w:proofErr w:type="spellEnd"/>
      <w:r w:rsidR="0061534C" w:rsidRPr="00FC7C5C">
        <w:rPr>
          <w:rFonts w:eastAsia="Times New Roman"/>
        </w:rPr>
        <w:t xml:space="preserve">, 2020). </w:t>
      </w:r>
      <w:r w:rsidRPr="00FC7C5C">
        <w:rPr>
          <w:rFonts w:eastAsia="Times New Roman"/>
        </w:rPr>
        <w:t>Virtual learning</w:t>
      </w:r>
      <w:r w:rsidR="004842CD" w:rsidRPr="00FC7C5C">
        <w:rPr>
          <w:rFonts w:eastAsia="Times New Roman"/>
        </w:rPr>
        <w:t xml:space="preserve"> as a teaching modality is not new. However, the impacts of COVID-19 forced higher education to deliver </w:t>
      </w:r>
      <w:r w:rsidR="009B7D22" w:rsidRPr="00FC7C5C">
        <w:rPr>
          <w:rFonts w:eastAsia="Times New Roman"/>
        </w:rPr>
        <w:t xml:space="preserve">the majority of </w:t>
      </w:r>
      <w:r w:rsidR="004842CD" w:rsidRPr="00FC7C5C">
        <w:rPr>
          <w:rFonts w:eastAsia="Times New Roman"/>
        </w:rPr>
        <w:t>content in a virtual format</w:t>
      </w:r>
      <w:r w:rsidR="0022256A" w:rsidRPr="00FC7C5C">
        <w:rPr>
          <w:rFonts w:eastAsia="Times New Roman"/>
        </w:rPr>
        <w:t>,</w:t>
      </w:r>
      <w:r w:rsidR="004842CD" w:rsidRPr="00FC7C5C">
        <w:rPr>
          <w:rFonts w:eastAsia="Times New Roman"/>
        </w:rPr>
        <w:t xml:space="preserve"> within a severely truncated time frame</w:t>
      </w:r>
      <w:r w:rsidR="0022256A" w:rsidRPr="00FC7C5C">
        <w:rPr>
          <w:rFonts w:eastAsia="Times New Roman"/>
        </w:rPr>
        <w:t>,</w:t>
      </w:r>
      <w:r w:rsidR="004842CD" w:rsidRPr="00FC7C5C">
        <w:rPr>
          <w:rFonts w:eastAsia="Times New Roman"/>
        </w:rPr>
        <w:t xml:space="preserve"> and </w:t>
      </w:r>
      <w:r w:rsidR="00A44137" w:rsidRPr="00FC7C5C">
        <w:rPr>
          <w:rFonts w:eastAsia="Times New Roman"/>
        </w:rPr>
        <w:t xml:space="preserve">often </w:t>
      </w:r>
      <w:r w:rsidR="004842CD" w:rsidRPr="00FC7C5C">
        <w:rPr>
          <w:rFonts w:eastAsia="Times New Roman"/>
        </w:rPr>
        <w:t>without support systems in place to create high quality</w:t>
      </w:r>
      <w:r w:rsidR="00681B08">
        <w:rPr>
          <w:rFonts w:eastAsia="Times New Roman"/>
        </w:rPr>
        <w:t xml:space="preserve"> </w:t>
      </w:r>
      <w:r w:rsidR="004842CD" w:rsidRPr="00FC7C5C">
        <w:rPr>
          <w:rFonts w:eastAsia="Times New Roman"/>
        </w:rPr>
        <w:t>instruction (</w:t>
      </w:r>
      <w:r w:rsidR="0008737E" w:rsidRPr="00FC7C5C">
        <w:rPr>
          <w:rFonts w:eastAsia="Times New Roman"/>
        </w:rPr>
        <w:t>Gardner, 2020</w:t>
      </w:r>
      <w:r w:rsidR="004842CD" w:rsidRPr="00FC7C5C">
        <w:rPr>
          <w:rFonts w:eastAsia="Times New Roman"/>
        </w:rPr>
        <w:t>).</w:t>
      </w:r>
      <w:r w:rsidR="00DA7DA3" w:rsidRPr="00FC7C5C">
        <w:rPr>
          <w:rFonts w:eastAsia="Times New Roman"/>
        </w:rPr>
        <w:t xml:space="preserve"> </w:t>
      </w:r>
      <w:r w:rsidR="0067032B" w:rsidRPr="00FC7C5C">
        <w:rPr>
          <w:rFonts w:eastAsia="Times New Roman"/>
        </w:rPr>
        <w:t>Virtual learning was no longer a choice, but instead was mandated fo</w:t>
      </w:r>
      <w:r w:rsidR="00A74BF4" w:rsidRPr="00FC7C5C">
        <w:rPr>
          <w:rFonts w:eastAsia="Times New Roman"/>
        </w:rPr>
        <w:t>r the majority of</w:t>
      </w:r>
      <w:r w:rsidR="0067032B" w:rsidRPr="00FC7C5C">
        <w:rPr>
          <w:rFonts w:eastAsia="Times New Roman"/>
        </w:rPr>
        <w:t xml:space="preserve"> </w:t>
      </w:r>
      <w:r w:rsidR="00A74BF4" w:rsidRPr="00FC7C5C">
        <w:rPr>
          <w:rFonts w:eastAsia="Times New Roman"/>
        </w:rPr>
        <w:t xml:space="preserve">higher </w:t>
      </w:r>
      <w:r w:rsidR="0067032B" w:rsidRPr="00FC7C5C">
        <w:rPr>
          <w:rFonts w:eastAsia="Times New Roman"/>
        </w:rPr>
        <w:t>education, including teacher preparation.</w:t>
      </w:r>
      <w:r w:rsidR="00021C46" w:rsidRPr="00FC7C5C">
        <w:rPr>
          <w:rFonts w:eastAsia="Times New Roman"/>
        </w:rPr>
        <w:t xml:space="preserve"> </w:t>
      </w:r>
    </w:p>
    <w:p w14:paraId="265089F9" w14:textId="77777777" w:rsidR="00161FCE" w:rsidRPr="00FC7C5C" w:rsidRDefault="00161FCE" w:rsidP="006B085E">
      <w:pPr>
        <w:widowControl w:val="0"/>
        <w:shd w:val="clear" w:color="auto" w:fill="FFFFFF"/>
        <w:spacing w:before="100"/>
        <w:ind w:right="180"/>
        <w:contextualSpacing/>
        <w:rPr>
          <w:rFonts w:eastAsia="Times New Roman"/>
        </w:rPr>
      </w:pPr>
    </w:p>
    <w:p w14:paraId="64EBDF7B" w14:textId="2889817F" w:rsidR="001B7B7E" w:rsidRDefault="00A65437" w:rsidP="00906B0D">
      <w:pPr>
        <w:widowControl w:val="0"/>
        <w:ind w:firstLine="720"/>
        <w:contextualSpacing/>
        <w:rPr>
          <w:rFonts w:eastAsia="Times New Roman"/>
        </w:rPr>
      </w:pPr>
      <w:r w:rsidRPr="00FC7C5C">
        <w:rPr>
          <w:rFonts w:eastAsia="Times New Roman"/>
          <w:highlight w:val="white"/>
        </w:rPr>
        <w:t xml:space="preserve">Various aspects of </w:t>
      </w:r>
      <w:r w:rsidR="00471434" w:rsidRPr="00FC7C5C">
        <w:rPr>
          <w:rFonts w:eastAsia="Times New Roman"/>
          <w:highlight w:val="white"/>
        </w:rPr>
        <w:t>SBAE teacher preparation</w:t>
      </w:r>
      <w:r w:rsidRPr="00FC7C5C">
        <w:rPr>
          <w:rFonts w:eastAsia="Times New Roman"/>
          <w:highlight w:val="white"/>
        </w:rPr>
        <w:t xml:space="preserve"> outcomes were </w:t>
      </w:r>
      <w:r w:rsidR="00507E84" w:rsidRPr="00FC7C5C">
        <w:rPr>
          <w:rFonts w:eastAsia="Times New Roman"/>
          <w:highlight w:val="white"/>
        </w:rPr>
        <w:t>potentially</w:t>
      </w:r>
      <w:r w:rsidRPr="00FC7C5C">
        <w:rPr>
          <w:rFonts w:eastAsia="Times New Roman"/>
          <w:highlight w:val="white"/>
        </w:rPr>
        <w:t xml:space="preserve"> impacted b</w:t>
      </w:r>
      <w:r w:rsidR="00062605" w:rsidRPr="00FC7C5C">
        <w:rPr>
          <w:rFonts w:eastAsia="Times New Roman"/>
          <w:highlight w:val="white"/>
        </w:rPr>
        <w:t xml:space="preserve">y the move to </w:t>
      </w:r>
      <w:r w:rsidR="00471434" w:rsidRPr="00FC7C5C">
        <w:rPr>
          <w:rFonts w:eastAsia="Times New Roman"/>
          <w:highlight w:val="white"/>
        </w:rPr>
        <w:t>virtual</w:t>
      </w:r>
      <w:r w:rsidR="00062605" w:rsidRPr="00FC7C5C">
        <w:rPr>
          <w:rFonts w:eastAsia="Times New Roman"/>
          <w:highlight w:val="white"/>
        </w:rPr>
        <w:t xml:space="preserve"> learning</w:t>
      </w:r>
      <w:r w:rsidR="00D11893" w:rsidRPr="00FC7C5C">
        <w:rPr>
          <w:rFonts w:eastAsia="Times New Roman"/>
          <w:highlight w:val="white"/>
        </w:rPr>
        <w:t>;</w:t>
      </w:r>
      <w:r w:rsidRPr="00FC7C5C">
        <w:rPr>
          <w:rFonts w:eastAsia="Times New Roman"/>
          <w:highlight w:val="white"/>
        </w:rPr>
        <w:t xml:space="preserve"> </w:t>
      </w:r>
      <w:r w:rsidR="00507E84" w:rsidRPr="00FC7C5C">
        <w:rPr>
          <w:rFonts w:eastAsia="Times New Roman"/>
          <w:highlight w:val="white"/>
        </w:rPr>
        <w:t>however</w:t>
      </w:r>
      <w:r w:rsidR="00D11893" w:rsidRPr="00FC7C5C">
        <w:rPr>
          <w:rFonts w:eastAsia="Times New Roman"/>
          <w:highlight w:val="white"/>
        </w:rPr>
        <w:t>,</w:t>
      </w:r>
      <w:r w:rsidRPr="00FC7C5C">
        <w:rPr>
          <w:rFonts w:eastAsia="Times New Roman"/>
          <w:highlight w:val="white"/>
        </w:rPr>
        <w:t xml:space="preserve"> this study is concerned with the impacts on </w:t>
      </w:r>
      <w:r w:rsidR="00CF6221" w:rsidRPr="00FC7C5C">
        <w:rPr>
          <w:rFonts w:eastAsia="Times New Roman"/>
          <w:highlight w:val="white"/>
        </w:rPr>
        <w:t xml:space="preserve">preservice </w:t>
      </w:r>
      <w:r w:rsidRPr="00FC7C5C">
        <w:rPr>
          <w:rFonts w:eastAsia="Times New Roman"/>
          <w:highlight w:val="white"/>
        </w:rPr>
        <w:t xml:space="preserve">teacher </w:t>
      </w:r>
      <w:r w:rsidR="00507E84" w:rsidRPr="00FC7C5C">
        <w:rPr>
          <w:rFonts w:eastAsia="Times New Roman"/>
          <w:highlight w:val="white"/>
        </w:rPr>
        <w:t>knowledge</w:t>
      </w:r>
      <w:r w:rsidRPr="00FC7C5C">
        <w:rPr>
          <w:rFonts w:eastAsia="Times New Roman"/>
          <w:highlight w:val="white"/>
        </w:rPr>
        <w:t xml:space="preserve">, </w:t>
      </w:r>
      <w:r w:rsidR="00D11893" w:rsidRPr="00FC7C5C">
        <w:rPr>
          <w:rFonts w:eastAsia="Times New Roman"/>
          <w:highlight w:val="white"/>
        </w:rPr>
        <w:t xml:space="preserve">more </w:t>
      </w:r>
      <w:r w:rsidRPr="00FC7C5C">
        <w:rPr>
          <w:rFonts w:eastAsia="Times New Roman"/>
          <w:highlight w:val="white"/>
        </w:rPr>
        <w:t>speci</w:t>
      </w:r>
      <w:r w:rsidR="00EA4FA8" w:rsidRPr="00FC7C5C">
        <w:rPr>
          <w:rFonts w:eastAsia="Times New Roman"/>
          <w:highlight w:val="white"/>
        </w:rPr>
        <w:t>fic</w:t>
      </w:r>
      <w:r w:rsidRPr="00FC7C5C">
        <w:rPr>
          <w:rFonts w:eastAsia="Times New Roman"/>
          <w:highlight w:val="white"/>
        </w:rPr>
        <w:t>ally</w:t>
      </w:r>
      <w:r w:rsidR="00C40A4E" w:rsidRPr="00FC7C5C">
        <w:rPr>
          <w:rFonts w:eastAsia="Times New Roman"/>
          <w:highlight w:val="white"/>
        </w:rPr>
        <w:t xml:space="preserve"> </w:t>
      </w:r>
      <w:r w:rsidR="00471434" w:rsidRPr="00FC7C5C">
        <w:rPr>
          <w:rFonts w:eastAsia="Times New Roman"/>
          <w:highlight w:val="white"/>
        </w:rPr>
        <w:t xml:space="preserve">pedagogical content knowledge (PCK). </w:t>
      </w:r>
      <w:r w:rsidR="00471434" w:rsidRPr="00FC7C5C">
        <w:rPr>
          <w:rFonts w:eastAsia="Times New Roman"/>
        </w:rPr>
        <w:t xml:space="preserve">PCK </w:t>
      </w:r>
      <w:r w:rsidR="001B7B7E" w:rsidRPr="00FC7C5C">
        <w:rPr>
          <w:rFonts w:eastAsia="Times New Roman"/>
        </w:rPr>
        <w:t xml:space="preserve">is </w:t>
      </w:r>
      <w:r w:rsidR="00FA084A" w:rsidRPr="00FC7C5C">
        <w:rPr>
          <w:rFonts w:eastAsia="Times New Roman"/>
        </w:rPr>
        <w:t xml:space="preserve">a specialized form of teacher knowledge that includes </w:t>
      </w:r>
      <w:r w:rsidR="001B7B7E" w:rsidRPr="00FC7C5C">
        <w:rPr>
          <w:rFonts w:eastAsia="Times New Roman"/>
        </w:rPr>
        <w:t xml:space="preserve">the knowledge of, logic behind, and enactment of teaching </w:t>
      </w:r>
      <w:r w:rsidR="00FA084A" w:rsidRPr="00FC7C5C">
        <w:rPr>
          <w:rFonts w:eastAsia="Times New Roman"/>
        </w:rPr>
        <w:t xml:space="preserve">content </w:t>
      </w:r>
      <w:r w:rsidR="001B7B7E" w:rsidRPr="00FC7C5C">
        <w:rPr>
          <w:rFonts w:eastAsia="Times New Roman"/>
        </w:rPr>
        <w:t>for enhanced student outcomes (Berry</w:t>
      </w:r>
      <w:r w:rsidR="00B30CC6" w:rsidRPr="00FC7C5C">
        <w:rPr>
          <w:rFonts w:eastAsia="Times New Roman"/>
        </w:rPr>
        <w:t xml:space="preserve"> et al.</w:t>
      </w:r>
      <w:r w:rsidR="001B7B7E" w:rsidRPr="00FC7C5C">
        <w:rPr>
          <w:rFonts w:eastAsia="Times New Roman"/>
        </w:rPr>
        <w:t xml:space="preserve">, 2015). </w:t>
      </w:r>
      <w:r w:rsidR="00471434" w:rsidRPr="00FC7C5C">
        <w:rPr>
          <w:rFonts w:eastAsia="Times New Roman"/>
          <w:highlight w:val="white"/>
        </w:rPr>
        <w:t xml:space="preserve">Experts have asserted teachers in all education disciplines need to </w:t>
      </w:r>
      <w:r w:rsidR="007D7704" w:rsidRPr="00FC7C5C">
        <w:rPr>
          <w:rFonts w:eastAsia="Times New Roman"/>
          <w:highlight w:val="white"/>
        </w:rPr>
        <w:t>hold</w:t>
      </w:r>
      <w:r w:rsidR="00471434" w:rsidRPr="00FC7C5C">
        <w:rPr>
          <w:rFonts w:eastAsia="Times New Roman"/>
          <w:highlight w:val="white"/>
        </w:rPr>
        <w:t xml:space="preserve"> and demonstrate PCK to be effective in the classroom (</w:t>
      </w:r>
      <w:hyperlink r:id="rId8" w:anchor="darling97">
        <w:r w:rsidR="00471434" w:rsidRPr="00FC7C5C">
          <w:rPr>
            <w:rFonts w:eastAsia="Times New Roman"/>
            <w:highlight w:val="white"/>
          </w:rPr>
          <w:t>Darling-Hammond, 1997</w:t>
        </w:r>
      </w:hyperlink>
      <w:r w:rsidR="00471434" w:rsidRPr="00FC7C5C">
        <w:rPr>
          <w:rFonts w:eastAsia="Times New Roman"/>
          <w:highlight w:val="white"/>
        </w:rPr>
        <w:t xml:space="preserve">; </w:t>
      </w:r>
      <w:hyperlink r:id="rId9" w:anchor="Accreditation">
        <w:r w:rsidR="00471434" w:rsidRPr="00FC7C5C">
          <w:rPr>
            <w:rFonts w:eastAsia="Times New Roman"/>
            <w:highlight w:val="white"/>
          </w:rPr>
          <w:t>NCATE, 200</w:t>
        </w:r>
      </w:hyperlink>
      <w:r w:rsidR="007B53E0">
        <w:rPr>
          <w:rFonts w:eastAsia="Times New Roman"/>
          <w:highlight w:val="white"/>
        </w:rPr>
        <w:t>2</w:t>
      </w:r>
      <w:r w:rsidR="00471434" w:rsidRPr="00FC7C5C">
        <w:rPr>
          <w:rFonts w:eastAsia="Times New Roman"/>
          <w:highlight w:val="white"/>
        </w:rPr>
        <w:t xml:space="preserve">). </w:t>
      </w:r>
      <w:r w:rsidR="00471434" w:rsidRPr="00FC7C5C">
        <w:rPr>
          <w:rFonts w:eastAsia="Times New Roman"/>
        </w:rPr>
        <w:t>In SBAE teacher preparation, the development of PCK</w:t>
      </w:r>
      <w:r w:rsidR="001B7B7E" w:rsidRPr="00FC7C5C">
        <w:rPr>
          <w:rFonts w:eastAsia="Times New Roman"/>
        </w:rPr>
        <w:t xml:space="preserve"> </w:t>
      </w:r>
      <w:r w:rsidR="00471434" w:rsidRPr="00FC7C5C">
        <w:rPr>
          <w:rFonts w:eastAsia="Times New Roman"/>
        </w:rPr>
        <w:t>is vital (</w:t>
      </w:r>
      <w:r w:rsidR="00AA1C67" w:rsidRPr="00FC7C5C">
        <w:rPr>
          <w:rFonts w:eastAsia="Times New Roman"/>
        </w:rPr>
        <w:t xml:space="preserve">Rice &amp; Kitchel, </w:t>
      </w:r>
      <w:r w:rsidR="0070192C" w:rsidRPr="00FC7C5C">
        <w:rPr>
          <w:rFonts w:eastAsia="Times New Roman"/>
        </w:rPr>
        <w:t>2017)</w:t>
      </w:r>
      <w:r w:rsidR="00471434" w:rsidRPr="00FC7C5C">
        <w:rPr>
          <w:rFonts w:eastAsia="Times New Roman"/>
        </w:rPr>
        <w:t xml:space="preserve"> </w:t>
      </w:r>
      <w:r w:rsidR="001B7B7E" w:rsidRPr="00FC7C5C">
        <w:rPr>
          <w:rFonts w:eastAsia="Times New Roman"/>
        </w:rPr>
        <w:t>due to its positive influence on multiple teaching decisions such as selecting appropriate representations and examples of concepts, addressing student misconceptions of concepts, and incorporating and arranging concepts in the curriculum (Ball</w:t>
      </w:r>
      <w:r w:rsidR="00BC541D" w:rsidRPr="00FC7C5C">
        <w:rPr>
          <w:rFonts w:eastAsia="Times New Roman"/>
        </w:rPr>
        <w:t xml:space="preserve"> et al.,</w:t>
      </w:r>
      <w:r w:rsidR="001B7B7E" w:rsidRPr="00FC7C5C">
        <w:rPr>
          <w:rFonts w:eastAsia="Times New Roman"/>
        </w:rPr>
        <w:t xml:space="preserve"> 2008)</w:t>
      </w:r>
      <w:r w:rsidR="00906B0D">
        <w:rPr>
          <w:rFonts w:eastAsia="Times New Roman"/>
        </w:rPr>
        <w:t xml:space="preserve">. </w:t>
      </w:r>
      <w:r w:rsidR="005128DB" w:rsidRPr="00FC7C5C">
        <w:rPr>
          <w:rFonts w:eastAsia="Times New Roman"/>
        </w:rPr>
        <w:t>However,</w:t>
      </w:r>
      <w:r w:rsidR="001B7B7E" w:rsidRPr="00FC7C5C">
        <w:rPr>
          <w:rFonts w:eastAsia="Times New Roman"/>
        </w:rPr>
        <w:t xml:space="preserve"> </w:t>
      </w:r>
      <w:r w:rsidR="00471434" w:rsidRPr="00FC7C5C">
        <w:rPr>
          <w:rFonts w:eastAsia="Times New Roman"/>
        </w:rPr>
        <w:t>i</w:t>
      </w:r>
      <w:r w:rsidR="001B7B7E" w:rsidRPr="00FC7C5C">
        <w:rPr>
          <w:rFonts w:eastAsia="Times New Roman"/>
        </w:rPr>
        <w:t xml:space="preserve">n various </w:t>
      </w:r>
      <w:r w:rsidR="00AA1C67" w:rsidRPr="00FC7C5C">
        <w:rPr>
          <w:rFonts w:eastAsia="Times New Roman"/>
        </w:rPr>
        <w:t xml:space="preserve">education </w:t>
      </w:r>
      <w:r w:rsidR="001B7B7E" w:rsidRPr="00FC7C5C">
        <w:rPr>
          <w:rFonts w:eastAsia="Times New Roman"/>
        </w:rPr>
        <w:t>disciplines</w:t>
      </w:r>
      <w:r w:rsidR="00AC64F6">
        <w:rPr>
          <w:rFonts w:eastAsia="Times New Roman"/>
        </w:rPr>
        <w:t>,</w:t>
      </w:r>
      <w:r w:rsidR="0071028E">
        <w:rPr>
          <w:rFonts w:eastAsia="Times New Roman"/>
        </w:rPr>
        <w:t xml:space="preserve"> </w:t>
      </w:r>
      <w:r w:rsidR="00471434" w:rsidRPr="00FC7C5C">
        <w:rPr>
          <w:rFonts w:eastAsia="Times New Roman"/>
        </w:rPr>
        <w:t>researchers have found PCK in preservice teachers is lacking</w:t>
      </w:r>
      <w:r w:rsidR="006863B7" w:rsidRPr="00FC7C5C">
        <w:rPr>
          <w:rFonts w:eastAsia="Times New Roman"/>
        </w:rPr>
        <w:t xml:space="preserve"> </w:t>
      </w:r>
      <w:r w:rsidR="001B7B7E" w:rsidRPr="00FC7C5C">
        <w:rPr>
          <w:rFonts w:eastAsia="Times New Roman"/>
        </w:rPr>
        <w:t>(</w:t>
      </w:r>
      <w:r w:rsidR="003A5FD2" w:rsidRPr="00FC7C5C">
        <w:rPr>
          <w:rFonts w:eastAsia="Times New Roman"/>
        </w:rPr>
        <w:t>Ball</w:t>
      </w:r>
      <w:r w:rsidR="00F11176">
        <w:rPr>
          <w:rFonts w:eastAsia="Times New Roman"/>
        </w:rPr>
        <w:t xml:space="preserve"> et al.</w:t>
      </w:r>
      <w:r w:rsidR="003A5FD2" w:rsidRPr="00FC7C5C">
        <w:rPr>
          <w:rFonts w:eastAsia="Times New Roman"/>
        </w:rPr>
        <w:t>, 200</w:t>
      </w:r>
      <w:r w:rsidR="0002352F">
        <w:rPr>
          <w:rFonts w:eastAsia="Times New Roman"/>
        </w:rPr>
        <w:t>8</w:t>
      </w:r>
      <w:r w:rsidR="003A5FD2" w:rsidRPr="00FC7C5C">
        <w:rPr>
          <w:rFonts w:eastAsia="Times New Roman"/>
        </w:rPr>
        <w:t xml:space="preserve">; </w:t>
      </w:r>
      <w:r w:rsidR="00AF78D2" w:rsidRPr="00FC7C5C">
        <w:rPr>
          <w:rFonts w:eastAsia="Times New Roman"/>
        </w:rPr>
        <w:t xml:space="preserve">Berry et al., 2015; </w:t>
      </w:r>
      <w:r w:rsidR="001B7B7E" w:rsidRPr="00FC7C5C">
        <w:rPr>
          <w:rFonts w:eastAsia="Times New Roman"/>
        </w:rPr>
        <w:t>Kind, 2009</w:t>
      </w:r>
      <w:r w:rsidR="00BC541D" w:rsidRPr="00FC7C5C">
        <w:rPr>
          <w:rFonts w:eastAsia="Times New Roman"/>
        </w:rPr>
        <w:t>)</w:t>
      </w:r>
      <w:r w:rsidR="001B7B7E" w:rsidRPr="00FC7C5C">
        <w:rPr>
          <w:rFonts w:eastAsia="Times New Roman"/>
        </w:rPr>
        <w:t>.</w:t>
      </w:r>
      <w:r w:rsidR="003A5FD2" w:rsidRPr="00FC7C5C">
        <w:rPr>
          <w:rFonts w:eastAsia="Times New Roman"/>
        </w:rPr>
        <w:t xml:space="preserve"> </w:t>
      </w:r>
      <w:r w:rsidR="005128DB" w:rsidRPr="00FC7C5C">
        <w:rPr>
          <w:rFonts w:eastAsia="Times New Roman"/>
        </w:rPr>
        <w:t>PCK is complex and develops over time through experiences (Grossman, 1990)</w:t>
      </w:r>
      <w:r w:rsidR="006863B7" w:rsidRPr="00FC7C5C">
        <w:rPr>
          <w:rFonts w:eastAsia="Times New Roman"/>
        </w:rPr>
        <w:t xml:space="preserve">, but can begin at the preservice level </w:t>
      </w:r>
      <w:r w:rsidR="00B30CC6" w:rsidRPr="00FC7C5C">
        <w:rPr>
          <w:rFonts w:eastAsia="Times New Roman"/>
        </w:rPr>
        <w:t xml:space="preserve">through purposeful instruction </w:t>
      </w:r>
      <w:r w:rsidR="006863B7" w:rsidRPr="00FC7C5C">
        <w:rPr>
          <w:rFonts w:eastAsia="Times New Roman"/>
        </w:rPr>
        <w:t xml:space="preserve">(Hume &amp; Berry, </w:t>
      </w:r>
      <w:r w:rsidR="00C15C17" w:rsidRPr="00FC7C5C">
        <w:rPr>
          <w:rFonts w:eastAsia="Times New Roman"/>
        </w:rPr>
        <w:t>2010)</w:t>
      </w:r>
      <w:r w:rsidR="00F45DD1" w:rsidRPr="00FC7C5C">
        <w:rPr>
          <w:rFonts w:eastAsia="Times New Roman"/>
        </w:rPr>
        <w:t>.</w:t>
      </w:r>
      <w:r w:rsidR="005128DB" w:rsidRPr="00FC7C5C">
        <w:rPr>
          <w:rFonts w:eastAsia="Times New Roman"/>
        </w:rPr>
        <w:t xml:space="preserve"> </w:t>
      </w:r>
      <w:r w:rsidR="001B7B7E" w:rsidRPr="00FC7C5C">
        <w:rPr>
          <w:rFonts w:eastAsia="Times New Roman"/>
        </w:rPr>
        <w:t>Classroom practice is</w:t>
      </w:r>
      <w:r w:rsidR="00F45DD1" w:rsidRPr="00FC7C5C">
        <w:rPr>
          <w:rFonts w:eastAsia="Times New Roman"/>
        </w:rPr>
        <w:t xml:space="preserve"> a</w:t>
      </w:r>
      <w:r w:rsidR="00B30CC6" w:rsidRPr="00FC7C5C">
        <w:rPr>
          <w:rFonts w:eastAsia="Times New Roman"/>
        </w:rPr>
        <w:t>n</w:t>
      </w:r>
      <w:r w:rsidR="00F45DD1" w:rsidRPr="00FC7C5C">
        <w:rPr>
          <w:rFonts w:eastAsia="Times New Roman"/>
        </w:rPr>
        <w:t xml:space="preserve"> </w:t>
      </w:r>
      <w:r w:rsidR="00B30CC6" w:rsidRPr="00FC7C5C">
        <w:rPr>
          <w:rFonts w:eastAsia="Times New Roman"/>
        </w:rPr>
        <w:t>essential</w:t>
      </w:r>
      <w:r w:rsidR="00F45DD1" w:rsidRPr="00FC7C5C">
        <w:rPr>
          <w:rFonts w:eastAsia="Times New Roman"/>
        </w:rPr>
        <w:t xml:space="preserve"> component of PCK development (</w:t>
      </w:r>
      <w:r w:rsidR="0070192C" w:rsidRPr="00FC7C5C">
        <w:rPr>
          <w:rFonts w:eastAsia="Times New Roman"/>
        </w:rPr>
        <w:t>Berry et al., 2015</w:t>
      </w:r>
      <w:r w:rsidR="00F45DD1" w:rsidRPr="00FC7C5C">
        <w:rPr>
          <w:rFonts w:eastAsia="Times New Roman"/>
        </w:rPr>
        <w:t xml:space="preserve">), </w:t>
      </w:r>
      <w:r w:rsidR="006863B7" w:rsidRPr="00FC7C5C">
        <w:rPr>
          <w:rFonts w:eastAsia="Times New Roman"/>
        </w:rPr>
        <w:t>leading</w:t>
      </w:r>
      <w:r w:rsidR="00F45DD1" w:rsidRPr="00FC7C5C">
        <w:rPr>
          <w:rFonts w:eastAsia="Times New Roman"/>
        </w:rPr>
        <w:t xml:space="preserve"> SBAE teacher preparation programs</w:t>
      </w:r>
      <w:r w:rsidR="00B30CC6" w:rsidRPr="00FC7C5C">
        <w:rPr>
          <w:rFonts w:eastAsia="Times New Roman"/>
        </w:rPr>
        <w:t xml:space="preserve"> nationwide</w:t>
      </w:r>
      <w:r w:rsidR="006863B7" w:rsidRPr="00FC7C5C">
        <w:rPr>
          <w:rFonts w:eastAsia="Times New Roman"/>
        </w:rPr>
        <w:t xml:space="preserve"> to</w:t>
      </w:r>
      <w:r w:rsidR="00F45DD1" w:rsidRPr="00FC7C5C">
        <w:rPr>
          <w:rFonts w:eastAsia="Times New Roman"/>
        </w:rPr>
        <w:t xml:space="preserve"> include field experience</w:t>
      </w:r>
      <w:r w:rsidR="007D7704" w:rsidRPr="00FC7C5C">
        <w:rPr>
          <w:rFonts w:eastAsia="Times New Roman"/>
        </w:rPr>
        <w:t>s</w:t>
      </w:r>
      <w:r w:rsidR="00F45DD1" w:rsidRPr="00FC7C5C">
        <w:rPr>
          <w:rFonts w:eastAsia="Times New Roman"/>
        </w:rPr>
        <w:t>, micro-teaching, and student teaching as critical components for teacher knowledge development</w:t>
      </w:r>
      <w:r w:rsidR="00AA1C67" w:rsidRPr="00FC7C5C">
        <w:rPr>
          <w:rFonts w:eastAsia="Times New Roman"/>
        </w:rPr>
        <w:t xml:space="preserve"> (</w:t>
      </w:r>
      <w:r w:rsidR="00BC57B9" w:rsidRPr="00FC7C5C">
        <w:rPr>
          <w:rFonts w:eastAsia="Times New Roman"/>
        </w:rPr>
        <w:t>Retallick &amp; Miller, 2010</w:t>
      </w:r>
      <w:r w:rsidR="00AA1C67" w:rsidRPr="00FC7C5C">
        <w:rPr>
          <w:rFonts w:eastAsia="Times New Roman"/>
        </w:rPr>
        <w:t>)</w:t>
      </w:r>
      <w:r w:rsidR="00F45DD1" w:rsidRPr="00FC7C5C">
        <w:rPr>
          <w:rFonts w:eastAsia="Times New Roman"/>
        </w:rPr>
        <w:t>.</w:t>
      </w:r>
      <w:r w:rsidR="001B7B7E" w:rsidRPr="00FC7C5C">
        <w:rPr>
          <w:rFonts w:eastAsia="Times New Roman"/>
        </w:rPr>
        <w:t xml:space="preserve"> Learning from the act of teaching is a </w:t>
      </w:r>
      <w:r w:rsidR="00E3348A" w:rsidRPr="00FC7C5C">
        <w:rPr>
          <w:rFonts w:eastAsia="Times New Roman"/>
        </w:rPr>
        <w:t>fundamental</w:t>
      </w:r>
      <w:r w:rsidR="001B7B7E" w:rsidRPr="00FC7C5C">
        <w:rPr>
          <w:rFonts w:eastAsia="Times New Roman"/>
        </w:rPr>
        <w:t xml:space="preserve"> aspect of the vocation of teaching (Berry</w:t>
      </w:r>
      <w:r w:rsidR="005D72A1" w:rsidRPr="00FC7C5C">
        <w:rPr>
          <w:rFonts w:eastAsia="Times New Roman"/>
        </w:rPr>
        <w:t xml:space="preserve"> et al.</w:t>
      </w:r>
      <w:r w:rsidR="001B7B7E" w:rsidRPr="00FC7C5C">
        <w:rPr>
          <w:rFonts w:eastAsia="Times New Roman"/>
        </w:rPr>
        <w:t>, 2015)</w:t>
      </w:r>
      <w:r w:rsidR="00F45DD1" w:rsidRPr="00FC7C5C">
        <w:rPr>
          <w:rFonts w:eastAsia="Times New Roman"/>
        </w:rPr>
        <w:t>,</w:t>
      </w:r>
      <w:r w:rsidR="001B7B7E" w:rsidRPr="00FC7C5C">
        <w:rPr>
          <w:rFonts w:eastAsia="Times New Roman"/>
        </w:rPr>
        <w:t xml:space="preserve"> </w:t>
      </w:r>
      <w:r w:rsidR="0022256A" w:rsidRPr="00FC7C5C">
        <w:rPr>
          <w:rFonts w:eastAsia="Times New Roman"/>
        </w:rPr>
        <w:t>and</w:t>
      </w:r>
      <w:r w:rsidR="005128DB" w:rsidRPr="00FC7C5C">
        <w:rPr>
          <w:rFonts w:eastAsia="Times New Roman"/>
        </w:rPr>
        <w:t xml:space="preserve"> </w:t>
      </w:r>
      <w:r w:rsidR="00F45DD1" w:rsidRPr="00FC7C5C">
        <w:rPr>
          <w:rFonts w:eastAsia="Times New Roman"/>
        </w:rPr>
        <w:t>was</w:t>
      </w:r>
      <w:r w:rsidR="005128DB" w:rsidRPr="00FC7C5C">
        <w:rPr>
          <w:rFonts w:eastAsia="Times New Roman"/>
        </w:rPr>
        <w:t xml:space="preserve"> directly impeded by the move to virtual learning </w:t>
      </w:r>
      <w:r w:rsidR="007A4276" w:rsidRPr="00FC7C5C">
        <w:rPr>
          <w:rFonts w:eastAsia="Times New Roman"/>
        </w:rPr>
        <w:t>propelled</w:t>
      </w:r>
      <w:r w:rsidR="00AA1C67" w:rsidRPr="00FC7C5C">
        <w:rPr>
          <w:rFonts w:eastAsia="Times New Roman"/>
        </w:rPr>
        <w:t xml:space="preserve"> by</w:t>
      </w:r>
      <w:r w:rsidR="005128DB" w:rsidRPr="00FC7C5C">
        <w:rPr>
          <w:rFonts w:eastAsia="Times New Roman"/>
        </w:rPr>
        <w:t xml:space="preserve"> </w:t>
      </w:r>
      <w:r w:rsidR="0022256A" w:rsidRPr="00FC7C5C">
        <w:rPr>
          <w:rFonts w:eastAsia="Times New Roman"/>
        </w:rPr>
        <w:t>the global pandemic</w:t>
      </w:r>
      <w:r w:rsidR="005128DB" w:rsidRPr="00FC7C5C">
        <w:rPr>
          <w:rFonts w:eastAsia="Times New Roman"/>
        </w:rPr>
        <w:t>.</w:t>
      </w:r>
    </w:p>
    <w:p w14:paraId="56C1DC10" w14:textId="77777777" w:rsidR="005951F3" w:rsidRDefault="005951F3" w:rsidP="005951F3">
      <w:pPr>
        <w:widowControl w:val="0"/>
        <w:ind w:firstLine="720"/>
        <w:contextualSpacing/>
        <w:rPr>
          <w:rFonts w:eastAsia="Times New Roman"/>
        </w:rPr>
      </w:pPr>
    </w:p>
    <w:p w14:paraId="3AEE74F7" w14:textId="77C1F768" w:rsidR="00B94592" w:rsidRDefault="005951F3" w:rsidP="0071028E">
      <w:pPr>
        <w:widowControl w:val="0"/>
        <w:ind w:firstLine="720"/>
        <w:contextualSpacing/>
        <w:rPr>
          <w:rFonts w:eastAsia="Times New Roman"/>
        </w:rPr>
      </w:pPr>
      <w:r w:rsidRPr="00FC7C5C">
        <w:rPr>
          <w:rFonts w:eastAsia="Times New Roman"/>
        </w:rPr>
        <w:t xml:space="preserve">The Model of Teacher Professional Knowledge and Skill Including PCK served as the theoretical framework for this study (Berry et al., 2015). Resulting from research in science education, this framework is derived from generalizable professional knowledge of teaching and is applicable to any applied science discipline (Newsome, 2015), including SBAE. This framework is </w:t>
      </w:r>
      <w:r w:rsidRPr="00FC7C5C">
        <w:t>a model for teacher knowledge development</w:t>
      </w:r>
      <w:r w:rsidRPr="00FC7C5C">
        <w:rPr>
          <w:rFonts w:eastAsia="Times New Roman"/>
        </w:rPr>
        <w:t xml:space="preserve">, where PCK is defined as both a knowledge base utilized in the planning and delivery of topic specific content and a skill within </w:t>
      </w:r>
      <w:r w:rsidRPr="00FC7C5C">
        <w:rPr>
          <w:rFonts w:eastAsia="Times New Roman"/>
        </w:rPr>
        <w:lastRenderedPageBreak/>
        <w:t>the act of teaching (Newsome, 2015). The framework depicts how teaching is related to student outcomes encompassing teacher professional knowledge bases (TPKB), topic specific professional knowledge (TSPK), teacher beliefs and orientations, student beliefs, and classroom practice</w:t>
      </w:r>
      <w:r w:rsidRPr="00FC7C5C">
        <w:rPr>
          <w:rFonts w:eastAsia="Times New Roman"/>
          <w:iCs/>
        </w:rPr>
        <w:t>.</w:t>
      </w:r>
      <w:r w:rsidR="0065229D">
        <w:rPr>
          <w:rFonts w:eastAsia="Times New Roman"/>
          <w:iCs/>
        </w:rPr>
        <w:t xml:space="preserve"> The </w:t>
      </w:r>
      <w:r w:rsidR="00734F29">
        <w:rPr>
          <w:rFonts w:eastAsia="Times New Roman"/>
          <w:iCs/>
        </w:rPr>
        <w:t>M</w:t>
      </w:r>
      <w:r w:rsidR="0065229D">
        <w:rPr>
          <w:rFonts w:eastAsia="Times New Roman"/>
          <w:iCs/>
        </w:rPr>
        <w:t xml:space="preserve">odel for </w:t>
      </w:r>
      <w:r w:rsidR="00734F29">
        <w:rPr>
          <w:rFonts w:eastAsia="Times New Roman"/>
          <w:iCs/>
        </w:rPr>
        <w:t>T</w:t>
      </w:r>
      <w:r w:rsidR="0065229D">
        <w:rPr>
          <w:rFonts w:eastAsia="Times New Roman"/>
          <w:iCs/>
        </w:rPr>
        <w:t xml:space="preserve">eacher </w:t>
      </w:r>
      <w:r w:rsidR="00734F29">
        <w:rPr>
          <w:rFonts w:eastAsia="Times New Roman"/>
          <w:iCs/>
        </w:rPr>
        <w:t>P</w:t>
      </w:r>
      <w:r w:rsidR="0065229D">
        <w:rPr>
          <w:rFonts w:eastAsia="Times New Roman"/>
          <w:iCs/>
        </w:rPr>
        <w:t xml:space="preserve">reparation in </w:t>
      </w:r>
      <w:r w:rsidR="00734F29">
        <w:rPr>
          <w:rFonts w:eastAsia="Times New Roman"/>
          <w:iCs/>
        </w:rPr>
        <w:t>A</w:t>
      </w:r>
      <w:r w:rsidR="0065229D">
        <w:rPr>
          <w:rFonts w:eastAsia="Times New Roman"/>
          <w:iCs/>
        </w:rPr>
        <w:t xml:space="preserve">gricultural </w:t>
      </w:r>
      <w:r w:rsidR="00734F29">
        <w:rPr>
          <w:rFonts w:eastAsia="Times New Roman"/>
          <w:iCs/>
        </w:rPr>
        <w:t>E</w:t>
      </w:r>
      <w:r w:rsidR="0065229D">
        <w:rPr>
          <w:rFonts w:eastAsia="Times New Roman"/>
          <w:iCs/>
        </w:rPr>
        <w:t>ducation (Whittington, 2005) served as the conceptual framework for this study as it identifies the major goals and foundations of a teacher preparation program, guiding graduates to acquire the knowledge, skills, and dispositions needed by beginning SBAE teachers.</w:t>
      </w:r>
      <w:r w:rsidR="0071028E">
        <w:rPr>
          <w:rFonts w:eastAsia="Times New Roman"/>
        </w:rPr>
        <w:t xml:space="preserve"> </w:t>
      </w:r>
    </w:p>
    <w:p w14:paraId="115150E8" w14:textId="6DB4CC56" w:rsidR="00B95EAC" w:rsidRPr="00FC7C5C" w:rsidRDefault="00B95EAC" w:rsidP="005951F3">
      <w:pPr>
        <w:widowControl w:val="0"/>
        <w:rPr>
          <w:rFonts w:eastAsia="Times New Roman"/>
        </w:rPr>
      </w:pPr>
    </w:p>
    <w:p w14:paraId="77999863" w14:textId="14939A54" w:rsidR="00B95EAC" w:rsidRPr="00FC7C5C" w:rsidRDefault="00C40A4E" w:rsidP="005951F3">
      <w:pPr>
        <w:widowControl w:val="0"/>
        <w:jc w:val="center"/>
        <w:rPr>
          <w:rFonts w:eastAsia="Times New Roman"/>
          <w:b/>
        </w:rPr>
      </w:pPr>
      <w:r w:rsidRPr="00FC7C5C">
        <w:rPr>
          <w:rFonts w:eastAsia="Times New Roman"/>
          <w:b/>
        </w:rPr>
        <w:t xml:space="preserve">Purpose of the Study and </w:t>
      </w:r>
      <w:r w:rsidR="00EC7D5D" w:rsidRPr="00FC7C5C">
        <w:rPr>
          <w:rFonts w:eastAsia="Times New Roman"/>
          <w:b/>
        </w:rPr>
        <w:t>Research Question</w:t>
      </w:r>
    </w:p>
    <w:p w14:paraId="5A781270" w14:textId="77777777" w:rsidR="005128DB" w:rsidRPr="00FC7C5C" w:rsidRDefault="005128DB" w:rsidP="005951F3">
      <w:pPr>
        <w:widowControl w:val="0"/>
        <w:rPr>
          <w:rFonts w:eastAsia="Times New Roman"/>
          <w:b/>
        </w:rPr>
      </w:pPr>
    </w:p>
    <w:p w14:paraId="2B947749" w14:textId="52360AA5" w:rsidR="00273449" w:rsidRPr="00FC7C5C" w:rsidRDefault="00F87BC4" w:rsidP="005951F3">
      <w:pPr>
        <w:widowControl w:val="0"/>
        <w:ind w:firstLine="720"/>
        <w:rPr>
          <w:rFonts w:eastAsia="Times New Roman"/>
          <w:b/>
        </w:rPr>
      </w:pPr>
      <w:r w:rsidRPr="00FC7C5C">
        <w:rPr>
          <w:rFonts w:eastAsia="Times New Roman"/>
        </w:rPr>
        <w:t xml:space="preserve">If PCK is difficult </w:t>
      </w:r>
      <w:r w:rsidRPr="00FC7C5C">
        <w:rPr>
          <w:rFonts w:eastAsia="Times New Roman"/>
          <w:highlight w:val="white"/>
        </w:rPr>
        <w:t xml:space="preserve">for preservice teachers to develop in the best of circumstances, and is a vital factor in teacher preparation, how has COVID-19 and the subsequent move to virtual learning impacted SBAE preservice teachers’ knowledge development? </w:t>
      </w:r>
      <w:r w:rsidR="00C40A4E" w:rsidRPr="00FC7C5C">
        <w:rPr>
          <w:rFonts w:eastAsia="Times New Roman"/>
        </w:rPr>
        <w:t xml:space="preserve">The purpose of this study </w:t>
      </w:r>
      <w:r w:rsidR="008B5247">
        <w:rPr>
          <w:rFonts w:eastAsia="Times New Roman"/>
        </w:rPr>
        <w:t>wa</w:t>
      </w:r>
      <w:r w:rsidR="00C40A4E" w:rsidRPr="00FC7C5C">
        <w:rPr>
          <w:rFonts w:eastAsia="Times New Roman"/>
        </w:rPr>
        <w:t xml:space="preserve">s to </w:t>
      </w:r>
      <w:r w:rsidR="0020708F" w:rsidRPr="00FC7C5C">
        <w:rPr>
          <w:rFonts w:eastAsia="Times New Roman"/>
        </w:rPr>
        <w:t>explore</w:t>
      </w:r>
      <w:r w:rsidR="00C40A4E" w:rsidRPr="00FC7C5C">
        <w:rPr>
          <w:rFonts w:eastAsia="Times New Roman"/>
        </w:rPr>
        <w:t xml:space="preserve"> the i</w:t>
      </w:r>
      <w:r w:rsidR="006B2A99" w:rsidRPr="00FC7C5C">
        <w:rPr>
          <w:rFonts w:eastAsia="Times New Roman"/>
        </w:rPr>
        <w:t>nfluence</w:t>
      </w:r>
      <w:r w:rsidR="00C40A4E" w:rsidRPr="00FC7C5C">
        <w:rPr>
          <w:rFonts w:eastAsia="Times New Roman"/>
        </w:rPr>
        <w:t xml:space="preserve"> of </w:t>
      </w:r>
      <w:r w:rsidR="006B2A99" w:rsidRPr="00FC7C5C">
        <w:rPr>
          <w:rFonts w:eastAsia="Times New Roman"/>
        </w:rPr>
        <w:t>COVID-</w:t>
      </w:r>
      <w:r w:rsidR="00C40A4E" w:rsidRPr="00FC7C5C">
        <w:rPr>
          <w:rFonts w:eastAsia="Times New Roman"/>
        </w:rPr>
        <w:t>19</w:t>
      </w:r>
      <w:r w:rsidR="00AC2DAE" w:rsidRPr="00FC7C5C">
        <w:rPr>
          <w:rFonts w:eastAsia="Times New Roman"/>
        </w:rPr>
        <w:t>,</w:t>
      </w:r>
      <w:r w:rsidR="00C40A4E" w:rsidRPr="00FC7C5C">
        <w:rPr>
          <w:rFonts w:eastAsia="Times New Roman"/>
        </w:rPr>
        <w:t xml:space="preserve"> </w:t>
      </w:r>
      <w:r w:rsidR="00EC7D5D" w:rsidRPr="00FC7C5C">
        <w:rPr>
          <w:rFonts w:eastAsia="Times New Roman"/>
        </w:rPr>
        <w:t>and the shift to virtual learning</w:t>
      </w:r>
      <w:r w:rsidR="00AC2DAE" w:rsidRPr="00FC7C5C">
        <w:rPr>
          <w:rFonts w:eastAsia="Times New Roman"/>
        </w:rPr>
        <w:t>,</w:t>
      </w:r>
      <w:r w:rsidR="00C40A4E" w:rsidRPr="00FC7C5C">
        <w:rPr>
          <w:rFonts w:eastAsia="Times New Roman"/>
        </w:rPr>
        <w:t xml:space="preserve"> on the</w:t>
      </w:r>
      <w:r w:rsidR="00EC7D5D" w:rsidRPr="00FC7C5C">
        <w:rPr>
          <w:rFonts w:eastAsia="Times New Roman"/>
        </w:rPr>
        <w:t xml:space="preserve"> preparation of SBAE preservice teachers at</w:t>
      </w:r>
      <w:r w:rsidR="00123BF5">
        <w:rPr>
          <w:rFonts w:eastAsia="Times New Roman"/>
        </w:rPr>
        <w:t xml:space="preserve"> the</w:t>
      </w:r>
      <w:r w:rsidR="00EC7D5D" w:rsidRPr="00FC7C5C">
        <w:rPr>
          <w:rFonts w:eastAsia="Times New Roman"/>
        </w:rPr>
        <w:t xml:space="preserve"> </w:t>
      </w:r>
      <w:r w:rsidR="00CD4953">
        <w:rPr>
          <w:rFonts w:eastAsia="Times New Roman"/>
        </w:rPr>
        <w:t>University</w:t>
      </w:r>
      <w:r w:rsidR="00123BF5">
        <w:rPr>
          <w:rFonts w:eastAsia="Times New Roman"/>
        </w:rPr>
        <w:t xml:space="preserve"> of Arizona (UA)</w:t>
      </w:r>
      <w:r w:rsidR="00EC7D5D" w:rsidRPr="00FC7C5C">
        <w:rPr>
          <w:rFonts w:eastAsia="Times New Roman"/>
        </w:rPr>
        <w:t xml:space="preserve"> with a focus on their PCK development.</w:t>
      </w:r>
      <w:r w:rsidR="00C40A4E" w:rsidRPr="00FC7C5C">
        <w:rPr>
          <w:rFonts w:eastAsia="Times New Roman"/>
        </w:rPr>
        <w:t xml:space="preserve"> The following central research question guided this study:</w:t>
      </w:r>
      <w:r w:rsidR="00C40A4E" w:rsidRPr="00FC7C5C">
        <w:rPr>
          <w:rFonts w:eastAsia="Times New Roman"/>
          <w:b/>
        </w:rPr>
        <w:t xml:space="preserve"> </w:t>
      </w:r>
      <w:r w:rsidR="00C40A4E" w:rsidRPr="00FC7C5C">
        <w:rPr>
          <w:rFonts w:eastAsia="Times New Roman"/>
        </w:rPr>
        <w:t xml:space="preserve">What </w:t>
      </w:r>
      <w:r w:rsidR="006C6A54" w:rsidRPr="00FC7C5C">
        <w:rPr>
          <w:rFonts w:eastAsia="Times New Roman"/>
        </w:rPr>
        <w:t xml:space="preserve">is the influence of COVID-19 restrictions and modifications </w:t>
      </w:r>
      <w:r w:rsidR="00C40A4E" w:rsidRPr="00FC7C5C">
        <w:rPr>
          <w:rFonts w:eastAsia="Times New Roman"/>
        </w:rPr>
        <w:t xml:space="preserve">on the </w:t>
      </w:r>
      <w:r w:rsidR="006C6A54" w:rsidRPr="00FC7C5C">
        <w:rPr>
          <w:rFonts w:eastAsia="Times New Roman"/>
        </w:rPr>
        <w:t>PCK</w:t>
      </w:r>
      <w:r w:rsidR="00C40A4E" w:rsidRPr="00FC7C5C">
        <w:rPr>
          <w:rFonts w:eastAsia="Times New Roman"/>
        </w:rPr>
        <w:t xml:space="preserve"> development of </w:t>
      </w:r>
      <w:r w:rsidR="00123BF5">
        <w:rPr>
          <w:rFonts w:eastAsia="Times New Roman"/>
        </w:rPr>
        <w:t>UA</w:t>
      </w:r>
      <w:r w:rsidR="006C6A54" w:rsidRPr="00FC7C5C">
        <w:rPr>
          <w:rFonts w:eastAsia="Times New Roman"/>
        </w:rPr>
        <w:t xml:space="preserve"> SBAE preservice teachers in</w:t>
      </w:r>
      <w:r w:rsidR="00C40A4E" w:rsidRPr="00FC7C5C">
        <w:rPr>
          <w:rFonts w:eastAsia="Times New Roman"/>
        </w:rPr>
        <w:t xml:space="preserve"> agricultur</w:t>
      </w:r>
      <w:r w:rsidR="006C6A54" w:rsidRPr="00FC7C5C">
        <w:rPr>
          <w:rFonts w:eastAsia="Times New Roman"/>
        </w:rPr>
        <w:t>e,</w:t>
      </w:r>
      <w:r w:rsidR="00C40A4E" w:rsidRPr="00FC7C5C">
        <w:rPr>
          <w:rFonts w:eastAsia="Times New Roman"/>
        </w:rPr>
        <w:t xml:space="preserve"> food</w:t>
      </w:r>
      <w:r w:rsidR="006C6A54" w:rsidRPr="00FC7C5C">
        <w:rPr>
          <w:rFonts w:eastAsia="Times New Roman"/>
        </w:rPr>
        <w:t>,</w:t>
      </w:r>
      <w:r w:rsidR="00C40A4E" w:rsidRPr="00FC7C5C">
        <w:rPr>
          <w:rFonts w:eastAsia="Times New Roman"/>
        </w:rPr>
        <w:t xml:space="preserve"> and natural resources</w:t>
      </w:r>
      <w:r w:rsidR="006C6A54" w:rsidRPr="00FC7C5C">
        <w:rPr>
          <w:rFonts w:eastAsia="Times New Roman"/>
        </w:rPr>
        <w:t xml:space="preserve"> content</w:t>
      </w:r>
      <w:r w:rsidR="00C40A4E" w:rsidRPr="00FC7C5C">
        <w:rPr>
          <w:rFonts w:eastAsia="Times New Roman"/>
        </w:rPr>
        <w:t>?</w:t>
      </w:r>
      <w:r w:rsidR="002C4DB8">
        <w:rPr>
          <w:rFonts w:eastAsia="Times New Roman"/>
        </w:rPr>
        <w:t xml:space="preserve"> </w:t>
      </w:r>
    </w:p>
    <w:p w14:paraId="3D6423BA" w14:textId="47E624CE" w:rsidR="00B45BF4" w:rsidRPr="00FC7C5C" w:rsidRDefault="00B45BF4" w:rsidP="005951F3">
      <w:pPr>
        <w:widowControl w:val="0"/>
        <w:tabs>
          <w:tab w:val="right" w:pos="0"/>
        </w:tabs>
        <w:rPr>
          <w:rFonts w:eastAsia="Times New Roman"/>
        </w:rPr>
      </w:pPr>
      <w:r w:rsidRPr="00FC7C5C">
        <w:rPr>
          <w:rFonts w:eastAsia="Times New Roman"/>
          <w:highlight w:val="white"/>
        </w:rPr>
        <w:tab/>
        <w:t xml:space="preserve"> </w:t>
      </w:r>
    </w:p>
    <w:p w14:paraId="02B8065C" w14:textId="7955E8A4" w:rsidR="00B95EAC" w:rsidRDefault="00C40A4E" w:rsidP="005951F3">
      <w:pPr>
        <w:widowControl w:val="0"/>
        <w:jc w:val="center"/>
        <w:rPr>
          <w:b/>
        </w:rPr>
      </w:pPr>
      <w:r w:rsidRPr="00FC7C5C">
        <w:rPr>
          <w:b/>
        </w:rPr>
        <w:t>Methods</w:t>
      </w:r>
    </w:p>
    <w:p w14:paraId="6FCADE40" w14:textId="77777777" w:rsidR="00740A94" w:rsidRPr="00FC7C5C" w:rsidRDefault="00740A94" w:rsidP="005951F3">
      <w:pPr>
        <w:widowControl w:val="0"/>
        <w:jc w:val="center"/>
        <w:rPr>
          <w:b/>
        </w:rPr>
      </w:pPr>
    </w:p>
    <w:p w14:paraId="3150A73E" w14:textId="2AAA0633" w:rsidR="008A01F5" w:rsidRPr="006B0657" w:rsidRDefault="00E10FAB" w:rsidP="006B0657">
      <w:pPr>
        <w:widowControl w:val="0"/>
        <w:ind w:firstLine="720"/>
        <w:rPr>
          <w:b/>
        </w:rPr>
      </w:pPr>
      <w:r w:rsidRPr="00FC7C5C">
        <w:t xml:space="preserve">This research </w:t>
      </w:r>
      <w:r w:rsidR="00816B29" w:rsidRPr="00FC7C5C">
        <w:t>employed</w:t>
      </w:r>
      <w:r w:rsidRPr="00FC7C5C">
        <w:t xml:space="preserve"> a single case study design</w:t>
      </w:r>
      <w:r w:rsidR="00816B29" w:rsidRPr="00FC7C5C">
        <w:t xml:space="preserve"> of one preservice teacher cohort (Hancock &amp; </w:t>
      </w:r>
      <w:proofErr w:type="spellStart"/>
      <w:r w:rsidR="00816B29" w:rsidRPr="00FC7C5C">
        <w:t>Algozzine</w:t>
      </w:r>
      <w:proofErr w:type="spellEnd"/>
      <w:r w:rsidR="00816B29" w:rsidRPr="00FC7C5C">
        <w:t>, 2011).</w:t>
      </w:r>
      <w:r w:rsidRPr="00FC7C5C">
        <w:t xml:space="preserve"> </w:t>
      </w:r>
      <w:r w:rsidR="00AF2069" w:rsidRPr="00FC7C5C">
        <w:t>T</w:t>
      </w:r>
      <w:r w:rsidR="00816B29" w:rsidRPr="00FC7C5C">
        <w:t>his particular case was chosen because of the unique nature of teacher preparation during the COVID-19 pandemic</w:t>
      </w:r>
      <w:r w:rsidR="00DB6456" w:rsidRPr="00FC7C5C">
        <w:t xml:space="preserve"> and the shift to virtual learning</w:t>
      </w:r>
      <w:r w:rsidR="00816B29" w:rsidRPr="00FC7C5C">
        <w:t xml:space="preserve">. </w:t>
      </w:r>
      <w:r w:rsidRPr="00FC7C5C">
        <w:rPr>
          <w:color w:val="000000" w:themeColor="text1"/>
        </w:rPr>
        <w:t xml:space="preserve">I approached this study through a </w:t>
      </w:r>
      <w:r w:rsidRPr="00FC7C5C">
        <w:t>constructivist lens</w:t>
      </w:r>
      <w:r w:rsidR="00024A9C">
        <w:t xml:space="preserve"> </w:t>
      </w:r>
      <w:r w:rsidRPr="00FC7C5C">
        <w:t>(</w:t>
      </w:r>
      <w:proofErr w:type="spellStart"/>
      <w:r w:rsidRPr="00FC7C5C">
        <w:t>Boghossion</w:t>
      </w:r>
      <w:proofErr w:type="spellEnd"/>
      <w:r w:rsidRPr="00FC7C5C">
        <w:t>, 2006). To avoid bias is my research, it</w:t>
      </w:r>
      <w:r w:rsidR="00604AEF" w:rsidRPr="00FC7C5C">
        <w:t xml:space="preserve"> is also</w:t>
      </w:r>
      <w:r w:rsidRPr="00FC7C5C">
        <w:t xml:space="preserve"> important </w:t>
      </w:r>
      <w:r w:rsidR="00604AEF" w:rsidRPr="00FC7C5C">
        <w:t>to</w:t>
      </w:r>
      <w:r w:rsidRPr="00FC7C5C">
        <w:t xml:space="preserve"> disclose my position</w:t>
      </w:r>
      <w:r w:rsidR="00604AEF" w:rsidRPr="00FC7C5C">
        <w:t>ality</w:t>
      </w:r>
      <w:r w:rsidR="0020505A" w:rsidRPr="00FC7C5C">
        <w:t xml:space="preserve"> (Creswell, 2013)</w:t>
      </w:r>
      <w:r w:rsidR="00604AEF" w:rsidRPr="00FC7C5C">
        <w:t>.</w:t>
      </w:r>
      <w:r w:rsidRPr="00FC7C5C">
        <w:t xml:space="preserve"> I </w:t>
      </w:r>
      <w:r w:rsidR="00604AEF" w:rsidRPr="00FC7C5C">
        <w:t xml:space="preserve">completed the </w:t>
      </w:r>
      <w:r w:rsidR="00123BF5">
        <w:t>UA</w:t>
      </w:r>
      <w:r w:rsidR="00604AEF" w:rsidRPr="00FC7C5C">
        <w:t xml:space="preserve"> SBAE teacher preparation program</w:t>
      </w:r>
      <w:r w:rsidR="00024A9C">
        <w:t>, including all core courses and student teaching,</w:t>
      </w:r>
      <w:r w:rsidR="00604AEF" w:rsidRPr="00FC7C5C">
        <w:t xml:space="preserve"> in spring 2018 unaffected by COVID-19.</w:t>
      </w:r>
      <w:r w:rsidRPr="00FC7C5C">
        <w:t xml:space="preserve"> </w:t>
      </w:r>
      <w:r w:rsidR="0020505A" w:rsidRPr="00FC7C5C">
        <w:t xml:space="preserve">Additionally, </w:t>
      </w:r>
      <w:r w:rsidRPr="00FC7C5C">
        <w:t>I</w:t>
      </w:r>
      <w:r w:rsidR="0020505A" w:rsidRPr="00FC7C5C">
        <w:t xml:space="preserve"> served as the teaching assistant for</w:t>
      </w:r>
      <w:r w:rsidR="00E51A9E" w:rsidRPr="00FC7C5C">
        <w:t xml:space="preserve"> two courses </w:t>
      </w:r>
      <w:r w:rsidR="00024A9C">
        <w:t>in</w:t>
      </w:r>
      <w:r w:rsidR="00E51A9E" w:rsidRPr="00FC7C5C">
        <w:t xml:space="preserve"> the </w:t>
      </w:r>
      <w:r w:rsidR="00123BF5">
        <w:t xml:space="preserve">UA </w:t>
      </w:r>
      <w:r w:rsidR="00E51A9E" w:rsidRPr="00FC7C5C">
        <w:t>SBAE teacher preparation</w:t>
      </w:r>
      <w:r w:rsidR="00024A9C">
        <w:t xml:space="preserve"> program</w:t>
      </w:r>
      <w:r w:rsidR="003852E4">
        <w:t xml:space="preserve"> during the COVID-19 pandemic</w:t>
      </w:r>
      <w:r w:rsidR="0020505A" w:rsidRPr="00FC7C5C">
        <w:t>.</w:t>
      </w:r>
      <w:r w:rsidRPr="00FC7C5C">
        <w:t xml:space="preserve"> </w:t>
      </w:r>
    </w:p>
    <w:p w14:paraId="65FCDFFD" w14:textId="77777777" w:rsidR="00271190" w:rsidRDefault="00271190" w:rsidP="005951F3">
      <w:pPr>
        <w:widowControl w:val="0"/>
        <w:ind w:firstLine="720"/>
      </w:pPr>
    </w:p>
    <w:p w14:paraId="091BFE34" w14:textId="07404BD0" w:rsidR="00097ECF" w:rsidRPr="006B0657" w:rsidRDefault="00E10FAB" w:rsidP="006B0657">
      <w:pPr>
        <w:widowControl w:val="0"/>
        <w:ind w:firstLine="720"/>
        <w:rPr>
          <w:b/>
          <w:bCs/>
        </w:rPr>
      </w:pPr>
      <w:r w:rsidRPr="00FC7C5C">
        <w:t xml:space="preserve">Participants </w:t>
      </w:r>
      <w:r w:rsidR="00887692" w:rsidRPr="00FC7C5C">
        <w:t>in</w:t>
      </w:r>
      <w:r w:rsidRPr="00FC7C5C">
        <w:t xml:space="preserve"> this study included </w:t>
      </w:r>
      <w:r w:rsidR="00E30390" w:rsidRPr="00FC7C5C">
        <w:t>five</w:t>
      </w:r>
      <w:r w:rsidR="002F1921" w:rsidRPr="00FC7C5C">
        <w:t xml:space="preserve"> </w:t>
      </w:r>
      <w:r w:rsidR="00123BF5">
        <w:t>UA</w:t>
      </w:r>
      <w:r w:rsidRPr="00FC7C5C">
        <w:t xml:space="preserve"> </w:t>
      </w:r>
      <w:r w:rsidR="00A55366" w:rsidRPr="00FC7C5C">
        <w:t xml:space="preserve">undergraduate </w:t>
      </w:r>
      <w:r w:rsidRPr="00FC7C5C">
        <w:t xml:space="preserve">SBAE </w:t>
      </w:r>
      <w:r w:rsidR="00887692" w:rsidRPr="00FC7C5C">
        <w:t>preservice</w:t>
      </w:r>
      <w:r w:rsidRPr="00FC7C5C">
        <w:t xml:space="preserve"> teachers, </w:t>
      </w:r>
      <w:r w:rsidR="00E96FED" w:rsidRPr="00FC7C5C">
        <w:t>two</w:t>
      </w:r>
      <w:r w:rsidRPr="00FC7C5C">
        <w:t xml:space="preserve"> </w:t>
      </w:r>
      <w:r w:rsidR="00123BF5">
        <w:t>UA</w:t>
      </w:r>
      <w:r w:rsidRPr="00FC7C5C">
        <w:t xml:space="preserve"> instructors, </w:t>
      </w:r>
      <w:r w:rsidR="009D6EB2" w:rsidRPr="00FC7C5C">
        <w:t>one</w:t>
      </w:r>
      <w:r w:rsidRPr="00FC7C5C">
        <w:t xml:space="preserve"> </w:t>
      </w:r>
      <w:r w:rsidR="00123BF5">
        <w:t>UA</w:t>
      </w:r>
      <w:r w:rsidR="001063A8" w:rsidRPr="00FC7C5C">
        <w:t xml:space="preserve"> </w:t>
      </w:r>
      <w:r w:rsidR="009D6EB2" w:rsidRPr="00FC7C5C">
        <w:t>teaching assistant</w:t>
      </w:r>
      <w:r w:rsidRPr="00FC7C5C">
        <w:t xml:space="preserve">, and </w:t>
      </w:r>
      <w:r w:rsidR="009D6EB2" w:rsidRPr="00FC7C5C">
        <w:t>five</w:t>
      </w:r>
      <w:r w:rsidR="00297178">
        <w:t xml:space="preserve"> </w:t>
      </w:r>
      <w:r w:rsidR="007602BA">
        <w:t>Arizona</w:t>
      </w:r>
      <w:r w:rsidRPr="00FC7C5C">
        <w:t xml:space="preserve"> </w:t>
      </w:r>
      <w:r w:rsidR="00887692" w:rsidRPr="00FC7C5C">
        <w:t>supervising practitioners</w:t>
      </w:r>
      <w:r w:rsidR="00297178">
        <w:t xml:space="preserve">. </w:t>
      </w:r>
      <w:r w:rsidR="00C211F4" w:rsidRPr="00FC7C5C">
        <w:t xml:space="preserve">The </w:t>
      </w:r>
      <w:r w:rsidR="009D6EB2" w:rsidRPr="00FC7C5C">
        <w:t>five</w:t>
      </w:r>
      <w:r w:rsidR="00C211F4" w:rsidRPr="00FC7C5C">
        <w:t xml:space="preserve"> preservice teachers</w:t>
      </w:r>
      <w:r w:rsidR="00A55366" w:rsidRPr="00FC7C5C">
        <w:t xml:space="preserve"> all f</w:t>
      </w:r>
      <w:r w:rsidR="00083E8A">
        <w:t>e</w:t>
      </w:r>
      <w:r w:rsidR="00A55366" w:rsidRPr="00FC7C5C">
        <w:t xml:space="preserve">ll between the ages </w:t>
      </w:r>
      <w:r w:rsidR="00CE625C" w:rsidRPr="00FC7C5C">
        <w:t xml:space="preserve">of </w:t>
      </w:r>
      <w:r w:rsidR="00A55366" w:rsidRPr="00FC7C5C">
        <w:t>20-24</w:t>
      </w:r>
      <w:r w:rsidR="00083E8A">
        <w:t>,</w:t>
      </w:r>
      <w:r w:rsidR="006B0657">
        <w:t xml:space="preserve"> completed the</w:t>
      </w:r>
      <w:r w:rsidR="00887692" w:rsidRPr="00FC7C5C">
        <w:t xml:space="preserve"> core</w:t>
      </w:r>
      <w:r w:rsidR="00E96FED" w:rsidRPr="00FC7C5C">
        <w:t xml:space="preserve"> teacher preparation</w:t>
      </w:r>
      <w:r w:rsidR="00887692" w:rsidRPr="00FC7C5C">
        <w:t xml:space="preserve"> </w:t>
      </w:r>
      <w:r w:rsidR="00C211F4" w:rsidRPr="00FC7C5C">
        <w:t>courses</w:t>
      </w:r>
      <w:r w:rsidR="006B0657">
        <w:t>, and</w:t>
      </w:r>
      <w:r w:rsidR="00083E8A">
        <w:t xml:space="preserve"> engaged in student teaching.</w:t>
      </w:r>
      <w:r w:rsidR="006B0657">
        <w:t xml:space="preserve"> </w:t>
      </w:r>
      <w:r w:rsidRPr="00FC7C5C">
        <w:t xml:space="preserve">The </w:t>
      </w:r>
      <w:r w:rsidR="009D6EB2" w:rsidRPr="00FC7C5C">
        <w:t>five</w:t>
      </w:r>
      <w:r w:rsidR="001063A8" w:rsidRPr="00FC7C5C">
        <w:t xml:space="preserve"> supervising practitioners were employed at </w:t>
      </w:r>
      <w:r w:rsidR="007602BA">
        <w:t>Arizona</w:t>
      </w:r>
      <w:r w:rsidR="00297178">
        <w:t xml:space="preserve"> </w:t>
      </w:r>
      <w:r w:rsidR="001063A8" w:rsidRPr="00FC7C5C">
        <w:t>high schools</w:t>
      </w:r>
      <w:r w:rsidR="00297178">
        <w:t xml:space="preserve">, </w:t>
      </w:r>
      <w:r w:rsidR="001063A8" w:rsidRPr="00FC7C5C">
        <w:t>served as a mentor to a preservice teacher</w:t>
      </w:r>
      <w:r w:rsidR="00CF2B4F" w:rsidRPr="00FC7C5C">
        <w:t xml:space="preserve"> for their student teaching experience</w:t>
      </w:r>
      <w:r w:rsidR="00297178">
        <w:t>,</w:t>
      </w:r>
      <w:r w:rsidR="001063A8" w:rsidRPr="00FC7C5C">
        <w:t xml:space="preserve"> </w:t>
      </w:r>
      <w:r w:rsidR="00397998">
        <w:t xml:space="preserve">and </w:t>
      </w:r>
      <w:r w:rsidR="005A7C61" w:rsidRPr="00FC7C5C">
        <w:t>were able to observe</w:t>
      </w:r>
      <w:r w:rsidR="00397998">
        <w:t xml:space="preserve"> the student teacher</w:t>
      </w:r>
      <w:r w:rsidR="005A7C61" w:rsidRPr="00FC7C5C">
        <w:t xml:space="preserve"> in action.</w:t>
      </w:r>
      <w:r w:rsidR="006B0657">
        <w:t xml:space="preserve"> </w:t>
      </w:r>
      <w:r w:rsidR="007B1618" w:rsidRPr="00FC7C5C">
        <w:t xml:space="preserve">The final group of participants included </w:t>
      </w:r>
      <w:r w:rsidR="00C72379" w:rsidRPr="00FC7C5C">
        <w:t>two</w:t>
      </w:r>
      <w:r w:rsidRPr="00FC7C5C">
        <w:t xml:space="preserve"> </w:t>
      </w:r>
      <w:r w:rsidR="00123BF5">
        <w:t>UA</w:t>
      </w:r>
      <w:r w:rsidRPr="00FC7C5C">
        <w:t xml:space="preserve"> instructors</w:t>
      </w:r>
      <w:r w:rsidR="007B1618" w:rsidRPr="00FC7C5C">
        <w:t xml:space="preserve"> and </w:t>
      </w:r>
      <w:r w:rsidR="004840C0" w:rsidRPr="00FC7C5C">
        <w:t>one</w:t>
      </w:r>
      <w:r w:rsidR="007B1618" w:rsidRPr="00FC7C5C">
        <w:t xml:space="preserve"> </w:t>
      </w:r>
      <w:r w:rsidR="00123BF5">
        <w:t>UA</w:t>
      </w:r>
      <w:r w:rsidR="007B1618" w:rsidRPr="00FC7C5C">
        <w:t xml:space="preserve"> teaching assistant who taught </w:t>
      </w:r>
      <w:r w:rsidR="00C72379" w:rsidRPr="00FC7C5C">
        <w:t>teacher preparation</w:t>
      </w:r>
      <w:r w:rsidR="007B1618" w:rsidRPr="00FC7C5C">
        <w:t xml:space="preserve"> courses during 2020</w:t>
      </w:r>
      <w:r w:rsidR="00C72379" w:rsidRPr="00FC7C5C">
        <w:t xml:space="preserve"> and </w:t>
      </w:r>
      <w:r w:rsidR="007B1618" w:rsidRPr="00FC7C5C">
        <w:t xml:space="preserve">2021. </w:t>
      </w:r>
    </w:p>
    <w:p w14:paraId="5A2D5CFE" w14:textId="77777777" w:rsidR="00271190" w:rsidRPr="00FC7C5C" w:rsidRDefault="00271190" w:rsidP="005951F3">
      <w:pPr>
        <w:widowControl w:val="0"/>
        <w:ind w:firstLine="720"/>
      </w:pPr>
    </w:p>
    <w:p w14:paraId="30122257" w14:textId="4816449C" w:rsidR="00CD14F5" w:rsidRPr="00C81838" w:rsidRDefault="00E10FAB" w:rsidP="00C81838">
      <w:pPr>
        <w:widowControl w:val="0"/>
        <w:ind w:firstLine="720"/>
        <w:rPr>
          <w:rFonts w:eastAsia="Times New Roman"/>
        </w:rPr>
      </w:pPr>
      <w:r w:rsidRPr="00FC7C5C">
        <w:t>Data w</w:t>
      </w:r>
      <w:r w:rsidR="00A031C8">
        <w:t>ere</w:t>
      </w:r>
      <w:r w:rsidRPr="00FC7C5C">
        <w:t xml:space="preserve"> collected </w:t>
      </w:r>
      <w:r w:rsidR="006C14C1">
        <w:t>during</w:t>
      </w:r>
      <w:r w:rsidRPr="00FC7C5C">
        <w:t xml:space="preserve"> the spring 2021 semester. Semi</w:t>
      </w:r>
      <w:r w:rsidR="00DA0CD1" w:rsidRPr="00FC7C5C">
        <w:t>-</w:t>
      </w:r>
      <w:r w:rsidRPr="00FC7C5C">
        <w:t>structured interviews</w:t>
      </w:r>
      <w:r w:rsidR="00A02D1A" w:rsidRPr="00FC7C5C">
        <w:t xml:space="preserve"> </w:t>
      </w:r>
      <w:r w:rsidR="008B62A7" w:rsidRPr="00FC7C5C">
        <w:t xml:space="preserve">were conducted for all </w:t>
      </w:r>
      <w:r w:rsidR="003A4C49">
        <w:t>participants via Zoom</w:t>
      </w:r>
      <w:r w:rsidR="00F55B9A" w:rsidRPr="00FC7C5C">
        <w:t xml:space="preserve"> </w:t>
      </w:r>
      <w:r w:rsidR="008B62A7" w:rsidRPr="00FC7C5C">
        <w:t xml:space="preserve">to comply with </w:t>
      </w:r>
      <w:r w:rsidR="00F55B9A" w:rsidRPr="00FC7C5C">
        <w:t xml:space="preserve">COVID-19 restrictions. </w:t>
      </w:r>
      <w:r w:rsidRPr="00FC7C5C">
        <w:rPr>
          <w:rFonts w:eastAsia="Times New Roman"/>
        </w:rPr>
        <w:t xml:space="preserve">Three individual </w:t>
      </w:r>
      <w:r w:rsidRPr="00FC7C5C">
        <w:t xml:space="preserve">interviews were conducted </w:t>
      </w:r>
      <w:r w:rsidR="00050FC1" w:rsidRPr="00FC7C5C">
        <w:t>with</w:t>
      </w:r>
      <w:r w:rsidRPr="00FC7C5C">
        <w:t xml:space="preserve"> all </w:t>
      </w:r>
      <w:r w:rsidR="004840C0" w:rsidRPr="00FC7C5C">
        <w:t>five</w:t>
      </w:r>
      <w:r w:rsidRPr="00FC7C5C">
        <w:t xml:space="preserve"> preservice teachers</w:t>
      </w:r>
      <w:r w:rsidR="00BC5E0D">
        <w:t xml:space="preserve">, </w:t>
      </w:r>
      <w:r w:rsidR="003E613D">
        <w:t>prior to, mid-way through, and after the completion of</w:t>
      </w:r>
      <w:r w:rsidR="006C14C1">
        <w:t>,</w:t>
      </w:r>
      <w:r w:rsidR="003E613D">
        <w:t xml:space="preserve"> the student teaching experience.</w:t>
      </w:r>
      <w:r w:rsidRPr="00FC7C5C">
        <w:t xml:space="preserve"> </w:t>
      </w:r>
      <w:r w:rsidR="004578B5" w:rsidRPr="00FC7C5C">
        <w:t>Two</w:t>
      </w:r>
      <w:r w:rsidRPr="00FC7C5C">
        <w:t xml:space="preserve"> interview</w:t>
      </w:r>
      <w:r w:rsidR="0017126D" w:rsidRPr="00FC7C5C">
        <w:t>s</w:t>
      </w:r>
      <w:r w:rsidRPr="00FC7C5C">
        <w:t xml:space="preserve"> w</w:t>
      </w:r>
      <w:r w:rsidR="0017126D" w:rsidRPr="00FC7C5C">
        <w:t>ere</w:t>
      </w:r>
      <w:r w:rsidRPr="00FC7C5C">
        <w:t xml:space="preserve"> conducted with the</w:t>
      </w:r>
      <w:r w:rsidR="00BB0AC9" w:rsidRPr="00FC7C5C">
        <w:t xml:space="preserve"> </w:t>
      </w:r>
      <w:r w:rsidR="00251D49" w:rsidRPr="00FC7C5C">
        <w:t>two</w:t>
      </w:r>
      <w:r w:rsidRPr="00FC7C5C">
        <w:t xml:space="preserve"> University instructors</w:t>
      </w:r>
      <w:r w:rsidR="004840C0" w:rsidRPr="00FC7C5C">
        <w:t xml:space="preserve"> and one teaching assistant</w:t>
      </w:r>
      <w:r w:rsidR="00251D49" w:rsidRPr="00FC7C5C">
        <w:t xml:space="preserve">, </w:t>
      </w:r>
      <w:r w:rsidR="006C14C1">
        <w:t>prior to, and after the completion of, the student teaching experience.</w:t>
      </w:r>
      <w:r w:rsidRPr="00FC7C5C">
        <w:t xml:space="preserve"> </w:t>
      </w:r>
      <w:r w:rsidR="004578B5" w:rsidRPr="00FC7C5C">
        <w:t>Two</w:t>
      </w:r>
      <w:r w:rsidRPr="00FC7C5C">
        <w:t xml:space="preserve"> interviews were conducted with the </w:t>
      </w:r>
      <w:r w:rsidR="004840C0" w:rsidRPr="00FC7C5C">
        <w:t xml:space="preserve">five </w:t>
      </w:r>
      <w:r w:rsidR="00E47840" w:rsidRPr="00FC7C5C">
        <w:t>supervising practitioners</w:t>
      </w:r>
      <w:r w:rsidRPr="00FC7C5C">
        <w:t xml:space="preserve">, </w:t>
      </w:r>
      <w:r w:rsidR="004578B5" w:rsidRPr="00FC7C5C">
        <w:t>one</w:t>
      </w:r>
      <w:r w:rsidR="00F069D9" w:rsidRPr="00FC7C5C">
        <w:t xml:space="preserve"> at the mid-point of the student teaching experience and one at the end of the </w:t>
      </w:r>
      <w:r w:rsidR="00F069D9" w:rsidRPr="00FC7C5C">
        <w:lastRenderedPageBreak/>
        <w:t>student teaching experience.</w:t>
      </w:r>
      <w:r w:rsidRPr="00FC7C5C">
        <w:t xml:space="preserve"> </w:t>
      </w:r>
      <w:r w:rsidR="00BB0AC9" w:rsidRPr="00FC7C5C">
        <w:t>I</w:t>
      </w:r>
      <w:r w:rsidRPr="00FC7C5C">
        <w:t>n addition to interviews, documents were analyzed</w:t>
      </w:r>
      <w:r w:rsidR="006E36CB" w:rsidRPr="00FC7C5C">
        <w:t xml:space="preserve"> to provide </w:t>
      </w:r>
      <w:r w:rsidR="006C14C1">
        <w:t xml:space="preserve">additional </w:t>
      </w:r>
      <w:r w:rsidR="006E36CB" w:rsidRPr="00FC7C5C">
        <w:t>data source</w:t>
      </w:r>
      <w:r w:rsidR="006C14C1">
        <w:t>s</w:t>
      </w:r>
      <w:r w:rsidR="006E36CB" w:rsidRPr="00FC7C5C">
        <w:t xml:space="preserve"> </w:t>
      </w:r>
      <w:r w:rsidR="006C14C1">
        <w:t>for</w:t>
      </w:r>
      <w:r w:rsidR="006E36CB" w:rsidRPr="00FC7C5C">
        <w:t xml:space="preserve"> the case study</w:t>
      </w:r>
      <w:r w:rsidRPr="00FC7C5C">
        <w:t xml:space="preserve">. </w:t>
      </w:r>
      <w:r w:rsidR="006C14C1">
        <w:t>S</w:t>
      </w:r>
      <w:r w:rsidRPr="00FC7C5C">
        <w:t xml:space="preserve">yllabi from the </w:t>
      </w:r>
      <w:r w:rsidR="006E36CB" w:rsidRPr="00FC7C5C">
        <w:t>three</w:t>
      </w:r>
      <w:r w:rsidRPr="00FC7C5C">
        <w:t xml:space="preserve"> core</w:t>
      </w:r>
      <w:r w:rsidR="006E36CB" w:rsidRPr="00FC7C5C">
        <w:t xml:space="preserve"> teacher preparation</w:t>
      </w:r>
      <w:r w:rsidRPr="00FC7C5C">
        <w:t xml:space="preserve"> courses were analyzed</w:t>
      </w:r>
      <w:r w:rsidR="006E36CB" w:rsidRPr="00FC7C5C">
        <w:t xml:space="preserve"> for changes and modifications under COVID-19 restrictions</w:t>
      </w:r>
      <w:r w:rsidR="006C14C1">
        <w:t>,</w:t>
      </w:r>
      <w:r w:rsidRPr="00FC7C5C">
        <w:t xml:space="preserve"> cooperating site schedules </w:t>
      </w:r>
      <w:r w:rsidR="006E36CB" w:rsidRPr="00FC7C5C">
        <w:t>were examined to provide further insight into the modalities of instruction</w:t>
      </w:r>
      <w:r w:rsidR="006C14C1">
        <w:t xml:space="preserve">, and </w:t>
      </w:r>
      <w:r w:rsidR="006E36CB" w:rsidRPr="00FC7C5C">
        <w:t>preservice</w:t>
      </w:r>
      <w:r w:rsidRPr="00FC7C5C">
        <w:t xml:space="preserve"> teacher lesson plans were analyzed to </w:t>
      </w:r>
      <w:r w:rsidR="006E36CB" w:rsidRPr="00FC7C5C">
        <w:t>uncover evidence of PCK during planning.</w:t>
      </w:r>
      <w:r w:rsidRPr="00FC7C5C">
        <w:t xml:space="preserve"> </w:t>
      </w:r>
    </w:p>
    <w:p w14:paraId="2163E5CB" w14:textId="77777777" w:rsidR="00441CDF" w:rsidRPr="00FC7C5C" w:rsidRDefault="00441CDF" w:rsidP="005951F3">
      <w:pPr>
        <w:widowControl w:val="0"/>
        <w:rPr>
          <w:b/>
          <w:bCs/>
        </w:rPr>
      </w:pPr>
    </w:p>
    <w:p w14:paraId="7B8AACE8" w14:textId="0DFCA0D7" w:rsidR="00441CDF" w:rsidRDefault="006C7F2B" w:rsidP="005951F3">
      <w:pPr>
        <w:widowControl w:val="0"/>
        <w:rPr>
          <w:rFonts w:eastAsia="Times New Roman"/>
        </w:rPr>
      </w:pPr>
      <w:r w:rsidRPr="00FC7C5C">
        <w:rPr>
          <w:b/>
          <w:bCs/>
        </w:rPr>
        <w:tab/>
      </w:r>
      <w:r w:rsidR="00F0374D" w:rsidRPr="00FC7C5C">
        <w:t>All data sources were included in analysis</w:t>
      </w:r>
      <w:r w:rsidR="00734F29">
        <w:t xml:space="preserve"> and managed using </w:t>
      </w:r>
      <w:proofErr w:type="spellStart"/>
      <w:r w:rsidR="00734F29">
        <w:t>Nvivo</w:t>
      </w:r>
      <w:proofErr w:type="spellEnd"/>
      <w:r w:rsidR="00734F29">
        <w:t xml:space="preserve"> 12 software</w:t>
      </w:r>
      <w:r w:rsidR="00F0374D" w:rsidRPr="00FC7C5C">
        <w:t xml:space="preserve">. </w:t>
      </w:r>
      <w:r w:rsidR="0012374C" w:rsidRPr="00FC7C5C">
        <w:t>Data were analyzed for trends aligne</w:t>
      </w:r>
      <w:r w:rsidR="00C30C98" w:rsidRPr="00FC7C5C">
        <w:t>d</w:t>
      </w:r>
      <w:r w:rsidR="0012374C" w:rsidRPr="00FC7C5C">
        <w:t xml:space="preserve"> with the </w:t>
      </w:r>
      <w:r w:rsidR="00734F29">
        <w:t>central research question</w:t>
      </w:r>
      <w:r w:rsidR="0012374C" w:rsidRPr="00FC7C5C">
        <w:t xml:space="preserve">. First, I deductively coded the data using codes created from the frameworks for this study including the </w:t>
      </w:r>
      <w:r w:rsidR="00734F29">
        <w:t>M</w:t>
      </w:r>
      <w:r w:rsidRPr="00FC7C5C">
        <w:t xml:space="preserve">odel of </w:t>
      </w:r>
      <w:r w:rsidR="00734F29">
        <w:t>T</w:t>
      </w:r>
      <w:r w:rsidRPr="00FC7C5C">
        <w:t xml:space="preserve">eacher </w:t>
      </w:r>
      <w:r w:rsidR="00734F29">
        <w:t>P</w:t>
      </w:r>
      <w:r w:rsidRPr="00FC7C5C">
        <w:t xml:space="preserve">rofessional </w:t>
      </w:r>
      <w:r w:rsidR="00734F29">
        <w:t>K</w:t>
      </w:r>
      <w:r w:rsidRPr="00FC7C5C">
        <w:t xml:space="preserve">nowledge and </w:t>
      </w:r>
      <w:r w:rsidR="00734F29">
        <w:t>S</w:t>
      </w:r>
      <w:r w:rsidRPr="00FC7C5C">
        <w:t xml:space="preserve">kill </w:t>
      </w:r>
      <w:r w:rsidR="00734F29">
        <w:t>D</w:t>
      </w:r>
      <w:r w:rsidRPr="00FC7C5C">
        <w:t xml:space="preserve">evelopment </w:t>
      </w:r>
      <w:r w:rsidR="00734F29">
        <w:t>I</w:t>
      </w:r>
      <w:r w:rsidRPr="00FC7C5C">
        <w:t>ncluding PCK</w:t>
      </w:r>
      <w:r w:rsidRPr="00FC7C5C">
        <w:rPr>
          <w:rFonts w:eastAsia="Times New Roman"/>
        </w:rPr>
        <w:t xml:space="preserve"> (Berry et al., 2015) and </w:t>
      </w:r>
      <w:r w:rsidR="00734F29">
        <w:rPr>
          <w:rFonts w:eastAsia="Times New Roman"/>
        </w:rPr>
        <w:t>the</w:t>
      </w:r>
      <w:r w:rsidRPr="00FC7C5C">
        <w:rPr>
          <w:rFonts w:eastAsia="Times New Roman"/>
        </w:rPr>
        <w:t xml:space="preserve"> </w:t>
      </w:r>
      <w:r w:rsidR="00734F29">
        <w:rPr>
          <w:rFonts w:eastAsia="Times New Roman"/>
        </w:rPr>
        <w:t>M</w:t>
      </w:r>
      <w:r w:rsidRPr="00FC7C5C">
        <w:rPr>
          <w:rFonts w:eastAsia="Times New Roman"/>
        </w:rPr>
        <w:t xml:space="preserve">odel for </w:t>
      </w:r>
      <w:r w:rsidR="00734F29">
        <w:rPr>
          <w:rFonts w:eastAsia="Times New Roman"/>
        </w:rPr>
        <w:t>T</w:t>
      </w:r>
      <w:r w:rsidRPr="00FC7C5C">
        <w:rPr>
          <w:rFonts w:eastAsia="Times New Roman"/>
        </w:rPr>
        <w:t xml:space="preserve">eacher </w:t>
      </w:r>
      <w:r w:rsidR="00734F29">
        <w:rPr>
          <w:rFonts w:eastAsia="Times New Roman"/>
        </w:rPr>
        <w:t>P</w:t>
      </w:r>
      <w:r w:rsidRPr="00FC7C5C">
        <w:rPr>
          <w:rFonts w:eastAsia="Times New Roman"/>
        </w:rPr>
        <w:t xml:space="preserve">reparation in </w:t>
      </w:r>
      <w:r w:rsidR="00734F29">
        <w:rPr>
          <w:rFonts w:eastAsia="Times New Roman"/>
        </w:rPr>
        <w:t>A</w:t>
      </w:r>
      <w:r w:rsidRPr="00FC7C5C">
        <w:rPr>
          <w:rFonts w:eastAsia="Times New Roman"/>
        </w:rPr>
        <w:t xml:space="preserve">gricultural </w:t>
      </w:r>
      <w:r w:rsidR="00734F29">
        <w:rPr>
          <w:rFonts w:eastAsia="Times New Roman"/>
        </w:rPr>
        <w:t>E</w:t>
      </w:r>
      <w:r w:rsidRPr="00FC7C5C">
        <w:rPr>
          <w:rFonts w:eastAsia="Times New Roman"/>
        </w:rPr>
        <w:t xml:space="preserve">ducation (Whittington, 2005). </w:t>
      </w:r>
      <w:r w:rsidR="0012374C" w:rsidRPr="00FC7C5C">
        <w:rPr>
          <w:rFonts w:eastAsia="Times New Roman"/>
        </w:rPr>
        <w:t xml:space="preserve">In addition to theoretical coding, I inductively coded the data and created open codes to capture any emergent findings outside of my frameworks. After coding was completed, I further collapsed the emerging </w:t>
      </w:r>
      <w:r w:rsidR="00BD5505">
        <w:rPr>
          <w:rFonts w:eastAsia="Times New Roman"/>
        </w:rPr>
        <w:t>codes</w:t>
      </w:r>
      <w:r w:rsidR="0012374C" w:rsidRPr="00FC7C5C">
        <w:rPr>
          <w:rFonts w:eastAsia="Times New Roman"/>
        </w:rPr>
        <w:t xml:space="preserve"> into categories and</w:t>
      </w:r>
      <w:r w:rsidR="00BD5505">
        <w:rPr>
          <w:rFonts w:eastAsia="Times New Roman"/>
        </w:rPr>
        <w:t xml:space="preserve"> six</w:t>
      </w:r>
      <w:r w:rsidR="0012374C" w:rsidRPr="00FC7C5C">
        <w:rPr>
          <w:rFonts w:eastAsia="Times New Roman"/>
        </w:rPr>
        <w:t xml:space="preserve"> themes that served as the basis for my findings.</w:t>
      </w:r>
      <w:r w:rsidRPr="00FC7C5C">
        <w:rPr>
          <w:rFonts w:eastAsia="Times New Roman"/>
        </w:rPr>
        <w:t xml:space="preserve"> </w:t>
      </w:r>
      <w:r w:rsidR="009C2A1A" w:rsidRPr="00FC7C5C">
        <w:rPr>
          <w:rFonts w:eastAsia="Times New Roman"/>
        </w:rPr>
        <w:t>To ensure trustworthiness, I employed</w:t>
      </w:r>
      <w:r w:rsidRPr="00FC7C5C">
        <w:rPr>
          <w:rFonts w:eastAsia="Times New Roman"/>
        </w:rPr>
        <w:t xml:space="preserve"> data triangulation, member checking, rich thick description, and clarified my research bias</w:t>
      </w:r>
      <w:r w:rsidR="009C2A1A" w:rsidRPr="00FC7C5C">
        <w:rPr>
          <w:rFonts w:eastAsia="Times New Roman"/>
        </w:rPr>
        <w:t xml:space="preserve"> through disclosing my positionality</w:t>
      </w:r>
      <w:r w:rsidR="004746FE" w:rsidRPr="00FC7C5C">
        <w:rPr>
          <w:rFonts w:eastAsia="Times New Roman"/>
        </w:rPr>
        <w:t xml:space="preserve"> </w:t>
      </w:r>
      <w:r w:rsidR="009C2A1A" w:rsidRPr="00FC7C5C">
        <w:rPr>
          <w:rFonts w:eastAsia="Times New Roman"/>
        </w:rPr>
        <w:t>(Tracy, 2010)</w:t>
      </w:r>
      <w:r w:rsidRPr="00FC7C5C">
        <w:rPr>
          <w:rFonts w:eastAsia="Times New Roman"/>
        </w:rPr>
        <w:t xml:space="preserve">. </w:t>
      </w:r>
    </w:p>
    <w:p w14:paraId="3E2E4497" w14:textId="77777777" w:rsidR="008F4C6A" w:rsidRDefault="006C7F2B" w:rsidP="008F4C6A">
      <w:pPr>
        <w:widowControl w:val="0"/>
      </w:pPr>
      <w:r w:rsidRPr="00FC7C5C">
        <w:rPr>
          <w:rFonts w:eastAsia="Times New Roman"/>
        </w:rPr>
        <w:t xml:space="preserve"> </w:t>
      </w:r>
    </w:p>
    <w:p w14:paraId="77733C47" w14:textId="66755442" w:rsidR="005A3146" w:rsidRPr="008F4C6A" w:rsidRDefault="005A3146" w:rsidP="008F4C6A">
      <w:pPr>
        <w:widowControl w:val="0"/>
        <w:jc w:val="center"/>
      </w:pPr>
      <w:r w:rsidRPr="00FC7C5C">
        <w:rPr>
          <w:rFonts w:eastAsia="Times New Roman"/>
          <w:b/>
          <w:bCs/>
        </w:rPr>
        <w:t>Findings</w:t>
      </w:r>
    </w:p>
    <w:p w14:paraId="1ADC7146" w14:textId="77777777" w:rsidR="005A3146" w:rsidRPr="00FC7C5C" w:rsidRDefault="005A3146" w:rsidP="005951F3">
      <w:pPr>
        <w:widowControl w:val="0"/>
        <w:rPr>
          <w:rFonts w:eastAsia="Times New Roman"/>
        </w:rPr>
      </w:pPr>
    </w:p>
    <w:p w14:paraId="1A1C8A3C" w14:textId="121835D9" w:rsidR="00871DBD" w:rsidRDefault="00871DBD" w:rsidP="005951F3">
      <w:pPr>
        <w:widowControl w:val="0"/>
        <w:rPr>
          <w:rFonts w:eastAsia="Times New Roman"/>
          <w:b/>
        </w:rPr>
      </w:pPr>
      <w:r w:rsidRPr="00FC7C5C">
        <w:rPr>
          <w:rFonts w:eastAsia="Times New Roman"/>
          <w:b/>
        </w:rPr>
        <w:t xml:space="preserve">Loss of </w:t>
      </w:r>
      <w:r w:rsidR="00FC7C90" w:rsidRPr="00FC7C5C">
        <w:rPr>
          <w:rFonts w:eastAsia="Times New Roman"/>
          <w:b/>
        </w:rPr>
        <w:t>T</w:t>
      </w:r>
      <w:r w:rsidRPr="00FC7C5C">
        <w:rPr>
          <w:rFonts w:eastAsia="Times New Roman"/>
          <w:b/>
        </w:rPr>
        <w:t xml:space="preserve">otal SBAE Teaching Experience </w:t>
      </w:r>
    </w:p>
    <w:p w14:paraId="45D67928" w14:textId="77777777" w:rsidR="00441CDF" w:rsidRPr="00FC7C5C" w:rsidRDefault="00441CDF" w:rsidP="005951F3">
      <w:pPr>
        <w:widowControl w:val="0"/>
        <w:rPr>
          <w:rFonts w:eastAsia="Times New Roman"/>
          <w:b/>
        </w:rPr>
      </w:pPr>
    </w:p>
    <w:p w14:paraId="70739A6B" w14:textId="32F9F6F4" w:rsidR="005A3146" w:rsidRDefault="0080349C" w:rsidP="00BC5E0D">
      <w:pPr>
        <w:widowControl w:val="0"/>
        <w:ind w:firstLine="720"/>
        <w:rPr>
          <w:rFonts w:eastAsia="Times New Roman"/>
        </w:rPr>
      </w:pPr>
      <w:r>
        <w:rPr>
          <w:rFonts w:eastAsia="Times New Roman"/>
        </w:rPr>
        <w:t>S</w:t>
      </w:r>
      <w:r w:rsidR="005A3146" w:rsidRPr="00FC7C5C">
        <w:rPr>
          <w:rFonts w:eastAsia="Times New Roman"/>
        </w:rPr>
        <w:t>tudent teachers received primarily a classroom teaching experience rather than a complete SBAE experience encompass</w:t>
      </w:r>
      <w:r w:rsidR="00C30C98" w:rsidRPr="00FC7C5C">
        <w:rPr>
          <w:rFonts w:eastAsia="Times New Roman"/>
        </w:rPr>
        <w:t>ing</w:t>
      </w:r>
      <w:r w:rsidR="005A3146" w:rsidRPr="00FC7C5C">
        <w:rPr>
          <w:rFonts w:eastAsia="Times New Roman"/>
        </w:rPr>
        <w:t xml:space="preserve"> aspects of SAE and FFA </w:t>
      </w:r>
      <w:r w:rsidR="00BC5E0D">
        <w:rPr>
          <w:rFonts w:eastAsia="Times New Roman"/>
        </w:rPr>
        <w:t>during student teaching</w:t>
      </w:r>
      <w:r w:rsidR="005A3146" w:rsidRPr="00FC7C5C">
        <w:rPr>
          <w:rFonts w:eastAsia="Times New Roman"/>
        </w:rPr>
        <w:t xml:space="preserve">. Due to COVID-19 restrictions throughout the professional planning stage, student teachers were unable to join their cooperating school at the </w:t>
      </w:r>
      <w:r w:rsidR="007602BA">
        <w:rPr>
          <w:rFonts w:eastAsia="Times New Roman"/>
        </w:rPr>
        <w:t>state</w:t>
      </w:r>
      <w:r w:rsidR="005A3146" w:rsidRPr="00FC7C5C">
        <w:rPr>
          <w:rFonts w:eastAsia="Times New Roman"/>
        </w:rPr>
        <w:t xml:space="preserve"> leadership conference and visit their cooperating sites prior to the start of student teaching. </w:t>
      </w:r>
      <w:r w:rsidR="003A6089">
        <w:rPr>
          <w:rFonts w:eastAsia="Times New Roman"/>
        </w:rPr>
        <w:t>R</w:t>
      </w:r>
      <w:r w:rsidR="005A3146" w:rsidRPr="00FC7C5C">
        <w:rPr>
          <w:rFonts w:eastAsia="Times New Roman"/>
        </w:rPr>
        <w:t>estrictions continued into the professional practice stage where student teachers missed out on all typical national, state, and local FFA/CDE events. This resulted in student teachers not having the opportunity to build relationships with supervising practitioners, students they would be teaching, and opportunities to be an advisor and supervisor for events outside of the classroom. While student teachers</w:t>
      </w:r>
      <w:r w:rsidR="003A6089">
        <w:rPr>
          <w:rFonts w:eastAsia="Times New Roman"/>
        </w:rPr>
        <w:t xml:space="preserve"> themselves</w:t>
      </w:r>
      <w:r w:rsidR="005A3146" w:rsidRPr="00FC7C5C">
        <w:rPr>
          <w:rFonts w:eastAsia="Times New Roman"/>
        </w:rPr>
        <w:t xml:space="preserve"> did not mention missing out on these aspects of their experience, both </w:t>
      </w:r>
      <w:r w:rsidR="00123BF5">
        <w:rPr>
          <w:rFonts w:eastAsia="Times New Roman"/>
        </w:rPr>
        <w:t>UA</w:t>
      </w:r>
      <w:r w:rsidR="005A3146" w:rsidRPr="00FC7C5C">
        <w:rPr>
          <w:rFonts w:eastAsia="Times New Roman"/>
        </w:rPr>
        <w:t xml:space="preserve"> instructors and supervising practitioners commented on this phenomenon. </w:t>
      </w:r>
      <w:r w:rsidR="0014583B">
        <w:rPr>
          <w:rFonts w:eastAsia="Times New Roman"/>
        </w:rPr>
        <w:t xml:space="preserve">They </w:t>
      </w:r>
      <w:r w:rsidR="005A3146" w:rsidRPr="00FC7C5C">
        <w:rPr>
          <w:rFonts w:eastAsia="Times New Roman"/>
        </w:rPr>
        <w:t xml:space="preserve">expressed concern for how </w:t>
      </w:r>
      <w:r w:rsidR="00A515AE">
        <w:rPr>
          <w:rFonts w:eastAsia="Times New Roman"/>
        </w:rPr>
        <w:t>“</w:t>
      </w:r>
      <w:r w:rsidR="005A3146" w:rsidRPr="00FC7C5C">
        <w:rPr>
          <w:rFonts w:eastAsia="Times New Roman"/>
        </w:rPr>
        <w:t>steep the climb</w:t>
      </w:r>
      <w:r w:rsidR="00A515AE">
        <w:rPr>
          <w:rFonts w:eastAsia="Times New Roman"/>
        </w:rPr>
        <w:t>”</w:t>
      </w:r>
      <w:r w:rsidR="005A3146" w:rsidRPr="00FC7C5C">
        <w:rPr>
          <w:rFonts w:eastAsia="Times New Roman"/>
        </w:rPr>
        <w:t xml:space="preserve"> will be when these student teachers take on a position of their own that requires all three components of </w:t>
      </w:r>
      <w:r w:rsidR="0014583B">
        <w:rPr>
          <w:rFonts w:eastAsia="Times New Roman"/>
        </w:rPr>
        <w:t>SBAE</w:t>
      </w:r>
      <w:r w:rsidR="005A3146" w:rsidRPr="00FC7C5C">
        <w:rPr>
          <w:rFonts w:eastAsia="Times New Roman"/>
        </w:rPr>
        <w:t xml:space="preserve">, given </w:t>
      </w:r>
      <w:r w:rsidR="00D60A1F" w:rsidRPr="00FC7C5C">
        <w:rPr>
          <w:rFonts w:eastAsia="Times New Roman"/>
        </w:rPr>
        <w:t>most of</w:t>
      </w:r>
      <w:r w:rsidR="005A3146" w:rsidRPr="00FC7C5C">
        <w:rPr>
          <w:rFonts w:eastAsia="Times New Roman"/>
        </w:rPr>
        <w:t xml:space="preserve"> their experiences during student teaching only focused on the classro</w:t>
      </w:r>
      <w:r w:rsidR="003A6089">
        <w:rPr>
          <w:rFonts w:eastAsia="Times New Roman"/>
        </w:rPr>
        <w:t>om</w:t>
      </w:r>
      <w:r w:rsidR="005A3146" w:rsidRPr="00FC7C5C">
        <w:rPr>
          <w:rFonts w:eastAsia="Times New Roman"/>
        </w:rPr>
        <w:t xml:space="preserve">. </w:t>
      </w:r>
    </w:p>
    <w:p w14:paraId="44397086" w14:textId="77777777" w:rsidR="00441CDF" w:rsidRPr="00FC7C5C" w:rsidRDefault="00441CDF" w:rsidP="005951F3">
      <w:pPr>
        <w:widowControl w:val="0"/>
        <w:ind w:firstLine="720"/>
        <w:rPr>
          <w:rFonts w:eastAsia="Times New Roman"/>
          <w:b/>
        </w:rPr>
      </w:pPr>
    </w:p>
    <w:p w14:paraId="4CC40118" w14:textId="6A9E91EE" w:rsidR="005A3146" w:rsidRDefault="005A3146" w:rsidP="005951F3">
      <w:pPr>
        <w:widowControl w:val="0"/>
        <w:rPr>
          <w:rFonts w:eastAsia="Times New Roman"/>
          <w:b/>
        </w:rPr>
      </w:pPr>
      <w:r w:rsidRPr="00FC7C5C">
        <w:rPr>
          <w:rFonts w:eastAsia="Times New Roman"/>
          <w:b/>
        </w:rPr>
        <w:t xml:space="preserve">Student Teachers Were Prepared Well in Curriculum Development </w:t>
      </w:r>
    </w:p>
    <w:p w14:paraId="60513BB7" w14:textId="77777777" w:rsidR="00441CDF" w:rsidRPr="00FC7C5C" w:rsidRDefault="00441CDF" w:rsidP="005951F3">
      <w:pPr>
        <w:widowControl w:val="0"/>
        <w:rPr>
          <w:rFonts w:eastAsia="Times New Roman"/>
        </w:rPr>
      </w:pPr>
    </w:p>
    <w:p w14:paraId="20B822AB" w14:textId="1A56A86D" w:rsidR="005A3146" w:rsidRPr="00FC7C5C" w:rsidRDefault="005A3146" w:rsidP="00594F46">
      <w:pPr>
        <w:widowControl w:val="0"/>
        <w:ind w:firstLine="720"/>
        <w:rPr>
          <w:rFonts w:eastAsia="Times New Roman"/>
        </w:rPr>
      </w:pPr>
      <w:r w:rsidRPr="00FC7C5C">
        <w:rPr>
          <w:rFonts w:eastAsia="Times New Roman"/>
        </w:rPr>
        <w:t xml:space="preserve">All participants collectively agreed the student teachers were well prepared in curriculum development, lesson planning, and technology use. Student teachers did not feel like they missed anything from a content standpoint in their teacher preparation courses. </w:t>
      </w:r>
      <w:r w:rsidR="00123BF5">
        <w:rPr>
          <w:rFonts w:eastAsia="Times New Roman"/>
        </w:rPr>
        <w:t>UA</w:t>
      </w:r>
      <w:r w:rsidRPr="00FC7C5C">
        <w:rPr>
          <w:rFonts w:eastAsia="Times New Roman"/>
        </w:rPr>
        <w:t xml:space="preserve"> instructors confirmed the content of each course had remained the same despite COVID-19 restrictions</w:t>
      </w:r>
      <w:r w:rsidR="00DC5A8E">
        <w:rPr>
          <w:rFonts w:eastAsia="Times New Roman"/>
        </w:rPr>
        <w:t>.</w:t>
      </w:r>
      <w:r w:rsidR="003054D8">
        <w:rPr>
          <w:rFonts w:eastAsia="Times New Roman"/>
        </w:rPr>
        <w:t xml:space="preserve"> </w:t>
      </w:r>
      <w:r w:rsidRPr="00FC7C5C">
        <w:rPr>
          <w:rFonts w:eastAsia="Times New Roman"/>
        </w:rPr>
        <w:t>Student teachers all expressed that the area where they felt most prepared was their curriculum development and having their lesson plans ready for student teaching</w:t>
      </w:r>
      <w:r w:rsidR="003054D8">
        <w:rPr>
          <w:rFonts w:eastAsia="Times New Roman"/>
        </w:rPr>
        <w:t xml:space="preserve">. </w:t>
      </w:r>
      <w:r w:rsidR="00E77D0B" w:rsidRPr="00FC7C5C">
        <w:rPr>
          <w:color w:val="000000"/>
        </w:rPr>
        <w:t xml:space="preserve">When analyzing the student teachers’ lessons plans, it was also apparent they had every crucial component included for all lessons </w:t>
      </w:r>
      <w:r w:rsidR="00C87136" w:rsidRPr="00FC7C5C">
        <w:rPr>
          <w:color w:val="000000"/>
        </w:rPr>
        <w:t>was at</w:t>
      </w:r>
      <w:r w:rsidR="00E77D0B" w:rsidRPr="00FC7C5C">
        <w:rPr>
          <w:color w:val="000000"/>
        </w:rPr>
        <w:t xml:space="preserve"> a high caliber.</w:t>
      </w:r>
      <w:r w:rsidR="00594F46">
        <w:rPr>
          <w:rFonts w:eastAsia="Times New Roman"/>
        </w:rPr>
        <w:t xml:space="preserve"> </w:t>
      </w:r>
      <w:r w:rsidRPr="00FC7C5C">
        <w:rPr>
          <w:rFonts w:eastAsia="Times New Roman"/>
        </w:rPr>
        <w:t xml:space="preserve">Supervising practitioners and </w:t>
      </w:r>
      <w:r w:rsidR="00123BF5">
        <w:rPr>
          <w:rFonts w:eastAsia="Times New Roman"/>
        </w:rPr>
        <w:t>UA</w:t>
      </w:r>
      <w:r w:rsidRPr="00FC7C5C">
        <w:rPr>
          <w:rFonts w:eastAsia="Times New Roman"/>
        </w:rPr>
        <w:t xml:space="preserve"> instructors in all </w:t>
      </w:r>
      <w:r w:rsidRPr="00FC7C5C">
        <w:rPr>
          <w:rFonts w:eastAsia="Times New Roman"/>
        </w:rPr>
        <w:lastRenderedPageBreak/>
        <w:t xml:space="preserve">interviews highlight lesson plans and curriculum development as a strength of the student teachers. </w:t>
      </w:r>
      <w:r w:rsidR="00123BF5">
        <w:rPr>
          <w:rFonts w:eastAsia="Times New Roman"/>
        </w:rPr>
        <w:t>UA</w:t>
      </w:r>
      <w:r w:rsidRPr="00FC7C5C">
        <w:rPr>
          <w:rFonts w:eastAsia="Times New Roman"/>
        </w:rPr>
        <w:t xml:space="preserve"> instructors pointed out this </w:t>
      </w:r>
      <w:r w:rsidR="009F2650" w:rsidRPr="00FC7C5C">
        <w:rPr>
          <w:rFonts w:eastAsia="Times New Roman"/>
        </w:rPr>
        <w:t>cohort</w:t>
      </w:r>
      <w:r w:rsidRPr="00FC7C5C">
        <w:rPr>
          <w:rFonts w:eastAsia="Times New Roman"/>
        </w:rPr>
        <w:t>'s lesson plans have been one of the better sets they have received compared to previous cohorts</w:t>
      </w:r>
      <w:r w:rsidR="00DC5A8E">
        <w:rPr>
          <w:rFonts w:eastAsia="Times New Roman"/>
        </w:rPr>
        <w:t xml:space="preserve">. </w:t>
      </w:r>
      <w:r w:rsidRPr="00FC7C5C">
        <w:rPr>
          <w:rFonts w:eastAsia="Times New Roman"/>
        </w:rPr>
        <w:t xml:space="preserve">While curriculum development was an area all student teachers excelled in, participants also felt that a silver lining of COVID-19 was gaining technology skills that aided them within their curriculum development. </w:t>
      </w:r>
    </w:p>
    <w:p w14:paraId="0F7E9988" w14:textId="77777777" w:rsidR="00FC7C90" w:rsidRPr="00FC7C5C" w:rsidRDefault="00FC7C90" w:rsidP="00441CDF">
      <w:pPr>
        <w:widowControl w:val="0"/>
        <w:rPr>
          <w:rFonts w:eastAsia="Times New Roman"/>
        </w:rPr>
      </w:pPr>
    </w:p>
    <w:p w14:paraId="29EEA2A8" w14:textId="2F2DE64A" w:rsidR="005A3146" w:rsidRDefault="005A3146" w:rsidP="005951F3">
      <w:pPr>
        <w:widowControl w:val="0"/>
        <w:rPr>
          <w:rFonts w:eastAsia="Times New Roman"/>
          <w:b/>
        </w:rPr>
      </w:pPr>
      <w:r w:rsidRPr="00FC7C5C">
        <w:rPr>
          <w:rFonts w:eastAsia="Times New Roman"/>
          <w:b/>
        </w:rPr>
        <w:t>There Was a Lack of Experimentation and Problem Solving in Teaching</w:t>
      </w:r>
    </w:p>
    <w:p w14:paraId="0EE879DB" w14:textId="77777777" w:rsidR="00441CDF" w:rsidRPr="00FC7C5C" w:rsidRDefault="00441CDF" w:rsidP="005951F3">
      <w:pPr>
        <w:widowControl w:val="0"/>
        <w:rPr>
          <w:rFonts w:eastAsia="Times New Roman"/>
          <w:b/>
        </w:rPr>
      </w:pPr>
    </w:p>
    <w:p w14:paraId="72DC3528" w14:textId="393D2E98" w:rsidR="005A3146" w:rsidRDefault="005A3146" w:rsidP="00D35A8B">
      <w:pPr>
        <w:widowControl w:val="0"/>
        <w:ind w:firstLine="720"/>
        <w:rPr>
          <w:rFonts w:eastAsia="Times New Roman"/>
        </w:rPr>
      </w:pPr>
      <w:r w:rsidRPr="00FC7C5C">
        <w:rPr>
          <w:rFonts w:eastAsia="Times New Roman"/>
        </w:rPr>
        <w:t xml:space="preserve">While the student teachers had exceptional lesson plans, there was a lack of problem solving </w:t>
      </w:r>
      <w:r w:rsidR="00E56A9C">
        <w:rPr>
          <w:rFonts w:eastAsia="Times New Roman"/>
        </w:rPr>
        <w:t xml:space="preserve">and experimentation </w:t>
      </w:r>
      <w:r w:rsidRPr="00FC7C5C">
        <w:rPr>
          <w:rFonts w:eastAsia="Times New Roman"/>
        </w:rPr>
        <w:t>during the act of teaching. During the preparation stage, student teachers were unable to microteach</w:t>
      </w:r>
      <w:r w:rsidR="00273553">
        <w:rPr>
          <w:rFonts w:eastAsia="Times New Roman"/>
        </w:rPr>
        <w:t>, leading to a lack of practice prior to student teaching</w:t>
      </w:r>
      <w:r w:rsidRPr="00FC7C5C">
        <w:rPr>
          <w:rFonts w:eastAsia="Times New Roman"/>
        </w:rPr>
        <w:t>. Whether the student teacher was teaching in</w:t>
      </w:r>
      <w:r w:rsidR="00360634" w:rsidRPr="00FC7C5C">
        <w:rPr>
          <w:rFonts w:eastAsia="Times New Roman"/>
        </w:rPr>
        <w:t>-</w:t>
      </w:r>
      <w:r w:rsidRPr="00FC7C5C">
        <w:rPr>
          <w:rFonts w:eastAsia="Times New Roman"/>
        </w:rPr>
        <w:t xml:space="preserve">person, hybrid, or online, there were restrictions in place due to COVID-19 </w:t>
      </w:r>
      <w:r w:rsidR="00273553">
        <w:rPr>
          <w:rFonts w:eastAsia="Times New Roman"/>
        </w:rPr>
        <w:t>that impacted</w:t>
      </w:r>
      <w:r w:rsidRPr="00FC7C5C">
        <w:rPr>
          <w:rFonts w:eastAsia="Times New Roman"/>
        </w:rPr>
        <w:t xml:space="preserve"> the professional practice stage. This limited the student teachers’ opportunities to facilitate a full</w:t>
      </w:r>
      <w:r w:rsidR="005E757D">
        <w:rPr>
          <w:rFonts w:eastAsia="Times New Roman"/>
        </w:rPr>
        <w:t>y</w:t>
      </w:r>
      <w:r w:rsidRPr="00FC7C5C">
        <w:rPr>
          <w:rFonts w:eastAsia="Times New Roman"/>
        </w:rPr>
        <w:t xml:space="preserve"> functioning high school classroom including classroom management and experimentation of methods when disseminating lessons, labs, and activities. </w:t>
      </w:r>
      <w:r w:rsidR="00E56A9C" w:rsidRPr="00E56A9C">
        <w:rPr>
          <w:rStyle w:val="Emphasis"/>
          <w:i w:val="0"/>
          <w:iCs w:val="0"/>
          <w:shd w:val="clear" w:color="auto" w:fill="FFFFFF"/>
        </w:rPr>
        <w:t>Due to COVID-19 restrictions, students had to be in the same group each class period, students could not share lab equipment, and in certain sites, student teachers could not take students to mechanic shops or greenhouses</w:t>
      </w:r>
      <w:r w:rsidR="00E56A9C" w:rsidRPr="00E56A9C">
        <w:rPr>
          <w:rStyle w:val="Emphasis"/>
          <w:shd w:val="clear" w:color="auto" w:fill="FFFFFF"/>
        </w:rPr>
        <w:t>.</w:t>
      </w:r>
      <w:r w:rsidRPr="00E56A9C">
        <w:rPr>
          <w:rFonts w:eastAsia="Times New Roman"/>
        </w:rPr>
        <w:t xml:space="preserve"> If</w:t>
      </w:r>
      <w:r w:rsidRPr="00FC7C5C">
        <w:rPr>
          <w:rFonts w:eastAsia="Times New Roman"/>
        </w:rPr>
        <w:t xml:space="preserve"> the student teacher was teaching hybrid, they were </w:t>
      </w:r>
      <w:r w:rsidR="00E56A9C">
        <w:rPr>
          <w:rFonts w:eastAsia="Times New Roman"/>
        </w:rPr>
        <w:t>tied to</w:t>
      </w:r>
      <w:r w:rsidRPr="00FC7C5C">
        <w:rPr>
          <w:rFonts w:eastAsia="Times New Roman"/>
        </w:rPr>
        <w:t xml:space="preserve"> a computer to teach online students while simultaneously teaching in</w:t>
      </w:r>
      <w:r w:rsidR="000C08E7" w:rsidRPr="00FC7C5C">
        <w:rPr>
          <w:rFonts w:eastAsia="Times New Roman"/>
        </w:rPr>
        <w:t>-</w:t>
      </w:r>
      <w:r w:rsidRPr="00FC7C5C">
        <w:rPr>
          <w:rFonts w:eastAsia="Times New Roman"/>
        </w:rPr>
        <w:t>person students.</w:t>
      </w:r>
      <w:r w:rsidR="00E56A9C">
        <w:rPr>
          <w:rFonts w:eastAsia="Times New Roman"/>
        </w:rPr>
        <w:t xml:space="preserve"> </w:t>
      </w:r>
      <w:r w:rsidRPr="00FC7C5C">
        <w:rPr>
          <w:rFonts w:eastAsia="Times New Roman"/>
        </w:rPr>
        <w:t>This limited freedom across classrooms ultimately did not give student teachers as much room to experiment and make mistakes</w:t>
      </w:r>
      <w:r w:rsidR="00273553">
        <w:rPr>
          <w:rFonts w:eastAsia="Times New Roman"/>
        </w:rPr>
        <w:t>, inhibiting their ability to engage and relate to students.</w:t>
      </w:r>
    </w:p>
    <w:p w14:paraId="0955EE47" w14:textId="77777777" w:rsidR="00441CDF" w:rsidRPr="00FC7C5C" w:rsidRDefault="00441CDF" w:rsidP="005951F3">
      <w:pPr>
        <w:widowControl w:val="0"/>
        <w:rPr>
          <w:rFonts w:eastAsia="Times New Roman"/>
        </w:rPr>
      </w:pPr>
    </w:p>
    <w:p w14:paraId="0E5151EA" w14:textId="40A2C195" w:rsidR="005A3146" w:rsidRDefault="005A3146" w:rsidP="005951F3">
      <w:pPr>
        <w:widowControl w:val="0"/>
        <w:rPr>
          <w:rFonts w:eastAsia="Times New Roman"/>
          <w:b/>
        </w:rPr>
      </w:pPr>
      <w:r w:rsidRPr="00FC7C5C">
        <w:rPr>
          <w:rFonts w:eastAsia="Times New Roman"/>
          <w:b/>
        </w:rPr>
        <w:t>There Was a Lack of Relationship Building with Students and Professionals</w:t>
      </w:r>
    </w:p>
    <w:p w14:paraId="3EE935EA" w14:textId="77777777" w:rsidR="00441CDF" w:rsidRPr="00FC7C5C" w:rsidRDefault="00441CDF" w:rsidP="005951F3">
      <w:pPr>
        <w:widowControl w:val="0"/>
        <w:rPr>
          <w:rFonts w:eastAsia="Times New Roman"/>
          <w:b/>
        </w:rPr>
      </w:pPr>
    </w:p>
    <w:p w14:paraId="634EC5D8" w14:textId="4FA68C72" w:rsidR="005A3146" w:rsidRDefault="005A3146" w:rsidP="00015E77">
      <w:pPr>
        <w:widowControl w:val="0"/>
        <w:ind w:firstLine="720"/>
        <w:rPr>
          <w:rFonts w:eastAsia="Times New Roman"/>
        </w:rPr>
      </w:pPr>
      <w:r w:rsidRPr="00FC7C5C">
        <w:rPr>
          <w:rFonts w:eastAsia="Times New Roman"/>
        </w:rPr>
        <w:t>There was a lack of relationship building with students and professionals for the student teachers. While the student teachers were able to have positive relationships with the students that came in</w:t>
      </w:r>
      <w:r w:rsidR="000C08E7" w:rsidRPr="00FC7C5C">
        <w:rPr>
          <w:rFonts w:eastAsia="Times New Roman"/>
        </w:rPr>
        <w:t>-</w:t>
      </w:r>
      <w:r w:rsidRPr="00FC7C5C">
        <w:rPr>
          <w:rFonts w:eastAsia="Times New Roman"/>
        </w:rPr>
        <w:t xml:space="preserve">person and virtually, COVID-19 restrictions still impacted the number of organic interactions </w:t>
      </w:r>
      <w:r w:rsidR="009F2650" w:rsidRPr="00FC7C5C">
        <w:rPr>
          <w:rFonts w:eastAsia="Times New Roman"/>
        </w:rPr>
        <w:t xml:space="preserve">they </w:t>
      </w:r>
      <w:r w:rsidRPr="00FC7C5C">
        <w:rPr>
          <w:rFonts w:eastAsia="Times New Roman"/>
        </w:rPr>
        <w:t>could have with students during instruction. Mr. Martin commented on this change in interactions for his student teacher Vanessa, “Normally, I don't think there</w:t>
      </w:r>
      <w:r w:rsidR="00A515AE">
        <w:rPr>
          <w:rFonts w:eastAsia="Times New Roman"/>
        </w:rPr>
        <w:t xml:space="preserve"> is</w:t>
      </w:r>
      <w:r w:rsidRPr="00FC7C5C">
        <w:rPr>
          <w:rFonts w:eastAsia="Times New Roman"/>
        </w:rPr>
        <w:t xml:space="preserve"> ever a day students aren’t here after school. We're always doing something, studying for contests, building something, breaking something. Now we don't have that. That's why we do what we do, to be with students.” Ms. Wilson, Kimberly’s supervising practitioner, elaborated on what she felt Kimberly missed out on. She said, “Interacting with kids all year long. It was really hard for her to get involved and get to know kids and kind of figure out the type of kid they were.” </w:t>
      </w:r>
    </w:p>
    <w:p w14:paraId="33174651" w14:textId="77777777" w:rsidR="00441CDF" w:rsidRPr="00FC7C5C" w:rsidRDefault="00441CDF" w:rsidP="00015E77">
      <w:pPr>
        <w:widowControl w:val="0"/>
        <w:ind w:firstLine="720"/>
        <w:rPr>
          <w:rFonts w:eastAsia="Times New Roman"/>
        </w:rPr>
      </w:pPr>
    </w:p>
    <w:p w14:paraId="4C1FAD5F" w14:textId="1EF16978" w:rsidR="005A3146" w:rsidRDefault="005A3146" w:rsidP="005951F3">
      <w:pPr>
        <w:widowControl w:val="0"/>
        <w:rPr>
          <w:rFonts w:eastAsia="Times New Roman"/>
          <w:b/>
        </w:rPr>
      </w:pPr>
      <w:r w:rsidRPr="00FC7C5C">
        <w:rPr>
          <w:rFonts w:eastAsia="Times New Roman"/>
          <w:b/>
        </w:rPr>
        <w:t xml:space="preserve">Student Teachers Were More Protected </w:t>
      </w:r>
      <w:r w:rsidR="000C08E7" w:rsidRPr="00FC7C5C">
        <w:rPr>
          <w:rFonts w:eastAsia="Times New Roman"/>
          <w:b/>
        </w:rPr>
        <w:t>from</w:t>
      </w:r>
      <w:r w:rsidRPr="00FC7C5C">
        <w:rPr>
          <w:rFonts w:eastAsia="Times New Roman"/>
          <w:b/>
        </w:rPr>
        <w:t xml:space="preserve"> Failure Due to COVID Environment </w:t>
      </w:r>
    </w:p>
    <w:p w14:paraId="2E67E47B" w14:textId="77777777" w:rsidR="00441CDF" w:rsidRPr="00FC7C5C" w:rsidRDefault="00441CDF" w:rsidP="005951F3">
      <w:pPr>
        <w:widowControl w:val="0"/>
        <w:rPr>
          <w:rFonts w:eastAsia="Times New Roman"/>
          <w:b/>
        </w:rPr>
      </w:pPr>
    </w:p>
    <w:p w14:paraId="49DF7132" w14:textId="72F97344" w:rsidR="005A3146" w:rsidRDefault="005A3146" w:rsidP="00D35A8B">
      <w:pPr>
        <w:widowControl w:val="0"/>
        <w:ind w:firstLine="720"/>
        <w:rPr>
          <w:rFonts w:eastAsia="Times New Roman"/>
        </w:rPr>
      </w:pPr>
      <w:r w:rsidRPr="00FC7C5C">
        <w:rPr>
          <w:rFonts w:eastAsia="Times New Roman"/>
        </w:rPr>
        <w:t xml:space="preserve">When comparing this cohort's experience to previous cohorts, the </w:t>
      </w:r>
      <w:r w:rsidR="000C08E7" w:rsidRPr="00FC7C5C">
        <w:rPr>
          <w:rFonts w:eastAsia="Times New Roman"/>
        </w:rPr>
        <w:t>data revealed</w:t>
      </w:r>
      <w:r w:rsidRPr="00FC7C5C">
        <w:rPr>
          <w:rFonts w:eastAsia="Times New Roman"/>
        </w:rPr>
        <w:t xml:space="preserve"> this </w:t>
      </w:r>
      <w:r w:rsidR="009F2650" w:rsidRPr="00FC7C5C">
        <w:rPr>
          <w:rFonts w:eastAsia="Times New Roman"/>
        </w:rPr>
        <w:t>cohort</w:t>
      </w:r>
      <w:r w:rsidRPr="00FC7C5C">
        <w:rPr>
          <w:rFonts w:eastAsia="Times New Roman"/>
        </w:rPr>
        <w:t xml:space="preserve"> was more protected from failure overall, stemming from COVID-19 restrictions. Within the preparation stage, mental health checks were put in place throughout the semesters in each teacher preparation course. While student teaching, it was also apparent supervising practitioners were less critical of their student teachers than previous years. When asked where student teachers could improve, or were least prepared, all supervising practitioners were hesitant to answer. Overall, every participant pointed out this year was difficult, and they were just trying to keep their head above water</w:t>
      </w:r>
      <w:r w:rsidR="00DA0E99">
        <w:rPr>
          <w:rFonts w:eastAsia="Times New Roman"/>
        </w:rPr>
        <w:t xml:space="preserve">. </w:t>
      </w:r>
      <w:r w:rsidRPr="00FC7C5C">
        <w:rPr>
          <w:rFonts w:eastAsia="Times New Roman"/>
        </w:rPr>
        <w:t>Analysis also revealed most supervising practitioners stayed in closer proximity to the student teacher on a daily basis than they would in a typical year</w:t>
      </w:r>
      <w:r w:rsidR="00273553">
        <w:rPr>
          <w:rFonts w:eastAsia="Times New Roman"/>
        </w:rPr>
        <w:t xml:space="preserve">, </w:t>
      </w:r>
      <w:r w:rsidR="00273553">
        <w:rPr>
          <w:rFonts w:eastAsia="Times New Roman"/>
        </w:rPr>
        <w:lastRenderedPageBreak/>
        <w:t>inhibiting the student teachers</w:t>
      </w:r>
      <w:r w:rsidR="0017595D">
        <w:rPr>
          <w:rFonts w:eastAsia="Times New Roman"/>
        </w:rPr>
        <w:t>’</w:t>
      </w:r>
      <w:r w:rsidR="00273553">
        <w:rPr>
          <w:rFonts w:eastAsia="Times New Roman"/>
        </w:rPr>
        <w:t xml:space="preserve"> ability to </w:t>
      </w:r>
      <w:r w:rsidR="00101EFD">
        <w:rPr>
          <w:rFonts w:eastAsia="Times New Roman"/>
        </w:rPr>
        <w:t>achieve</w:t>
      </w:r>
      <w:r w:rsidR="00273553">
        <w:rPr>
          <w:rFonts w:eastAsia="Times New Roman"/>
        </w:rPr>
        <w:t xml:space="preserve"> full autonomy in the classroom.</w:t>
      </w:r>
    </w:p>
    <w:p w14:paraId="3043ED34" w14:textId="77777777" w:rsidR="00441CDF" w:rsidRPr="00FC7C5C" w:rsidRDefault="00441CDF" w:rsidP="005951F3">
      <w:pPr>
        <w:widowControl w:val="0"/>
        <w:ind w:firstLine="720"/>
        <w:rPr>
          <w:rFonts w:eastAsia="Times New Roman"/>
        </w:rPr>
      </w:pPr>
    </w:p>
    <w:p w14:paraId="7057C138" w14:textId="1A58A042" w:rsidR="00441CDF" w:rsidRDefault="005A3146" w:rsidP="005951F3">
      <w:pPr>
        <w:widowControl w:val="0"/>
      </w:pPr>
      <w:r w:rsidRPr="00FC7C5C">
        <w:rPr>
          <w:rFonts w:eastAsia="Times New Roman"/>
          <w:b/>
          <w:bCs/>
        </w:rPr>
        <w:t xml:space="preserve">Overall Student Teachers are Prepared to Teach </w:t>
      </w:r>
      <w:r w:rsidR="000311F9" w:rsidRPr="00FC7C5C">
        <w:t xml:space="preserve">   </w:t>
      </w:r>
    </w:p>
    <w:p w14:paraId="6630BACF" w14:textId="57202DEE" w:rsidR="00441CDF" w:rsidRDefault="005A3146" w:rsidP="00B61938">
      <w:pPr>
        <w:widowControl w:val="0"/>
        <w:ind w:firstLine="720"/>
        <w:rPr>
          <w:rFonts w:eastAsia="Times New Roman"/>
        </w:rPr>
      </w:pPr>
      <w:r w:rsidRPr="00FC7C5C">
        <w:rPr>
          <w:rFonts w:eastAsia="Times New Roman"/>
        </w:rPr>
        <w:t xml:space="preserve">All participants collectively agreed the events of this past year made the teacher preparation coursework, student teaching process, and life itself, more challenging. With the inconsistencies and unknowns the pandemic presented, all were concerned about what the student teaching experience would look like in practice. Despite the modifications made in the spring and fall semesters, the online delivery of teacher preparation courses, and the lack of microteaching experiences, all student teachers felt prepared to student teach. Throughout the experience, circumstances eased up, and student teachers </w:t>
      </w:r>
      <w:r w:rsidR="00A34367" w:rsidRPr="00FC7C5C">
        <w:rPr>
          <w:rFonts w:eastAsia="Times New Roman"/>
        </w:rPr>
        <w:t xml:space="preserve">reflected they </w:t>
      </w:r>
      <w:r w:rsidRPr="00FC7C5C">
        <w:rPr>
          <w:rFonts w:eastAsia="Times New Roman"/>
        </w:rPr>
        <w:t xml:space="preserve">were able to get </w:t>
      </w:r>
      <w:r w:rsidR="00A34367" w:rsidRPr="00FC7C5C">
        <w:rPr>
          <w:rFonts w:eastAsia="Times New Roman"/>
        </w:rPr>
        <w:t xml:space="preserve">a positive </w:t>
      </w:r>
      <w:r w:rsidRPr="00FC7C5C">
        <w:rPr>
          <w:rFonts w:eastAsia="Times New Roman"/>
        </w:rPr>
        <w:t>teaching experience at their cooperating site. Each student teacher, along with their supervising practitioners</w:t>
      </w:r>
      <w:r w:rsidR="00351F55" w:rsidRPr="00FC7C5C">
        <w:rPr>
          <w:rFonts w:eastAsia="Times New Roman"/>
        </w:rPr>
        <w:t xml:space="preserve">, </w:t>
      </w:r>
      <w:r w:rsidR="00E65669">
        <w:rPr>
          <w:rFonts w:eastAsia="Times New Roman"/>
        </w:rPr>
        <w:t xml:space="preserve">and </w:t>
      </w:r>
      <w:r w:rsidRPr="00FC7C5C">
        <w:rPr>
          <w:rFonts w:eastAsia="Times New Roman"/>
        </w:rPr>
        <w:t>University instructors</w:t>
      </w:r>
      <w:r w:rsidR="00E65669">
        <w:rPr>
          <w:rFonts w:eastAsia="Times New Roman"/>
        </w:rPr>
        <w:t xml:space="preserve"> </w:t>
      </w:r>
      <w:r w:rsidRPr="00FC7C5C">
        <w:rPr>
          <w:rFonts w:eastAsia="Times New Roman"/>
        </w:rPr>
        <w:t xml:space="preserve">stated in their final interview that they’re prepared to be teachers in agricultural programs in </w:t>
      </w:r>
      <w:r w:rsidR="007602BA">
        <w:rPr>
          <w:rFonts w:eastAsia="Times New Roman"/>
        </w:rPr>
        <w:t>Arizona</w:t>
      </w:r>
      <w:r w:rsidRPr="00FC7C5C">
        <w:rPr>
          <w:rFonts w:eastAsia="Times New Roman"/>
        </w:rPr>
        <w:t>.</w:t>
      </w:r>
      <w:r w:rsidR="00E65669">
        <w:rPr>
          <w:rFonts w:eastAsia="Times New Roman"/>
        </w:rPr>
        <w:t xml:space="preserve"> </w:t>
      </w:r>
    </w:p>
    <w:p w14:paraId="305F31B2" w14:textId="77777777" w:rsidR="00E0592B" w:rsidRPr="00FC7C5C" w:rsidRDefault="00E0592B" w:rsidP="00B61938">
      <w:pPr>
        <w:widowControl w:val="0"/>
        <w:ind w:firstLine="720"/>
        <w:rPr>
          <w:rFonts w:eastAsia="Times New Roman"/>
        </w:rPr>
      </w:pPr>
    </w:p>
    <w:p w14:paraId="53AC14E7" w14:textId="1B9B53A4" w:rsidR="00E10FAB" w:rsidRDefault="00E30390" w:rsidP="005951F3">
      <w:pPr>
        <w:widowControl w:val="0"/>
        <w:jc w:val="center"/>
        <w:rPr>
          <w:b/>
        </w:rPr>
      </w:pPr>
      <w:r w:rsidRPr="00FC7C5C">
        <w:rPr>
          <w:b/>
        </w:rPr>
        <w:t>Discussion</w:t>
      </w:r>
      <w:r w:rsidR="004A4238">
        <w:rPr>
          <w:b/>
        </w:rPr>
        <w:t>/Implications/Recommendations</w:t>
      </w:r>
    </w:p>
    <w:p w14:paraId="7A670A63" w14:textId="77777777" w:rsidR="00441CDF" w:rsidRPr="00FC7C5C" w:rsidRDefault="00441CDF" w:rsidP="005951F3">
      <w:pPr>
        <w:widowControl w:val="0"/>
        <w:jc w:val="center"/>
        <w:rPr>
          <w:b/>
        </w:rPr>
      </w:pPr>
    </w:p>
    <w:p w14:paraId="39D804D4" w14:textId="05B61D28" w:rsidR="00B20A96" w:rsidRDefault="009938B5" w:rsidP="002B157A">
      <w:pPr>
        <w:widowControl w:val="0"/>
        <w:ind w:firstLine="720"/>
        <w:rPr>
          <w:shd w:val="clear" w:color="auto" w:fill="FFFFFF"/>
        </w:rPr>
      </w:pPr>
      <w:r w:rsidRPr="00FC7C5C">
        <w:rPr>
          <w:shd w:val="clear" w:color="auto" w:fill="FFFFFF"/>
        </w:rPr>
        <w:t xml:space="preserve">Overall, </w:t>
      </w:r>
      <w:r w:rsidR="002F6BF1" w:rsidRPr="00FC7C5C">
        <w:rPr>
          <w:shd w:val="clear" w:color="auto" w:fill="FFFFFF"/>
        </w:rPr>
        <w:t xml:space="preserve">the </w:t>
      </w:r>
      <w:r w:rsidRPr="00FC7C5C">
        <w:rPr>
          <w:shd w:val="clear" w:color="auto" w:fill="FFFFFF"/>
        </w:rPr>
        <w:t xml:space="preserve">student teachers </w:t>
      </w:r>
      <w:r w:rsidR="00183E15" w:rsidRPr="00FC7C5C">
        <w:rPr>
          <w:shd w:val="clear" w:color="auto" w:fill="FFFFFF"/>
        </w:rPr>
        <w:t xml:space="preserve">had a largely </w:t>
      </w:r>
      <w:r w:rsidRPr="00FC7C5C">
        <w:rPr>
          <w:shd w:val="clear" w:color="auto" w:fill="FFFFFF"/>
        </w:rPr>
        <w:t xml:space="preserve">positive student teaching experience where they were able to gain knowledge, skills, and dispositions as future agricultural educators. However, the findings </w:t>
      </w:r>
      <w:r w:rsidR="002F6BF1" w:rsidRPr="00FC7C5C">
        <w:rPr>
          <w:shd w:val="clear" w:color="auto" w:fill="FFFFFF"/>
        </w:rPr>
        <w:t>reveal</w:t>
      </w:r>
      <w:r w:rsidRPr="00FC7C5C">
        <w:rPr>
          <w:shd w:val="clear" w:color="auto" w:fill="FFFFFF"/>
        </w:rPr>
        <w:t xml:space="preserve"> they did not receive a </w:t>
      </w:r>
      <w:r w:rsidR="00183E15" w:rsidRPr="00FC7C5C">
        <w:rPr>
          <w:shd w:val="clear" w:color="auto" w:fill="FFFFFF"/>
        </w:rPr>
        <w:t>full SBAE</w:t>
      </w:r>
      <w:r w:rsidRPr="00FC7C5C">
        <w:rPr>
          <w:shd w:val="clear" w:color="auto" w:fill="FFFFFF"/>
        </w:rPr>
        <w:t xml:space="preserve"> student teaching experience,</w:t>
      </w:r>
      <w:r w:rsidR="00183E15" w:rsidRPr="00FC7C5C">
        <w:rPr>
          <w:shd w:val="clear" w:color="auto" w:fill="FFFFFF"/>
        </w:rPr>
        <w:t xml:space="preserve"> missing out on the areas of SAE and FFA</w:t>
      </w:r>
      <w:r w:rsidR="00C813FC">
        <w:rPr>
          <w:shd w:val="clear" w:color="auto" w:fill="FFFFFF"/>
        </w:rPr>
        <w:t>.</w:t>
      </w:r>
      <w:r w:rsidRPr="00FC7C5C">
        <w:rPr>
          <w:shd w:val="clear" w:color="auto" w:fill="FFFFFF"/>
        </w:rPr>
        <w:t xml:space="preserve"> </w:t>
      </w:r>
      <w:r w:rsidR="00A1607D" w:rsidRPr="00FC7C5C">
        <w:rPr>
          <w:shd w:val="clear" w:color="auto" w:fill="FFFFFF"/>
        </w:rPr>
        <w:t xml:space="preserve">While the classroom teaching component is arguably the most important part of student teaching, SAE and FFA are an integral part of what makes agricultural education unique, and experience in these areas are vital for preservice teacher development. </w:t>
      </w:r>
      <w:r w:rsidR="00183E15" w:rsidRPr="00FC7C5C">
        <w:rPr>
          <w:shd w:val="clear" w:color="auto" w:fill="FFFFFF"/>
        </w:rPr>
        <w:t>T</w:t>
      </w:r>
      <w:r w:rsidRPr="00FC7C5C">
        <w:rPr>
          <w:shd w:val="clear" w:color="auto" w:fill="FFFFFF"/>
        </w:rPr>
        <w:t xml:space="preserve">he </w:t>
      </w:r>
      <w:r w:rsidR="00183E15" w:rsidRPr="00FC7C5C">
        <w:rPr>
          <w:shd w:val="clear" w:color="auto" w:fill="FFFFFF"/>
        </w:rPr>
        <w:t>COVID-19</w:t>
      </w:r>
      <w:r w:rsidRPr="00FC7C5C">
        <w:rPr>
          <w:shd w:val="clear" w:color="auto" w:fill="FFFFFF"/>
        </w:rPr>
        <w:t xml:space="preserve"> restrictions each </w:t>
      </w:r>
      <w:r w:rsidR="002F6BF1" w:rsidRPr="00FC7C5C">
        <w:rPr>
          <w:shd w:val="clear" w:color="auto" w:fill="FFFFFF"/>
        </w:rPr>
        <w:t xml:space="preserve">student teacher </w:t>
      </w:r>
      <w:r w:rsidR="00DB3A06" w:rsidRPr="00FC7C5C">
        <w:rPr>
          <w:shd w:val="clear" w:color="auto" w:fill="FFFFFF"/>
        </w:rPr>
        <w:t>experienced</w:t>
      </w:r>
      <w:r w:rsidRPr="00FC7C5C">
        <w:rPr>
          <w:shd w:val="clear" w:color="auto" w:fill="FFFFFF"/>
        </w:rPr>
        <w:t xml:space="preserve"> ultimately impeded the preparation and practice stage</w:t>
      </w:r>
      <w:r w:rsidR="00183E15" w:rsidRPr="00FC7C5C">
        <w:rPr>
          <w:shd w:val="clear" w:color="auto" w:fill="FFFFFF"/>
        </w:rPr>
        <w:t>s of SBAE teacher development</w:t>
      </w:r>
      <w:r w:rsidRPr="00FC7C5C">
        <w:rPr>
          <w:shd w:val="clear" w:color="auto" w:fill="FFFFFF"/>
        </w:rPr>
        <w:t xml:space="preserve"> (Whittington, 2005),</w:t>
      </w:r>
      <w:r w:rsidR="00183E15" w:rsidRPr="00FC7C5C">
        <w:rPr>
          <w:shd w:val="clear" w:color="auto" w:fill="FFFFFF"/>
        </w:rPr>
        <w:t xml:space="preserve"> with the greatest impact occurring </w:t>
      </w:r>
      <w:r w:rsidR="00543D1E" w:rsidRPr="00FC7C5C">
        <w:rPr>
          <w:shd w:val="clear" w:color="auto" w:fill="FFFFFF"/>
        </w:rPr>
        <w:t>within</w:t>
      </w:r>
      <w:r w:rsidR="00183E15" w:rsidRPr="00FC7C5C">
        <w:rPr>
          <w:shd w:val="clear" w:color="auto" w:fill="FFFFFF"/>
        </w:rPr>
        <w:t xml:space="preserve"> the professional practice stage during student teaching. T</w:t>
      </w:r>
      <w:r w:rsidRPr="00FC7C5C">
        <w:rPr>
          <w:shd w:val="clear" w:color="auto" w:fill="FFFFFF"/>
        </w:rPr>
        <w:t>heir</w:t>
      </w:r>
      <w:r w:rsidR="00183E15" w:rsidRPr="00FC7C5C">
        <w:rPr>
          <w:shd w:val="clear" w:color="auto" w:fill="FFFFFF"/>
        </w:rPr>
        <w:t xml:space="preserve"> individual</w:t>
      </w:r>
      <w:r w:rsidRPr="00FC7C5C">
        <w:rPr>
          <w:shd w:val="clear" w:color="auto" w:fill="FFFFFF"/>
        </w:rPr>
        <w:t xml:space="preserve"> </w:t>
      </w:r>
      <w:r w:rsidR="00183E15" w:rsidRPr="00FC7C5C">
        <w:rPr>
          <w:shd w:val="clear" w:color="auto" w:fill="FFFFFF"/>
        </w:rPr>
        <w:t>PCK</w:t>
      </w:r>
      <w:r w:rsidRPr="00FC7C5C">
        <w:rPr>
          <w:shd w:val="clear" w:color="auto" w:fill="FFFFFF"/>
        </w:rPr>
        <w:t xml:space="preserve"> </w:t>
      </w:r>
      <w:r w:rsidR="00183E15" w:rsidRPr="00FC7C5C">
        <w:rPr>
          <w:shd w:val="clear" w:color="auto" w:fill="FFFFFF"/>
        </w:rPr>
        <w:t xml:space="preserve">development </w:t>
      </w:r>
      <w:r w:rsidRPr="00FC7C5C">
        <w:rPr>
          <w:shd w:val="clear" w:color="auto" w:fill="FFFFFF"/>
        </w:rPr>
        <w:t>(Berry et al., 2015)</w:t>
      </w:r>
      <w:r w:rsidR="007E060D" w:rsidRPr="00FC7C5C">
        <w:rPr>
          <w:shd w:val="clear" w:color="auto" w:fill="FFFFFF"/>
        </w:rPr>
        <w:t xml:space="preserve"> was also stifled in areas of </w:t>
      </w:r>
      <w:r w:rsidR="001C2CAC">
        <w:rPr>
          <w:shd w:val="clear" w:color="auto" w:fill="FFFFFF"/>
        </w:rPr>
        <w:t>TPKB’s</w:t>
      </w:r>
      <w:r w:rsidR="007E060D" w:rsidRPr="00FC7C5C">
        <w:rPr>
          <w:shd w:val="clear" w:color="auto" w:fill="FFFFFF"/>
        </w:rPr>
        <w:t xml:space="preserve"> including</w:t>
      </w:r>
      <w:r w:rsidR="00183E15" w:rsidRPr="00FC7C5C">
        <w:rPr>
          <w:shd w:val="clear" w:color="auto" w:fill="FFFFFF"/>
        </w:rPr>
        <w:t xml:space="preserve"> knowledge of content and teaching, knowledge of content and students, and knowledge of content and assessment. </w:t>
      </w:r>
      <w:r w:rsidR="007E060D" w:rsidRPr="00FC7C5C">
        <w:rPr>
          <w:shd w:val="clear" w:color="auto" w:fill="FFFFFF"/>
        </w:rPr>
        <w:t xml:space="preserve">Ultimately this </w:t>
      </w:r>
      <w:r w:rsidR="003C393C">
        <w:rPr>
          <w:shd w:val="clear" w:color="auto" w:fill="FFFFFF"/>
        </w:rPr>
        <w:t>a</w:t>
      </w:r>
      <w:r w:rsidR="007E060D" w:rsidRPr="00FC7C5C">
        <w:rPr>
          <w:shd w:val="clear" w:color="auto" w:fill="FFFFFF"/>
        </w:rPr>
        <w:t xml:space="preserve">ffected </w:t>
      </w:r>
      <w:r w:rsidR="00E13EED" w:rsidRPr="00FC7C5C">
        <w:rPr>
          <w:shd w:val="clear" w:color="auto" w:fill="FFFFFF"/>
        </w:rPr>
        <w:t>their</w:t>
      </w:r>
      <w:r w:rsidR="007E060D" w:rsidRPr="00FC7C5C">
        <w:rPr>
          <w:shd w:val="clear" w:color="auto" w:fill="FFFFFF"/>
        </w:rPr>
        <w:t xml:space="preserve"> </w:t>
      </w:r>
      <w:r w:rsidR="001C2CAC">
        <w:rPr>
          <w:shd w:val="clear" w:color="auto" w:fill="FFFFFF"/>
        </w:rPr>
        <w:t>TSPK</w:t>
      </w:r>
      <w:r w:rsidR="000065D6" w:rsidRPr="00FC7C5C">
        <w:rPr>
          <w:shd w:val="clear" w:color="auto" w:fill="FFFFFF"/>
        </w:rPr>
        <w:t>, classroom practice,</w:t>
      </w:r>
      <w:r w:rsidR="007E060D" w:rsidRPr="00FC7C5C">
        <w:rPr>
          <w:shd w:val="clear" w:color="auto" w:fill="FFFFFF"/>
        </w:rPr>
        <w:t xml:space="preserve"> </w:t>
      </w:r>
      <w:r w:rsidR="00E13EED" w:rsidRPr="00FC7C5C">
        <w:rPr>
          <w:shd w:val="clear" w:color="auto" w:fill="FFFFFF"/>
        </w:rPr>
        <w:t>their</w:t>
      </w:r>
      <w:r w:rsidR="007E060D" w:rsidRPr="00FC7C5C">
        <w:rPr>
          <w:shd w:val="clear" w:color="auto" w:fill="FFFFFF"/>
        </w:rPr>
        <w:t xml:space="preserve"> </w:t>
      </w:r>
      <w:r w:rsidR="00E13EED" w:rsidRPr="00FC7C5C">
        <w:rPr>
          <w:shd w:val="clear" w:color="auto" w:fill="FFFFFF"/>
        </w:rPr>
        <w:t>beliefs</w:t>
      </w:r>
      <w:r w:rsidR="007E060D" w:rsidRPr="00FC7C5C">
        <w:rPr>
          <w:shd w:val="clear" w:color="auto" w:fill="FFFFFF"/>
        </w:rPr>
        <w:t xml:space="preserve"> and orientations</w:t>
      </w:r>
      <w:r w:rsidR="000065D6" w:rsidRPr="00FC7C5C">
        <w:rPr>
          <w:shd w:val="clear" w:color="auto" w:fill="FFFFFF"/>
        </w:rPr>
        <w:t xml:space="preserve">, and </w:t>
      </w:r>
      <w:r w:rsidR="005E0FBF" w:rsidRPr="00FC7C5C">
        <w:rPr>
          <w:shd w:val="clear" w:color="auto" w:fill="FFFFFF"/>
        </w:rPr>
        <w:t xml:space="preserve">overall </w:t>
      </w:r>
      <w:r w:rsidR="000065D6" w:rsidRPr="00FC7C5C">
        <w:rPr>
          <w:shd w:val="clear" w:color="auto" w:fill="FFFFFF"/>
        </w:rPr>
        <w:t>PCK</w:t>
      </w:r>
      <w:r w:rsidR="007E060D" w:rsidRPr="00FC7C5C">
        <w:rPr>
          <w:shd w:val="clear" w:color="auto" w:fill="FFFFFF"/>
        </w:rPr>
        <w:t xml:space="preserve">. </w:t>
      </w:r>
    </w:p>
    <w:p w14:paraId="36894619" w14:textId="77777777" w:rsidR="00A81984" w:rsidRDefault="00A81984" w:rsidP="002B157A">
      <w:pPr>
        <w:widowControl w:val="0"/>
        <w:ind w:firstLine="720"/>
        <w:rPr>
          <w:shd w:val="clear" w:color="auto" w:fill="FFFFFF"/>
        </w:rPr>
      </w:pPr>
    </w:p>
    <w:p w14:paraId="4D38AEDE" w14:textId="77777777" w:rsidR="007B28E5" w:rsidRDefault="00B20A96" w:rsidP="00B20A96">
      <w:pPr>
        <w:widowControl w:val="0"/>
        <w:ind w:firstLine="720"/>
        <w:rPr>
          <w:shd w:val="clear" w:color="auto" w:fill="FFFFFF"/>
        </w:rPr>
      </w:pPr>
      <w:r>
        <w:rPr>
          <w:shd w:val="clear" w:color="auto" w:fill="FFFFFF"/>
        </w:rPr>
        <w:t>This cohort’s</w:t>
      </w:r>
      <w:r w:rsidR="00183E15" w:rsidRPr="00FC7C5C">
        <w:rPr>
          <w:shd w:val="clear" w:color="auto" w:fill="FFFFFF"/>
        </w:rPr>
        <w:t xml:space="preserve"> development of knowledge of content and curriculum</w:t>
      </w:r>
      <w:r w:rsidR="00A900A4" w:rsidRPr="00FC7C5C">
        <w:rPr>
          <w:shd w:val="clear" w:color="auto" w:fill="FFFFFF"/>
        </w:rPr>
        <w:t xml:space="preserve"> PCK</w:t>
      </w:r>
      <w:r w:rsidR="00183E15" w:rsidRPr="00FC7C5C">
        <w:rPr>
          <w:shd w:val="clear" w:color="auto" w:fill="FFFFFF"/>
        </w:rPr>
        <w:t xml:space="preserve"> flourished during professional preparation and practice</w:t>
      </w:r>
      <w:r>
        <w:rPr>
          <w:shd w:val="clear" w:color="auto" w:fill="FFFFFF"/>
        </w:rPr>
        <w:t xml:space="preserve">, </w:t>
      </w:r>
      <w:r w:rsidRPr="00FC7C5C">
        <w:rPr>
          <w:shd w:val="clear" w:color="auto" w:fill="FFFFFF"/>
        </w:rPr>
        <w:t>which demonstrates a hybrid teacher preparation program could potentially be successful, at least for curriculum development. However, further</w:t>
      </w:r>
      <w:r w:rsidRPr="00FC7C5C">
        <w:t xml:space="preserve"> research is needed as the findings reveal a fully online teacher preparation program is not ideal for other areas of PCK growth including knowledge of content and teaching, knowledge of content and students, and knowledge of content and assessments. </w:t>
      </w:r>
      <w:r w:rsidRPr="00FC7C5C">
        <w:rPr>
          <w:shd w:val="clear" w:color="auto" w:fill="FFFFFF"/>
        </w:rPr>
        <w:t xml:space="preserve">Additionally, within the preparation stage, </w:t>
      </w:r>
      <w:r>
        <w:rPr>
          <w:shd w:val="clear" w:color="auto" w:fill="FFFFFF"/>
        </w:rPr>
        <w:t>early field experiences (</w:t>
      </w:r>
      <w:r w:rsidRPr="00FC7C5C">
        <w:rPr>
          <w:shd w:val="clear" w:color="auto" w:fill="FFFFFF"/>
        </w:rPr>
        <w:t>EFE</w:t>
      </w:r>
      <w:r>
        <w:rPr>
          <w:shd w:val="clear" w:color="auto" w:fill="FFFFFF"/>
        </w:rPr>
        <w:t>)</w:t>
      </w:r>
      <w:r w:rsidRPr="00FC7C5C">
        <w:rPr>
          <w:shd w:val="clear" w:color="auto" w:fill="FFFFFF"/>
        </w:rPr>
        <w:t>’s are shown to be a vital portion of this process that influence</w:t>
      </w:r>
      <w:r>
        <w:rPr>
          <w:shd w:val="clear" w:color="auto" w:fill="FFFFFF"/>
        </w:rPr>
        <w:t>s</w:t>
      </w:r>
      <w:r w:rsidRPr="00FC7C5C">
        <w:rPr>
          <w:shd w:val="clear" w:color="auto" w:fill="FFFFFF"/>
        </w:rPr>
        <w:t xml:space="preserve"> classroom practice</w:t>
      </w:r>
      <w:r w:rsidR="005E3FE5">
        <w:rPr>
          <w:shd w:val="clear" w:color="auto" w:fill="FFFFFF"/>
        </w:rPr>
        <w:t xml:space="preserve"> (Retallick &amp; Miller, 2010)</w:t>
      </w:r>
      <w:r w:rsidRPr="00FC7C5C">
        <w:rPr>
          <w:shd w:val="clear" w:color="auto" w:fill="FFFFFF"/>
        </w:rPr>
        <w:t xml:space="preserve"> and serve</w:t>
      </w:r>
      <w:r>
        <w:rPr>
          <w:shd w:val="clear" w:color="auto" w:fill="FFFFFF"/>
        </w:rPr>
        <w:t>s</w:t>
      </w:r>
      <w:r w:rsidRPr="00FC7C5C">
        <w:rPr>
          <w:shd w:val="clear" w:color="auto" w:fill="FFFFFF"/>
        </w:rPr>
        <w:t xml:space="preserve"> as the foundation for their knowledge of content and students, teaching</w:t>
      </w:r>
      <w:r>
        <w:rPr>
          <w:shd w:val="clear" w:color="auto" w:fill="FFFFFF"/>
        </w:rPr>
        <w:t>,</w:t>
      </w:r>
      <w:r w:rsidRPr="00FC7C5C">
        <w:rPr>
          <w:shd w:val="clear" w:color="auto" w:fill="FFFFFF"/>
        </w:rPr>
        <w:t xml:space="preserve"> and assessments. It is recommended teacher preparation programs implement multiple EFE’s during preparation. </w:t>
      </w:r>
      <w:r w:rsidRPr="00FC7C5C">
        <w:t>A longitudinal study of this cohort during their first</w:t>
      </w:r>
      <w:r>
        <w:t>-</w:t>
      </w:r>
      <w:r w:rsidRPr="00FC7C5C">
        <w:t xml:space="preserve">year teaching could provide further information on the development and application of their PCK outside of the context of COVID-19. </w:t>
      </w:r>
      <w:r w:rsidRPr="00FC7C5C">
        <w:rPr>
          <w:shd w:val="clear" w:color="auto" w:fill="FFFFFF"/>
        </w:rPr>
        <w:t>It is also recommended all parties to hold the same standards for student teachers each year, regardless of extenuating circumstances</w:t>
      </w:r>
      <w:r w:rsidR="005E3FE5">
        <w:rPr>
          <w:shd w:val="clear" w:color="auto" w:fill="FFFFFF"/>
        </w:rPr>
        <w:t xml:space="preserve">. </w:t>
      </w:r>
      <w:r w:rsidRPr="00FC7C5C">
        <w:rPr>
          <w:shd w:val="clear" w:color="auto" w:fill="FFFFFF"/>
        </w:rPr>
        <w:t>While the intentions behind the grace and compassion from all parties came from a nurturing place, the lack of experience led to stifled PCK and a lack of experimentation and problem solving</w:t>
      </w:r>
      <w:r w:rsidR="00A515AE">
        <w:rPr>
          <w:shd w:val="clear" w:color="auto" w:fill="FFFFFF"/>
        </w:rPr>
        <w:t>,</w:t>
      </w:r>
      <w:r w:rsidRPr="00FC7C5C">
        <w:rPr>
          <w:shd w:val="clear" w:color="auto" w:fill="FFFFFF"/>
        </w:rPr>
        <w:t xml:space="preserve"> which is important for teacher development. ​​​​While this cohort is prepared to </w:t>
      </w:r>
      <w:r w:rsidRPr="00FC7C5C">
        <w:rPr>
          <w:shd w:val="clear" w:color="auto" w:fill="FFFFFF"/>
        </w:rPr>
        <w:lastRenderedPageBreak/>
        <w:t>teach, it is in the supervising practitioners and university instructor’s hands to maintain a balance of constructive criticism in all situations to ensure qualified teachers are produced.</w:t>
      </w:r>
    </w:p>
    <w:p w14:paraId="03E9FDE3" w14:textId="5508C9F5" w:rsidR="00B20A96" w:rsidRDefault="00B20A96" w:rsidP="00B20A96">
      <w:pPr>
        <w:widowControl w:val="0"/>
        <w:ind w:firstLine="720"/>
        <w:rPr>
          <w:shd w:val="clear" w:color="auto" w:fill="FFFFFF"/>
        </w:rPr>
      </w:pPr>
      <w:r w:rsidRPr="00FC7C5C">
        <w:rPr>
          <w:shd w:val="clear" w:color="auto" w:fill="FFFFFF"/>
        </w:rPr>
        <w:t xml:space="preserve">  </w:t>
      </w:r>
    </w:p>
    <w:p w14:paraId="07AC94A9" w14:textId="0CCD7795" w:rsidR="00FF7FFB" w:rsidRDefault="00FF7FFB" w:rsidP="00FF7FFB">
      <w:pPr>
        <w:widowControl w:val="0"/>
        <w:ind w:firstLine="720"/>
        <w:jc w:val="center"/>
        <w:rPr>
          <w:b/>
          <w:bCs/>
          <w:shd w:val="clear" w:color="auto" w:fill="FFFFFF"/>
        </w:rPr>
      </w:pPr>
      <w:r w:rsidRPr="00FF7FFB">
        <w:rPr>
          <w:b/>
          <w:bCs/>
          <w:shd w:val="clear" w:color="auto" w:fill="FFFFFF"/>
        </w:rPr>
        <w:t>References</w:t>
      </w:r>
    </w:p>
    <w:p w14:paraId="41714DB2" w14:textId="32BE72D7" w:rsidR="00FF7FFB" w:rsidRDefault="00FF7FFB" w:rsidP="00FF7FFB">
      <w:pPr>
        <w:widowControl w:val="0"/>
        <w:ind w:firstLine="720"/>
        <w:jc w:val="center"/>
        <w:rPr>
          <w:b/>
          <w:bCs/>
          <w:shd w:val="clear" w:color="auto" w:fill="FFFFFF"/>
        </w:rPr>
      </w:pPr>
    </w:p>
    <w:p w14:paraId="7EE76236" w14:textId="77777777" w:rsidR="00F11176" w:rsidRPr="00104F5C" w:rsidRDefault="00F11176" w:rsidP="00F11176">
      <w:pPr>
        <w:spacing w:before="40" w:after="40"/>
        <w:rPr>
          <w:rFonts w:eastAsia="Times New Roman"/>
          <w:color w:val="000000" w:themeColor="text1"/>
        </w:rPr>
      </w:pPr>
      <w:r w:rsidRPr="00173CA6">
        <w:rPr>
          <w:rFonts w:eastAsia="Times New Roman"/>
        </w:rPr>
        <w:t xml:space="preserve">Ball, D. L., Thames, M. H., &amp; Phelps, G. (2008). Content knowledge for teaching: </w:t>
      </w:r>
      <w:r w:rsidRPr="00104F5C">
        <w:rPr>
          <w:rFonts w:eastAsia="Times New Roman"/>
          <w:color w:val="000000" w:themeColor="text1"/>
        </w:rPr>
        <w:t>What makes </w:t>
      </w:r>
    </w:p>
    <w:p w14:paraId="0DAFBCFD" w14:textId="77777777" w:rsidR="00F11176" w:rsidRPr="00104F5C" w:rsidRDefault="00F11176" w:rsidP="00F11176">
      <w:pPr>
        <w:spacing w:before="40" w:after="40"/>
        <w:ind w:left="720"/>
        <w:rPr>
          <w:rFonts w:eastAsia="Times New Roman"/>
          <w:color w:val="000000" w:themeColor="text1"/>
        </w:rPr>
      </w:pPr>
      <w:r w:rsidRPr="00104F5C">
        <w:rPr>
          <w:rFonts w:eastAsia="Times New Roman"/>
          <w:color w:val="000000" w:themeColor="text1"/>
        </w:rPr>
        <w:t xml:space="preserve">it special? </w:t>
      </w:r>
      <w:r w:rsidRPr="004746FE">
        <w:rPr>
          <w:rFonts w:eastAsia="Times New Roman"/>
          <w:i/>
          <w:iCs/>
          <w:color w:val="000000" w:themeColor="text1"/>
        </w:rPr>
        <w:t>Journal of Teacher Education, 59</w:t>
      </w:r>
      <w:r w:rsidRPr="00104F5C">
        <w:rPr>
          <w:rFonts w:eastAsia="Times New Roman"/>
          <w:color w:val="000000" w:themeColor="text1"/>
        </w:rPr>
        <w:t xml:space="preserve">(5), 389-407. </w:t>
      </w:r>
      <w:hyperlink r:id="rId10" w:history="1">
        <w:r w:rsidRPr="002306FA">
          <w:rPr>
            <w:rStyle w:val="Hyperlink"/>
          </w:rPr>
          <w:t>https://</w:t>
        </w:r>
        <w:r w:rsidRPr="002306FA">
          <w:rPr>
            <w:rStyle w:val="Hyperlink"/>
            <w:rFonts w:eastAsia="Times New Roman"/>
          </w:rPr>
          <w:t>doi:10.1177/0022487108324554</w:t>
        </w:r>
      </w:hyperlink>
      <w:r>
        <w:rPr>
          <w:rFonts w:eastAsia="Times New Roman"/>
          <w:color w:val="000000" w:themeColor="text1"/>
        </w:rPr>
        <w:t xml:space="preserve"> </w:t>
      </w:r>
      <w:r w:rsidRPr="00104F5C">
        <w:rPr>
          <w:rFonts w:eastAsia="Times New Roman"/>
          <w:color w:val="000000" w:themeColor="text1"/>
        </w:rPr>
        <w:t> </w:t>
      </w:r>
    </w:p>
    <w:p w14:paraId="248434B9" w14:textId="77777777" w:rsidR="00F11176" w:rsidRDefault="00F11176" w:rsidP="0016379D">
      <w:pPr>
        <w:widowControl w:val="0"/>
        <w:rPr>
          <w:color w:val="000000" w:themeColor="text1"/>
        </w:rPr>
      </w:pPr>
    </w:p>
    <w:p w14:paraId="5570C207" w14:textId="08A10688" w:rsidR="0016379D" w:rsidRDefault="0016379D" w:rsidP="0016379D">
      <w:pPr>
        <w:widowControl w:val="0"/>
        <w:rPr>
          <w:rStyle w:val="Hyperlink"/>
        </w:rPr>
      </w:pPr>
      <w:r w:rsidRPr="00104F5C">
        <w:rPr>
          <w:color w:val="000000" w:themeColor="text1"/>
        </w:rPr>
        <w:t xml:space="preserve">Beek, M. V. (2011, January 27). What </w:t>
      </w:r>
      <w:r>
        <w:rPr>
          <w:color w:val="000000" w:themeColor="text1"/>
        </w:rPr>
        <w:t>i</w:t>
      </w:r>
      <w:r w:rsidRPr="00104F5C">
        <w:rPr>
          <w:color w:val="000000" w:themeColor="text1"/>
        </w:rPr>
        <w:t>s "</w:t>
      </w:r>
      <w:r>
        <w:rPr>
          <w:color w:val="000000" w:themeColor="text1"/>
        </w:rPr>
        <w:t>v</w:t>
      </w:r>
      <w:r w:rsidRPr="00104F5C">
        <w:rPr>
          <w:color w:val="000000" w:themeColor="text1"/>
        </w:rPr>
        <w:t xml:space="preserve">irtual </w:t>
      </w:r>
      <w:r>
        <w:rPr>
          <w:color w:val="000000" w:themeColor="text1"/>
        </w:rPr>
        <w:t>l</w:t>
      </w:r>
      <w:r w:rsidRPr="00104F5C">
        <w:rPr>
          <w:color w:val="000000" w:themeColor="text1"/>
        </w:rPr>
        <w:t xml:space="preserve">earning"? Retrieved from </w:t>
      </w:r>
      <w:r>
        <w:rPr>
          <w:color w:val="000000" w:themeColor="text1"/>
        </w:rPr>
        <w:tab/>
      </w:r>
      <w:hyperlink r:id="rId11" w:history="1">
        <w:r w:rsidRPr="002306FA">
          <w:rPr>
            <w:rStyle w:val="Hyperlink"/>
          </w:rPr>
          <w:t>https://www.mackinac.org/14475</w:t>
        </w:r>
      </w:hyperlink>
    </w:p>
    <w:p w14:paraId="680E86BA" w14:textId="10538AB4" w:rsidR="0016379D" w:rsidRDefault="0016379D" w:rsidP="0016379D">
      <w:pPr>
        <w:widowControl w:val="0"/>
        <w:rPr>
          <w:rStyle w:val="Hyperlink"/>
        </w:rPr>
      </w:pPr>
    </w:p>
    <w:p w14:paraId="528D15D1" w14:textId="77777777" w:rsidR="0016379D" w:rsidRPr="004746FE" w:rsidRDefault="0016379D" w:rsidP="0016379D">
      <w:pPr>
        <w:spacing w:before="40" w:after="40"/>
        <w:rPr>
          <w:rFonts w:eastAsia="Times New Roman"/>
          <w:i/>
          <w:iCs/>
          <w:color w:val="000000" w:themeColor="text1"/>
        </w:rPr>
      </w:pPr>
      <w:r w:rsidRPr="00104F5C">
        <w:rPr>
          <w:rFonts w:eastAsia="Times New Roman"/>
          <w:color w:val="000000" w:themeColor="text1"/>
        </w:rPr>
        <w:t xml:space="preserve">Berry, A., Friedrichsen, P., &amp; Loughran, J. (Eds.). (2015). </w:t>
      </w:r>
      <w:r w:rsidRPr="004746FE">
        <w:rPr>
          <w:rFonts w:eastAsia="Times New Roman"/>
          <w:i/>
          <w:iCs/>
          <w:color w:val="000000" w:themeColor="text1"/>
        </w:rPr>
        <w:t>Re-examining pedagogical content </w:t>
      </w:r>
    </w:p>
    <w:p w14:paraId="6FFCDBE7" w14:textId="3739B8C9" w:rsidR="0016379D" w:rsidRDefault="0016379D" w:rsidP="0016379D">
      <w:pPr>
        <w:spacing w:before="40" w:after="40"/>
        <w:ind w:left="720"/>
        <w:rPr>
          <w:rFonts w:eastAsia="Times New Roman"/>
          <w:color w:val="000000" w:themeColor="text1"/>
        </w:rPr>
      </w:pPr>
      <w:r w:rsidRPr="004746FE">
        <w:rPr>
          <w:rFonts w:eastAsia="Times New Roman"/>
          <w:i/>
          <w:iCs/>
          <w:color w:val="000000" w:themeColor="text1"/>
        </w:rPr>
        <w:t>knowledge in science education.</w:t>
      </w:r>
      <w:r w:rsidRPr="00104F5C">
        <w:rPr>
          <w:rFonts w:eastAsia="Times New Roman"/>
          <w:color w:val="000000" w:themeColor="text1"/>
        </w:rPr>
        <w:t xml:space="preserve"> Retrieved from </w:t>
      </w:r>
      <w:hyperlink r:id="rId12" w:history="1">
        <w:r w:rsidRPr="002306FA">
          <w:rPr>
            <w:rStyle w:val="Hyperlink"/>
            <w:rFonts w:eastAsia="Times New Roman"/>
          </w:rPr>
          <w:t>https://ebookcentral.proquest.com.ezproxy4.library.arizona.edu</w:t>
        </w:r>
      </w:hyperlink>
      <w:r>
        <w:rPr>
          <w:rFonts w:eastAsia="Times New Roman"/>
          <w:color w:val="000000" w:themeColor="text1"/>
        </w:rPr>
        <w:t xml:space="preserve"> </w:t>
      </w:r>
    </w:p>
    <w:p w14:paraId="5097B786" w14:textId="7B4278C5" w:rsidR="0016379D" w:rsidRDefault="0016379D" w:rsidP="0016379D">
      <w:pPr>
        <w:spacing w:before="40" w:after="40"/>
        <w:rPr>
          <w:rStyle w:val="Hyperlink"/>
          <w:rFonts w:eastAsia="Times New Roman"/>
          <w:color w:val="000000" w:themeColor="text1"/>
        </w:rPr>
      </w:pPr>
    </w:p>
    <w:p w14:paraId="0EBE7969" w14:textId="1C13CB82" w:rsidR="00E84E41" w:rsidRDefault="00742F1A" w:rsidP="00742F1A">
      <w:pPr>
        <w:spacing w:before="40" w:after="40"/>
        <w:rPr>
          <w:color w:val="000000" w:themeColor="text1"/>
        </w:rPr>
      </w:pPr>
      <w:r w:rsidRPr="00104F5C">
        <w:rPr>
          <w:color w:val="000000" w:themeColor="text1"/>
        </w:rPr>
        <w:t xml:space="preserve">Boghossian, P. (2006). Behaviorism, Constructivism, and Socratic Pedagogy. </w:t>
      </w:r>
      <w:r w:rsidRPr="00104F5C">
        <w:rPr>
          <w:i/>
          <w:iCs/>
          <w:color w:val="000000" w:themeColor="text1"/>
        </w:rPr>
        <w:t xml:space="preserve">Educational </w:t>
      </w:r>
      <w:r>
        <w:rPr>
          <w:i/>
          <w:iCs/>
          <w:color w:val="000000" w:themeColor="text1"/>
        </w:rPr>
        <w:tab/>
      </w:r>
      <w:r w:rsidRPr="00104F5C">
        <w:rPr>
          <w:i/>
          <w:iCs/>
          <w:color w:val="000000" w:themeColor="text1"/>
        </w:rPr>
        <w:t>Philosophy and Theory,</w:t>
      </w:r>
      <w:r w:rsidRPr="00104F5C">
        <w:rPr>
          <w:color w:val="000000" w:themeColor="text1"/>
        </w:rPr>
        <w:t xml:space="preserve"> </w:t>
      </w:r>
      <w:r w:rsidRPr="00104F5C">
        <w:rPr>
          <w:i/>
          <w:iCs/>
          <w:color w:val="000000" w:themeColor="text1"/>
        </w:rPr>
        <w:t>38</w:t>
      </w:r>
      <w:r w:rsidRPr="00104F5C">
        <w:rPr>
          <w:color w:val="000000" w:themeColor="text1"/>
        </w:rPr>
        <w:t>(6), 713-722. https://doi.org/10.1111/j.1469-</w:t>
      </w:r>
      <w:r>
        <w:rPr>
          <w:color w:val="000000" w:themeColor="text1"/>
        </w:rPr>
        <w:tab/>
      </w:r>
      <w:r w:rsidRPr="00104F5C">
        <w:rPr>
          <w:color w:val="000000" w:themeColor="text1"/>
        </w:rPr>
        <w:t>5812.2006.00226.x</w:t>
      </w:r>
      <w:r>
        <w:rPr>
          <w:color w:val="000000" w:themeColor="text1"/>
        </w:rPr>
        <w:t xml:space="preserve"> </w:t>
      </w:r>
    </w:p>
    <w:p w14:paraId="3E72EF80" w14:textId="77777777" w:rsidR="00E84E41" w:rsidRDefault="00E84E41" w:rsidP="00742F1A">
      <w:pPr>
        <w:spacing w:before="40" w:after="40"/>
        <w:rPr>
          <w:color w:val="000000" w:themeColor="text1"/>
        </w:rPr>
      </w:pPr>
    </w:p>
    <w:p w14:paraId="2C875047" w14:textId="68A99984" w:rsidR="00742F1A" w:rsidRPr="00E84E41" w:rsidRDefault="00E84E41" w:rsidP="005E3FE5">
      <w:pPr>
        <w:spacing w:before="40" w:after="40"/>
        <w:ind w:left="720" w:hanging="720"/>
        <w:rPr>
          <w:color w:val="000000" w:themeColor="text1"/>
        </w:rPr>
      </w:pPr>
      <w:r w:rsidRPr="00E84E41">
        <w:rPr>
          <w:color w:val="000000"/>
        </w:rPr>
        <w:t>Creswell, J. W. (2013). Qualitative inquiry and research design: Choosing among five approaches. Sage publications.</w:t>
      </w:r>
      <w:r w:rsidR="00742F1A" w:rsidRPr="00E84E41">
        <w:rPr>
          <w:color w:val="000000" w:themeColor="text1"/>
        </w:rPr>
        <w:t xml:space="preserve"> </w:t>
      </w:r>
    </w:p>
    <w:p w14:paraId="4020270F" w14:textId="77777777" w:rsidR="00742F1A" w:rsidRDefault="00742F1A" w:rsidP="0016379D">
      <w:pPr>
        <w:spacing w:before="40" w:after="40"/>
        <w:rPr>
          <w:rStyle w:val="Hyperlink"/>
          <w:rFonts w:eastAsia="Times New Roman"/>
          <w:color w:val="000000" w:themeColor="text1"/>
        </w:rPr>
      </w:pPr>
    </w:p>
    <w:p w14:paraId="2EB5A1AF" w14:textId="09088374" w:rsidR="0016379D" w:rsidRPr="0016379D" w:rsidRDefault="0016379D" w:rsidP="0016379D">
      <w:pPr>
        <w:spacing w:before="40" w:after="40"/>
        <w:rPr>
          <w:rStyle w:val="Hyperlink"/>
          <w:rFonts w:eastAsia="Times New Roman"/>
          <w:color w:val="000000" w:themeColor="text1"/>
        </w:rPr>
      </w:pPr>
      <w:r w:rsidRPr="00ED3250">
        <w:rPr>
          <w:rFonts w:eastAsia="Times New Roman"/>
          <w:color w:val="000000" w:themeColor="text1"/>
        </w:rPr>
        <w:t>Darling-Hammond, L. (1997). Doing what matters most: Investing in quality </w:t>
      </w:r>
      <w:r>
        <w:rPr>
          <w:rFonts w:eastAsia="Times New Roman"/>
          <w:color w:val="000000" w:themeColor="text1"/>
        </w:rPr>
        <w:t xml:space="preserve">teaching. Retrieved </w:t>
      </w:r>
      <w:r>
        <w:rPr>
          <w:rFonts w:eastAsia="Times New Roman"/>
          <w:color w:val="000000" w:themeColor="text1"/>
        </w:rPr>
        <w:tab/>
        <w:t xml:space="preserve">from </w:t>
      </w:r>
      <w:hyperlink r:id="rId13" w:history="1">
        <w:r w:rsidRPr="002306FA">
          <w:rPr>
            <w:rStyle w:val="Hyperlink"/>
            <w:rFonts w:eastAsia="Times New Roman"/>
          </w:rPr>
          <w:t>https://www.researchgate.net/publication/245970917</w:t>
        </w:r>
      </w:hyperlink>
    </w:p>
    <w:p w14:paraId="2C0E13AF" w14:textId="3315FAF0" w:rsidR="0016379D" w:rsidRDefault="0016379D" w:rsidP="0016379D">
      <w:pPr>
        <w:widowControl w:val="0"/>
        <w:rPr>
          <w:rStyle w:val="Hyperlink"/>
        </w:rPr>
      </w:pPr>
    </w:p>
    <w:p w14:paraId="6D48A546" w14:textId="23973BA9" w:rsidR="0016379D" w:rsidRDefault="0016379D" w:rsidP="005E3FE5">
      <w:pPr>
        <w:widowControl w:val="0"/>
        <w:ind w:left="720" w:hanging="720"/>
        <w:rPr>
          <w:rStyle w:val="Hyperlink"/>
        </w:rPr>
      </w:pPr>
      <w:proofErr w:type="spellStart"/>
      <w:r w:rsidRPr="00104F5C">
        <w:rPr>
          <w:color w:val="000000" w:themeColor="text1"/>
        </w:rPr>
        <w:t>Finol</w:t>
      </w:r>
      <w:proofErr w:type="spellEnd"/>
      <w:r w:rsidRPr="00104F5C">
        <w:rPr>
          <w:color w:val="000000" w:themeColor="text1"/>
        </w:rPr>
        <w:t xml:space="preserve">, M. O. (2020, March 26). Asynchronous vs. </w:t>
      </w:r>
      <w:r>
        <w:rPr>
          <w:color w:val="000000" w:themeColor="text1"/>
        </w:rPr>
        <w:t>s</w:t>
      </w:r>
      <w:r w:rsidRPr="00104F5C">
        <w:rPr>
          <w:color w:val="000000" w:themeColor="text1"/>
        </w:rPr>
        <w:t xml:space="preserve">ynchronous </w:t>
      </w:r>
      <w:r>
        <w:rPr>
          <w:color w:val="000000" w:themeColor="text1"/>
        </w:rPr>
        <w:t>l</w:t>
      </w:r>
      <w:r w:rsidRPr="00104F5C">
        <w:rPr>
          <w:color w:val="000000" w:themeColor="text1"/>
        </w:rPr>
        <w:t xml:space="preserve">earning: A </w:t>
      </w:r>
      <w:r>
        <w:rPr>
          <w:color w:val="000000" w:themeColor="text1"/>
        </w:rPr>
        <w:t>q</w:t>
      </w:r>
      <w:r w:rsidRPr="00104F5C">
        <w:rPr>
          <w:color w:val="000000" w:themeColor="text1"/>
        </w:rPr>
        <w:t xml:space="preserve">uick </w:t>
      </w:r>
      <w:r>
        <w:rPr>
          <w:color w:val="000000" w:themeColor="text1"/>
        </w:rPr>
        <w:t>o</w:t>
      </w:r>
      <w:r w:rsidRPr="00104F5C">
        <w:rPr>
          <w:color w:val="000000" w:themeColor="text1"/>
        </w:rPr>
        <w:t xml:space="preserve">verview. Retrieved from </w:t>
      </w:r>
      <w:hyperlink r:id="rId14" w:history="1">
        <w:r w:rsidRPr="002306FA">
          <w:rPr>
            <w:rStyle w:val="Hyperlink"/>
          </w:rPr>
          <w:t>https://www.brynmawr.edu/blendedlearning/asynchronous-vs-synchronous-learning-quick-overview</w:t>
        </w:r>
      </w:hyperlink>
    </w:p>
    <w:p w14:paraId="7BD87591" w14:textId="3A233E34" w:rsidR="0016379D" w:rsidRDefault="0016379D" w:rsidP="0016379D">
      <w:pPr>
        <w:widowControl w:val="0"/>
        <w:rPr>
          <w:rStyle w:val="Hyperlink"/>
        </w:rPr>
      </w:pPr>
    </w:p>
    <w:p w14:paraId="15E5750C" w14:textId="0DD6C45A" w:rsidR="0016379D" w:rsidRDefault="0016379D" w:rsidP="005E3FE5">
      <w:pPr>
        <w:widowControl w:val="0"/>
        <w:ind w:left="720" w:hanging="720"/>
        <w:rPr>
          <w:color w:val="000000" w:themeColor="text1"/>
        </w:rPr>
      </w:pPr>
      <w:r w:rsidRPr="00104F5C">
        <w:rPr>
          <w:color w:val="000000" w:themeColor="text1"/>
        </w:rPr>
        <w:t xml:space="preserve">Gardner, L. (2020). Covid-19 </w:t>
      </w:r>
      <w:r>
        <w:rPr>
          <w:color w:val="000000" w:themeColor="text1"/>
        </w:rPr>
        <w:t>h</w:t>
      </w:r>
      <w:r w:rsidRPr="00104F5C">
        <w:rPr>
          <w:color w:val="000000" w:themeColor="text1"/>
        </w:rPr>
        <w:t xml:space="preserve">as </w:t>
      </w:r>
      <w:r>
        <w:rPr>
          <w:color w:val="000000" w:themeColor="text1"/>
        </w:rPr>
        <w:t>f</w:t>
      </w:r>
      <w:r w:rsidRPr="00104F5C">
        <w:rPr>
          <w:color w:val="000000" w:themeColor="text1"/>
        </w:rPr>
        <w:t xml:space="preserve">orced </w:t>
      </w:r>
      <w:r>
        <w:rPr>
          <w:color w:val="000000" w:themeColor="text1"/>
        </w:rPr>
        <w:t>h</w:t>
      </w:r>
      <w:r w:rsidRPr="00104F5C">
        <w:rPr>
          <w:color w:val="000000" w:themeColor="text1"/>
        </w:rPr>
        <w:t xml:space="preserve">igher </w:t>
      </w:r>
      <w:r>
        <w:rPr>
          <w:color w:val="000000" w:themeColor="text1"/>
        </w:rPr>
        <w:t>e</w:t>
      </w:r>
      <w:r w:rsidRPr="00104F5C">
        <w:rPr>
          <w:color w:val="000000" w:themeColor="text1"/>
        </w:rPr>
        <w:t xml:space="preserve">d to </w:t>
      </w:r>
      <w:r>
        <w:rPr>
          <w:color w:val="000000" w:themeColor="text1"/>
        </w:rPr>
        <w:t>p</w:t>
      </w:r>
      <w:r w:rsidRPr="00104F5C">
        <w:rPr>
          <w:color w:val="000000" w:themeColor="text1"/>
        </w:rPr>
        <w:t xml:space="preserve">ivot to </w:t>
      </w:r>
      <w:r>
        <w:rPr>
          <w:color w:val="000000" w:themeColor="text1"/>
        </w:rPr>
        <w:t>o</w:t>
      </w:r>
      <w:r w:rsidRPr="00104F5C">
        <w:rPr>
          <w:color w:val="000000" w:themeColor="text1"/>
        </w:rPr>
        <w:t xml:space="preserve">nline </w:t>
      </w:r>
      <w:r>
        <w:rPr>
          <w:color w:val="000000" w:themeColor="text1"/>
        </w:rPr>
        <w:t>l</w:t>
      </w:r>
      <w:r w:rsidRPr="00104F5C">
        <w:rPr>
          <w:color w:val="000000" w:themeColor="text1"/>
        </w:rPr>
        <w:t>earning</w:t>
      </w:r>
      <w:r>
        <w:rPr>
          <w:color w:val="000000" w:themeColor="text1"/>
        </w:rPr>
        <w:t>:</w:t>
      </w:r>
      <w:r w:rsidRPr="00104F5C">
        <w:rPr>
          <w:color w:val="000000" w:themeColor="text1"/>
        </w:rPr>
        <w:t xml:space="preserve"> Here </w:t>
      </w:r>
      <w:r>
        <w:rPr>
          <w:color w:val="000000" w:themeColor="text1"/>
        </w:rPr>
        <w:t>a</w:t>
      </w:r>
      <w:r w:rsidRPr="00104F5C">
        <w:rPr>
          <w:color w:val="000000" w:themeColor="text1"/>
        </w:rPr>
        <w:t xml:space="preserve">re 7 </w:t>
      </w:r>
      <w:r>
        <w:rPr>
          <w:color w:val="000000" w:themeColor="text1"/>
        </w:rPr>
        <w:t>t</w:t>
      </w:r>
      <w:r w:rsidRPr="00104F5C">
        <w:rPr>
          <w:color w:val="000000" w:themeColor="text1"/>
        </w:rPr>
        <w:t xml:space="preserve">akeaways </w:t>
      </w:r>
      <w:r>
        <w:rPr>
          <w:color w:val="000000" w:themeColor="text1"/>
        </w:rPr>
        <w:t>s</w:t>
      </w:r>
      <w:r w:rsidRPr="00104F5C">
        <w:rPr>
          <w:color w:val="000000" w:themeColor="text1"/>
        </w:rPr>
        <w:t xml:space="preserve">o </w:t>
      </w:r>
      <w:r>
        <w:rPr>
          <w:color w:val="000000" w:themeColor="text1"/>
        </w:rPr>
        <w:t>f</w:t>
      </w:r>
      <w:r w:rsidRPr="00104F5C">
        <w:rPr>
          <w:color w:val="000000" w:themeColor="text1"/>
        </w:rPr>
        <w:t xml:space="preserve">ar. </w:t>
      </w:r>
      <w:r w:rsidRPr="00104F5C">
        <w:rPr>
          <w:i/>
          <w:iCs/>
          <w:color w:val="000000" w:themeColor="text1"/>
        </w:rPr>
        <w:t>The Chronicle of Higher Education</w:t>
      </w:r>
      <w:r w:rsidRPr="00104F5C">
        <w:rPr>
          <w:color w:val="000000" w:themeColor="text1"/>
        </w:rPr>
        <w:t xml:space="preserve">. Retrieved from </w:t>
      </w:r>
      <w:hyperlink r:id="rId15" w:history="1">
        <w:r w:rsidRPr="002306FA">
          <w:rPr>
            <w:rStyle w:val="Hyperlink"/>
          </w:rPr>
          <w:t>https://www.chronicle.com/article/covid-19-has-forced-higher-ed-to-pivot-to-online-learning-here-are-7-takeaways-so-far/?cid=gen_sign_in</w:t>
        </w:r>
      </w:hyperlink>
    </w:p>
    <w:p w14:paraId="03375F61" w14:textId="7E52C5EE" w:rsidR="00742F1A" w:rsidRDefault="00742F1A" w:rsidP="0016379D">
      <w:pPr>
        <w:widowControl w:val="0"/>
        <w:rPr>
          <w:color w:val="000000" w:themeColor="text1"/>
        </w:rPr>
      </w:pPr>
    </w:p>
    <w:p w14:paraId="79B49A7B" w14:textId="77777777" w:rsidR="00742F1A" w:rsidRPr="00104F5C" w:rsidRDefault="00742F1A" w:rsidP="00742F1A">
      <w:pPr>
        <w:spacing w:before="40" w:after="40"/>
        <w:rPr>
          <w:rFonts w:eastAsia="Times New Roman"/>
          <w:color w:val="000000" w:themeColor="text1"/>
        </w:rPr>
      </w:pPr>
      <w:r w:rsidRPr="00104F5C">
        <w:rPr>
          <w:rFonts w:eastAsia="Times New Roman"/>
          <w:color w:val="000000" w:themeColor="text1"/>
        </w:rPr>
        <w:t xml:space="preserve">Grossman, P. L. (1990). The making of a teacher: </w:t>
      </w:r>
      <w:r w:rsidRPr="00104F5C">
        <w:rPr>
          <w:rFonts w:eastAsia="Times New Roman"/>
          <w:i/>
          <w:iCs/>
          <w:color w:val="000000" w:themeColor="text1"/>
        </w:rPr>
        <w:t>Teacher knowledge and teacher education</w:t>
      </w:r>
      <w:r w:rsidRPr="00104F5C">
        <w:rPr>
          <w:rFonts w:eastAsia="Times New Roman"/>
          <w:color w:val="000000" w:themeColor="text1"/>
        </w:rPr>
        <w:t>.</w:t>
      </w:r>
    </w:p>
    <w:p w14:paraId="20976B4E" w14:textId="42F33C03" w:rsidR="00742F1A" w:rsidRDefault="00742F1A" w:rsidP="00742F1A">
      <w:pPr>
        <w:spacing w:before="40" w:after="40"/>
        <w:rPr>
          <w:rFonts w:eastAsia="Times New Roman"/>
          <w:i/>
          <w:iCs/>
          <w:color w:val="000000" w:themeColor="text1"/>
        </w:rPr>
      </w:pPr>
      <w:r w:rsidRPr="00104F5C">
        <w:rPr>
          <w:rFonts w:eastAsia="Times New Roman"/>
          <w:color w:val="000000" w:themeColor="text1"/>
        </w:rPr>
        <w:tab/>
        <w:t>Teachers College Press</w:t>
      </w:r>
      <w:r w:rsidRPr="00104F5C">
        <w:rPr>
          <w:rFonts w:eastAsia="Times New Roman"/>
          <w:i/>
          <w:iCs/>
          <w:color w:val="000000" w:themeColor="text1"/>
        </w:rPr>
        <w:t>.</w:t>
      </w:r>
    </w:p>
    <w:p w14:paraId="085204C7" w14:textId="4D8DF6EC" w:rsidR="00742F1A" w:rsidRDefault="00742F1A" w:rsidP="00742F1A">
      <w:pPr>
        <w:spacing w:before="40" w:after="40"/>
        <w:rPr>
          <w:rFonts w:eastAsia="Times New Roman"/>
          <w:i/>
          <w:iCs/>
          <w:color w:val="000000" w:themeColor="text1"/>
        </w:rPr>
      </w:pPr>
    </w:p>
    <w:p w14:paraId="5A469127" w14:textId="5A0F5919" w:rsidR="00742F1A" w:rsidRPr="005E3FE5" w:rsidRDefault="00742F1A" w:rsidP="00742F1A">
      <w:pPr>
        <w:spacing w:before="40" w:after="40"/>
        <w:rPr>
          <w:rFonts w:eastAsia="Times New Roman"/>
          <w:color w:val="000000" w:themeColor="text1"/>
        </w:rPr>
      </w:pPr>
      <w:r w:rsidRPr="00104F5C">
        <w:rPr>
          <w:rFonts w:eastAsia="Times New Roman"/>
          <w:color w:val="000000" w:themeColor="text1"/>
        </w:rPr>
        <w:t xml:space="preserve">Hancock, D. R., &amp; </w:t>
      </w:r>
      <w:proofErr w:type="spellStart"/>
      <w:r w:rsidRPr="00104F5C">
        <w:rPr>
          <w:rFonts w:eastAsia="Times New Roman"/>
          <w:color w:val="000000" w:themeColor="text1"/>
        </w:rPr>
        <w:t>Algozzine</w:t>
      </w:r>
      <w:proofErr w:type="spellEnd"/>
      <w:r w:rsidRPr="00104F5C">
        <w:rPr>
          <w:rFonts w:eastAsia="Times New Roman"/>
          <w:color w:val="000000" w:themeColor="text1"/>
        </w:rPr>
        <w:t xml:space="preserve">, B. (2011). </w:t>
      </w:r>
      <w:r w:rsidRPr="00911D05">
        <w:rPr>
          <w:rFonts w:eastAsia="Times New Roman"/>
          <w:i/>
          <w:iCs/>
          <w:color w:val="000000" w:themeColor="text1"/>
        </w:rPr>
        <w:t xml:space="preserve">Doing case study research: A practical guide for </w:t>
      </w:r>
      <w:r w:rsidRPr="00911D05">
        <w:rPr>
          <w:rFonts w:eastAsia="Times New Roman"/>
          <w:i/>
          <w:iCs/>
          <w:color w:val="000000" w:themeColor="text1"/>
        </w:rPr>
        <w:tab/>
        <w:t>beginning researchers</w:t>
      </w:r>
      <w:r w:rsidRPr="00104F5C">
        <w:rPr>
          <w:rFonts w:eastAsia="Times New Roman"/>
          <w:color w:val="000000" w:themeColor="text1"/>
        </w:rPr>
        <w:t xml:space="preserve"> (2nd ed.). Teacher’s College Press.</w:t>
      </w:r>
    </w:p>
    <w:p w14:paraId="4880366C" w14:textId="77777777" w:rsidR="00742F1A" w:rsidRDefault="00742F1A" w:rsidP="0016379D">
      <w:pPr>
        <w:widowControl w:val="0"/>
        <w:rPr>
          <w:color w:val="000000" w:themeColor="text1"/>
        </w:rPr>
      </w:pPr>
    </w:p>
    <w:p w14:paraId="4F487F64" w14:textId="741E1EB6" w:rsidR="00FF7FFB" w:rsidRDefault="0016379D" w:rsidP="005E3FE5">
      <w:pPr>
        <w:widowControl w:val="0"/>
        <w:ind w:left="720" w:hanging="720"/>
        <w:rPr>
          <w:rStyle w:val="Hyperlink"/>
        </w:rPr>
      </w:pPr>
      <w:r w:rsidRPr="00104F5C">
        <w:rPr>
          <w:color w:val="000000" w:themeColor="text1"/>
        </w:rPr>
        <w:t xml:space="preserve">Hess, A. J. (2020, March 26). How coronavirus dramatically changed college for over 14 million students. Retrieved from </w:t>
      </w:r>
      <w:hyperlink r:id="rId16" w:history="1">
        <w:r w:rsidRPr="002306FA">
          <w:rPr>
            <w:rStyle w:val="Hyperlink"/>
          </w:rPr>
          <w:t>https://www.cnbc.com/2020/03/26/how-coronavirus-changed-college-for-over-14-million-students.html</w:t>
        </w:r>
      </w:hyperlink>
    </w:p>
    <w:p w14:paraId="428D1A90" w14:textId="3A40D643" w:rsidR="00742F1A" w:rsidRDefault="00742F1A" w:rsidP="0016379D">
      <w:pPr>
        <w:widowControl w:val="0"/>
        <w:rPr>
          <w:rStyle w:val="Hyperlink"/>
        </w:rPr>
      </w:pPr>
    </w:p>
    <w:p w14:paraId="1C0BBCEE" w14:textId="77777777" w:rsidR="00742F1A" w:rsidRDefault="00742F1A" w:rsidP="00742F1A">
      <w:pPr>
        <w:spacing w:before="40" w:after="40"/>
        <w:ind w:left="567" w:hanging="567"/>
        <w:rPr>
          <w:color w:val="000000" w:themeColor="text1"/>
        </w:rPr>
      </w:pPr>
      <w:r w:rsidRPr="00104F5C">
        <w:rPr>
          <w:color w:val="000000" w:themeColor="text1"/>
        </w:rPr>
        <w:t xml:space="preserve">Hume, A., &amp; Berry, A. (2010). Constructing </w:t>
      </w:r>
      <w:proofErr w:type="spellStart"/>
      <w:r w:rsidRPr="00104F5C">
        <w:rPr>
          <w:color w:val="000000" w:themeColor="text1"/>
        </w:rPr>
        <w:t>CoRes</w:t>
      </w:r>
      <w:proofErr w:type="spellEnd"/>
      <w:r w:rsidRPr="00104F5C">
        <w:rPr>
          <w:color w:val="000000" w:themeColor="text1"/>
        </w:rPr>
        <w:t xml:space="preserve">—a </w:t>
      </w:r>
      <w:r>
        <w:rPr>
          <w:color w:val="000000" w:themeColor="text1"/>
        </w:rPr>
        <w:t>s</w:t>
      </w:r>
      <w:r w:rsidRPr="00104F5C">
        <w:rPr>
          <w:color w:val="000000" w:themeColor="text1"/>
        </w:rPr>
        <w:t xml:space="preserve">trategy for </w:t>
      </w:r>
      <w:r>
        <w:rPr>
          <w:color w:val="000000" w:themeColor="text1"/>
        </w:rPr>
        <w:t>b</w:t>
      </w:r>
      <w:r w:rsidRPr="00104F5C">
        <w:rPr>
          <w:color w:val="000000" w:themeColor="text1"/>
        </w:rPr>
        <w:t xml:space="preserve">uilding PCK in </w:t>
      </w:r>
      <w:r>
        <w:rPr>
          <w:color w:val="000000" w:themeColor="text1"/>
        </w:rPr>
        <w:t>p</w:t>
      </w:r>
      <w:r w:rsidRPr="00104F5C">
        <w:rPr>
          <w:color w:val="000000" w:themeColor="text1"/>
        </w:rPr>
        <w:t xml:space="preserve">re-service </w:t>
      </w:r>
      <w:r>
        <w:rPr>
          <w:color w:val="000000" w:themeColor="text1"/>
        </w:rPr>
        <w:t>s</w:t>
      </w:r>
      <w:r w:rsidRPr="00104F5C">
        <w:rPr>
          <w:color w:val="000000" w:themeColor="text1"/>
        </w:rPr>
        <w:t xml:space="preserve">cience </w:t>
      </w:r>
      <w:r>
        <w:rPr>
          <w:color w:val="000000" w:themeColor="text1"/>
        </w:rPr>
        <w:t>t</w:t>
      </w:r>
      <w:r w:rsidRPr="00104F5C">
        <w:rPr>
          <w:color w:val="000000" w:themeColor="text1"/>
        </w:rPr>
        <w:t xml:space="preserve">eacher </w:t>
      </w:r>
      <w:r>
        <w:rPr>
          <w:color w:val="000000" w:themeColor="text1"/>
        </w:rPr>
        <w:t>e</w:t>
      </w:r>
      <w:r w:rsidRPr="00104F5C">
        <w:rPr>
          <w:color w:val="000000" w:themeColor="text1"/>
        </w:rPr>
        <w:t xml:space="preserve">ducation. </w:t>
      </w:r>
      <w:r w:rsidRPr="00104F5C">
        <w:rPr>
          <w:i/>
          <w:iCs/>
          <w:color w:val="000000" w:themeColor="text1"/>
        </w:rPr>
        <w:t>Research in Science Education,</w:t>
      </w:r>
      <w:r w:rsidRPr="00104F5C">
        <w:rPr>
          <w:color w:val="000000" w:themeColor="text1"/>
        </w:rPr>
        <w:t xml:space="preserve"> </w:t>
      </w:r>
      <w:r w:rsidRPr="00104F5C">
        <w:rPr>
          <w:i/>
          <w:iCs/>
          <w:color w:val="000000" w:themeColor="text1"/>
        </w:rPr>
        <w:t>41</w:t>
      </w:r>
      <w:r w:rsidRPr="00104F5C">
        <w:rPr>
          <w:color w:val="000000" w:themeColor="text1"/>
        </w:rPr>
        <w:t xml:space="preserve">(3), 341-355. </w:t>
      </w:r>
      <w:hyperlink r:id="rId17" w:history="1">
        <w:r w:rsidRPr="002306FA">
          <w:rPr>
            <w:rStyle w:val="Hyperlink"/>
          </w:rPr>
          <w:t>https://doi:10.1007/s11165-010-9168-3</w:t>
        </w:r>
      </w:hyperlink>
      <w:r>
        <w:rPr>
          <w:color w:val="000000" w:themeColor="text1"/>
        </w:rPr>
        <w:t xml:space="preserve"> </w:t>
      </w:r>
    </w:p>
    <w:p w14:paraId="10FCAB69" w14:textId="48488B2C" w:rsidR="00742F1A" w:rsidRDefault="00742F1A" w:rsidP="0016379D">
      <w:pPr>
        <w:widowControl w:val="0"/>
        <w:rPr>
          <w:rStyle w:val="Hyperlink"/>
        </w:rPr>
      </w:pPr>
    </w:p>
    <w:p w14:paraId="5B11E3BE" w14:textId="77777777" w:rsidR="00742F1A" w:rsidRPr="00104F5C" w:rsidRDefault="00742F1A" w:rsidP="00742F1A">
      <w:pPr>
        <w:spacing w:before="40" w:after="40"/>
        <w:rPr>
          <w:rFonts w:eastAsia="Times New Roman"/>
          <w:color w:val="000000" w:themeColor="text1"/>
        </w:rPr>
      </w:pPr>
      <w:r w:rsidRPr="00104F5C">
        <w:rPr>
          <w:rFonts w:eastAsia="Times New Roman"/>
          <w:color w:val="000000" w:themeColor="text1"/>
        </w:rPr>
        <w:t xml:space="preserve">Kind, V. (2009). Pedagogical content knowledge in science education: Potential and </w:t>
      </w:r>
      <w:r w:rsidRPr="00104F5C">
        <w:rPr>
          <w:rFonts w:eastAsia="Times New Roman"/>
          <w:color w:val="000000" w:themeColor="text1"/>
        </w:rPr>
        <w:tab/>
        <w:t xml:space="preserve">perspectives for progress. </w:t>
      </w:r>
      <w:r w:rsidRPr="00911D05">
        <w:rPr>
          <w:rFonts w:eastAsia="Times New Roman"/>
          <w:i/>
          <w:iCs/>
          <w:color w:val="000000" w:themeColor="text1"/>
        </w:rPr>
        <w:t>Studies in Science Education, 45</w:t>
      </w:r>
      <w:r w:rsidRPr="00104F5C">
        <w:rPr>
          <w:rFonts w:eastAsia="Times New Roman"/>
          <w:color w:val="000000" w:themeColor="text1"/>
        </w:rPr>
        <w:t>(2), 169-204.</w:t>
      </w:r>
    </w:p>
    <w:p w14:paraId="12E734A1" w14:textId="4ADAC261" w:rsidR="0016379D" w:rsidRDefault="0016379D" w:rsidP="0016379D">
      <w:pPr>
        <w:widowControl w:val="0"/>
        <w:rPr>
          <w:rStyle w:val="Hyperlink"/>
        </w:rPr>
      </w:pPr>
    </w:p>
    <w:p w14:paraId="455FDE6D" w14:textId="5A0863F8" w:rsidR="0016379D" w:rsidRDefault="0016379D" w:rsidP="00742F1A">
      <w:pPr>
        <w:rPr>
          <w:rFonts w:eastAsia="Times New Roman"/>
        </w:rPr>
      </w:pPr>
      <w:r w:rsidRPr="0016379D">
        <w:rPr>
          <w:rFonts w:eastAsia="Times New Roman"/>
          <w:shd w:val="clear" w:color="auto" w:fill="FFFFFF"/>
        </w:rPr>
        <w:t xml:space="preserve">National Council for Accreditation of Teacher Education (NCATE). (2002). </w:t>
      </w:r>
      <w:r w:rsidRPr="0016379D">
        <w:rPr>
          <w:rFonts w:eastAsia="Times New Roman"/>
          <w:i/>
          <w:iCs/>
          <w:shd w:val="clear" w:color="auto" w:fill="FFFFFF"/>
        </w:rPr>
        <w:t xml:space="preserve">Professional </w:t>
      </w:r>
      <w:r w:rsidRPr="0016379D">
        <w:rPr>
          <w:rFonts w:eastAsia="Times New Roman"/>
          <w:i/>
          <w:iCs/>
          <w:shd w:val="clear" w:color="auto" w:fill="FFFFFF"/>
        </w:rPr>
        <w:tab/>
        <w:t xml:space="preserve">standards for the accreditation of schools, colleges, and departments of </w:t>
      </w:r>
      <w:r w:rsidRPr="0016379D">
        <w:rPr>
          <w:rFonts w:eastAsia="Times New Roman"/>
          <w:i/>
          <w:iCs/>
          <w:shd w:val="clear" w:color="auto" w:fill="FFFFFF"/>
        </w:rPr>
        <w:tab/>
        <w:t>education.</w:t>
      </w:r>
      <w:r w:rsidRPr="0016379D">
        <w:rPr>
          <w:rFonts w:eastAsia="Times New Roman"/>
          <w:shd w:val="clear" w:color="auto" w:fill="FFFFFF"/>
        </w:rPr>
        <w:t xml:space="preserve">  Washington, D.C.: Author. </w:t>
      </w:r>
    </w:p>
    <w:p w14:paraId="0EF00A4C" w14:textId="29C7B9FC" w:rsidR="00742F1A" w:rsidRDefault="00742F1A" w:rsidP="00742F1A">
      <w:pPr>
        <w:rPr>
          <w:rFonts w:eastAsia="Times New Roman"/>
        </w:rPr>
      </w:pPr>
    </w:p>
    <w:p w14:paraId="14254593" w14:textId="1FA89282" w:rsidR="00742F1A" w:rsidRDefault="00742F1A" w:rsidP="00742F1A">
      <w:pPr>
        <w:spacing w:before="40" w:after="40"/>
        <w:ind w:left="567" w:hanging="567"/>
        <w:rPr>
          <w:color w:val="000000" w:themeColor="text1"/>
        </w:rPr>
      </w:pPr>
      <w:r w:rsidRPr="00104F5C">
        <w:rPr>
          <w:color w:val="000000" w:themeColor="text1"/>
        </w:rPr>
        <w:t xml:space="preserve">Newsome, J. G. (2015). A </w:t>
      </w:r>
      <w:r>
        <w:rPr>
          <w:color w:val="000000" w:themeColor="text1"/>
        </w:rPr>
        <w:t>m</w:t>
      </w:r>
      <w:r w:rsidRPr="00104F5C">
        <w:rPr>
          <w:color w:val="000000" w:themeColor="text1"/>
        </w:rPr>
        <w:t xml:space="preserve">odel of </w:t>
      </w:r>
      <w:r>
        <w:rPr>
          <w:color w:val="000000" w:themeColor="text1"/>
        </w:rPr>
        <w:t>t</w:t>
      </w:r>
      <w:r w:rsidRPr="00104F5C">
        <w:rPr>
          <w:color w:val="000000" w:themeColor="text1"/>
        </w:rPr>
        <w:t xml:space="preserve">eacher </w:t>
      </w:r>
      <w:r>
        <w:rPr>
          <w:color w:val="000000" w:themeColor="text1"/>
        </w:rPr>
        <w:t>p</w:t>
      </w:r>
      <w:r w:rsidRPr="00104F5C">
        <w:rPr>
          <w:color w:val="000000" w:themeColor="text1"/>
        </w:rPr>
        <w:t xml:space="preserve">rofessional </w:t>
      </w:r>
      <w:r>
        <w:rPr>
          <w:color w:val="000000" w:themeColor="text1"/>
        </w:rPr>
        <w:t>k</w:t>
      </w:r>
      <w:r w:rsidRPr="00104F5C">
        <w:rPr>
          <w:color w:val="000000" w:themeColor="text1"/>
        </w:rPr>
        <w:t xml:space="preserve">nowledge and </w:t>
      </w:r>
      <w:r>
        <w:rPr>
          <w:color w:val="000000" w:themeColor="text1"/>
        </w:rPr>
        <w:t>s</w:t>
      </w:r>
      <w:r w:rsidRPr="00104F5C">
        <w:rPr>
          <w:color w:val="000000" w:themeColor="text1"/>
        </w:rPr>
        <w:t xml:space="preserve">kill </w:t>
      </w:r>
      <w:r>
        <w:rPr>
          <w:color w:val="000000" w:themeColor="text1"/>
        </w:rPr>
        <w:t>i</w:t>
      </w:r>
      <w:r w:rsidRPr="00104F5C">
        <w:rPr>
          <w:color w:val="000000" w:themeColor="text1"/>
        </w:rPr>
        <w:t>ncluding PCK</w:t>
      </w:r>
      <w:r>
        <w:rPr>
          <w:color w:val="000000" w:themeColor="text1"/>
        </w:rPr>
        <w:t>:</w:t>
      </w:r>
      <w:r w:rsidRPr="00104F5C">
        <w:rPr>
          <w:color w:val="000000" w:themeColor="text1"/>
        </w:rPr>
        <w:t xml:space="preserve"> Results of the thinking from the PCK </w:t>
      </w:r>
      <w:r>
        <w:rPr>
          <w:color w:val="000000" w:themeColor="text1"/>
        </w:rPr>
        <w:t>s</w:t>
      </w:r>
      <w:r w:rsidRPr="00104F5C">
        <w:rPr>
          <w:color w:val="000000" w:themeColor="text1"/>
        </w:rPr>
        <w:t xml:space="preserve">ummit. In </w:t>
      </w:r>
      <w:r w:rsidRPr="00104F5C">
        <w:rPr>
          <w:i/>
          <w:iCs/>
          <w:color w:val="000000" w:themeColor="text1"/>
        </w:rPr>
        <w:t>Re-examining pedagogical content knowledge in science education</w:t>
      </w:r>
      <w:r w:rsidRPr="00104F5C">
        <w:rPr>
          <w:color w:val="000000" w:themeColor="text1"/>
        </w:rPr>
        <w:t xml:space="preserve"> (pp. 31-33). </w:t>
      </w:r>
      <w:hyperlink r:id="rId18" w:history="1">
        <w:r w:rsidRPr="002306FA">
          <w:rPr>
            <w:rStyle w:val="Hyperlink"/>
          </w:rPr>
          <w:t>https://web-b-ebscohost-com.ezproxy3.library.arizona.edu/ehost/ebookviewer/ebook?sid=a5ac0a41-a631-4f64-ad78-b18e71c1d60f%40pdc-v-sessmgr06&amp;vid=0&amp;format=EB</w:t>
        </w:r>
      </w:hyperlink>
    </w:p>
    <w:p w14:paraId="70C70F73" w14:textId="77777777" w:rsidR="00742F1A" w:rsidRDefault="00742F1A" w:rsidP="00742F1A">
      <w:pPr>
        <w:spacing w:before="40" w:after="40"/>
        <w:ind w:left="567" w:hanging="567"/>
        <w:rPr>
          <w:color w:val="000000" w:themeColor="text1"/>
        </w:rPr>
      </w:pPr>
    </w:p>
    <w:p w14:paraId="480113D6" w14:textId="74EADA56" w:rsidR="00742F1A" w:rsidRPr="00104F5C" w:rsidRDefault="00742F1A" w:rsidP="00742F1A">
      <w:pPr>
        <w:spacing w:before="40" w:after="40"/>
        <w:ind w:left="567" w:hanging="567"/>
        <w:rPr>
          <w:color w:val="000000" w:themeColor="text1"/>
        </w:rPr>
      </w:pPr>
      <w:r w:rsidRPr="00104F5C">
        <w:rPr>
          <w:color w:val="000000" w:themeColor="text1"/>
        </w:rPr>
        <w:t xml:space="preserve">Retallick, M. S., &amp; Miller, G. (2010). Teacher </w:t>
      </w:r>
      <w:r>
        <w:rPr>
          <w:color w:val="000000" w:themeColor="text1"/>
        </w:rPr>
        <w:t>p</w:t>
      </w:r>
      <w:r w:rsidRPr="00104F5C">
        <w:rPr>
          <w:color w:val="000000" w:themeColor="text1"/>
        </w:rPr>
        <w:t xml:space="preserve">reparation in Career and Technical Education: A </w:t>
      </w:r>
      <w:r>
        <w:rPr>
          <w:color w:val="000000" w:themeColor="text1"/>
        </w:rPr>
        <w:t>m</w:t>
      </w:r>
      <w:r w:rsidRPr="00104F5C">
        <w:rPr>
          <w:color w:val="000000" w:themeColor="text1"/>
        </w:rPr>
        <w:t xml:space="preserve">odel for </w:t>
      </w:r>
      <w:r>
        <w:rPr>
          <w:color w:val="000000" w:themeColor="text1"/>
        </w:rPr>
        <w:t>d</w:t>
      </w:r>
      <w:r w:rsidRPr="00104F5C">
        <w:rPr>
          <w:color w:val="000000" w:themeColor="text1"/>
        </w:rPr>
        <w:t xml:space="preserve">eveloping and </w:t>
      </w:r>
      <w:r>
        <w:rPr>
          <w:color w:val="000000" w:themeColor="text1"/>
        </w:rPr>
        <w:t>r</w:t>
      </w:r>
      <w:r w:rsidRPr="00104F5C">
        <w:rPr>
          <w:color w:val="000000" w:themeColor="text1"/>
        </w:rPr>
        <w:t xml:space="preserve">esearching </w:t>
      </w:r>
      <w:r>
        <w:rPr>
          <w:color w:val="000000" w:themeColor="text1"/>
        </w:rPr>
        <w:t>e</w:t>
      </w:r>
      <w:r w:rsidRPr="00104F5C">
        <w:rPr>
          <w:color w:val="000000" w:themeColor="text1"/>
        </w:rPr>
        <w:t xml:space="preserve">arly </w:t>
      </w:r>
      <w:r>
        <w:rPr>
          <w:color w:val="000000" w:themeColor="text1"/>
        </w:rPr>
        <w:t>f</w:t>
      </w:r>
      <w:r w:rsidRPr="00104F5C">
        <w:rPr>
          <w:color w:val="000000" w:themeColor="text1"/>
        </w:rPr>
        <w:t xml:space="preserve">ield </w:t>
      </w:r>
      <w:r>
        <w:rPr>
          <w:color w:val="000000" w:themeColor="text1"/>
        </w:rPr>
        <w:t>e</w:t>
      </w:r>
      <w:r w:rsidRPr="00104F5C">
        <w:rPr>
          <w:color w:val="000000" w:themeColor="text1"/>
        </w:rPr>
        <w:t xml:space="preserve">xperiences. </w:t>
      </w:r>
      <w:r w:rsidRPr="00104F5C">
        <w:rPr>
          <w:i/>
          <w:iCs/>
          <w:color w:val="000000" w:themeColor="text1"/>
        </w:rPr>
        <w:t>Journal of Career and Technical Education,</w:t>
      </w:r>
      <w:r w:rsidRPr="00104F5C">
        <w:rPr>
          <w:color w:val="000000" w:themeColor="text1"/>
        </w:rPr>
        <w:t xml:space="preserve"> </w:t>
      </w:r>
      <w:r w:rsidRPr="00104F5C">
        <w:rPr>
          <w:i/>
          <w:iCs/>
          <w:color w:val="000000" w:themeColor="text1"/>
        </w:rPr>
        <w:t>25</w:t>
      </w:r>
      <w:r w:rsidRPr="00104F5C">
        <w:rPr>
          <w:color w:val="000000" w:themeColor="text1"/>
        </w:rPr>
        <w:t xml:space="preserve">(1), 62-75. </w:t>
      </w:r>
      <w:hyperlink r:id="rId19" w:history="1">
        <w:r w:rsidRPr="002306FA">
          <w:rPr>
            <w:rStyle w:val="Hyperlink"/>
          </w:rPr>
          <w:t>https://doi:10.21061/jcte.v25i1.469</w:t>
        </w:r>
      </w:hyperlink>
      <w:r>
        <w:rPr>
          <w:color w:val="000000" w:themeColor="text1"/>
        </w:rPr>
        <w:t xml:space="preserve"> </w:t>
      </w:r>
    </w:p>
    <w:p w14:paraId="6E36D11C" w14:textId="77777777" w:rsidR="00742F1A" w:rsidRDefault="00742F1A" w:rsidP="00742F1A">
      <w:pPr>
        <w:rPr>
          <w:rStyle w:val="Hyperlink"/>
        </w:rPr>
      </w:pPr>
    </w:p>
    <w:p w14:paraId="0F38DD12" w14:textId="77777777" w:rsidR="00F11176" w:rsidRPr="00104F5C" w:rsidRDefault="00F11176" w:rsidP="00F11176">
      <w:pPr>
        <w:spacing w:before="40" w:after="40"/>
        <w:rPr>
          <w:rFonts w:eastAsia="Times New Roman"/>
          <w:color w:val="000000" w:themeColor="text1"/>
        </w:rPr>
      </w:pPr>
      <w:r w:rsidRPr="00104F5C">
        <w:rPr>
          <w:rFonts w:eastAsia="Times New Roman"/>
          <w:color w:val="000000" w:themeColor="text1"/>
        </w:rPr>
        <w:t>Rice, A. H., &amp; Kitchel, T. (2017). Teachers’ beliefs about the purpose of agricultural education </w:t>
      </w:r>
    </w:p>
    <w:p w14:paraId="1385B610" w14:textId="77777777" w:rsidR="00F11176" w:rsidRPr="00104F5C" w:rsidRDefault="00F11176" w:rsidP="00F11176">
      <w:pPr>
        <w:spacing w:before="40" w:after="40"/>
        <w:ind w:left="720"/>
        <w:rPr>
          <w:rFonts w:eastAsia="Times New Roman"/>
          <w:color w:val="000000" w:themeColor="text1"/>
        </w:rPr>
      </w:pPr>
      <w:r w:rsidRPr="00104F5C">
        <w:rPr>
          <w:rFonts w:eastAsia="Times New Roman"/>
          <w:color w:val="000000" w:themeColor="text1"/>
        </w:rPr>
        <w:t xml:space="preserve">and its influence on their pedagogical content knowledge. </w:t>
      </w:r>
      <w:r w:rsidRPr="00104F5C">
        <w:rPr>
          <w:rFonts w:eastAsia="Times New Roman"/>
          <w:i/>
          <w:iCs/>
          <w:color w:val="000000" w:themeColor="text1"/>
        </w:rPr>
        <w:t>Journal of Agricultural Education, 58</w:t>
      </w:r>
      <w:r w:rsidRPr="00104F5C">
        <w:rPr>
          <w:rFonts w:eastAsia="Times New Roman"/>
          <w:color w:val="000000" w:themeColor="text1"/>
        </w:rPr>
        <w:t xml:space="preserve">(2), 198-213. </w:t>
      </w:r>
      <w:hyperlink r:id="rId20" w:history="1">
        <w:r w:rsidRPr="002306FA">
          <w:rPr>
            <w:rStyle w:val="Hyperlink"/>
            <w:rFonts w:eastAsia="Times New Roman"/>
          </w:rPr>
          <w:t>https://doi.org/10.5032/jae.2017.02198</w:t>
        </w:r>
      </w:hyperlink>
      <w:r>
        <w:rPr>
          <w:rFonts w:eastAsia="Times New Roman"/>
          <w:color w:val="000000" w:themeColor="text1"/>
        </w:rPr>
        <w:t xml:space="preserve"> </w:t>
      </w:r>
    </w:p>
    <w:p w14:paraId="0FD20CA5" w14:textId="083BDE8D" w:rsidR="0016379D" w:rsidRDefault="0016379D" w:rsidP="0016379D">
      <w:pPr>
        <w:widowControl w:val="0"/>
        <w:rPr>
          <w:rStyle w:val="Hyperlink"/>
        </w:rPr>
      </w:pPr>
    </w:p>
    <w:p w14:paraId="126AEA4F" w14:textId="77777777" w:rsidR="007C4D34" w:rsidRPr="00104F5C" w:rsidRDefault="007C4D34" w:rsidP="007C4D34">
      <w:pPr>
        <w:spacing w:before="40" w:after="40"/>
        <w:rPr>
          <w:rFonts w:eastAsia="Times New Roman"/>
          <w:color w:val="000000" w:themeColor="text1"/>
        </w:rPr>
      </w:pPr>
      <w:bookmarkStart w:id="0" w:name="_Hlk104999362"/>
      <w:r w:rsidRPr="00104F5C">
        <w:rPr>
          <w:rFonts w:eastAsia="Times New Roman"/>
          <w:color w:val="000000" w:themeColor="text1"/>
        </w:rPr>
        <w:t xml:space="preserve">Smalley, A. (2020, July 27). </w:t>
      </w:r>
      <w:r w:rsidRPr="00104F5C">
        <w:rPr>
          <w:rFonts w:eastAsia="Times New Roman"/>
          <w:i/>
          <w:iCs/>
          <w:color w:val="000000" w:themeColor="text1"/>
        </w:rPr>
        <w:t xml:space="preserve">Higher </w:t>
      </w:r>
      <w:r>
        <w:rPr>
          <w:rFonts w:eastAsia="Times New Roman"/>
          <w:i/>
          <w:iCs/>
          <w:color w:val="000000" w:themeColor="text1"/>
        </w:rPr>
        <w:t>e</w:t>
      </w:r>
      <w:r w:rsidRPr="00104F5C">
        <w:rPr>
          <w:rFonts w:eastAsia="Times New Roman"/>
          <w:i/>
          <w:iCs/>
          <w:color w:val="000000" w:themeColor="text1"/>
        </w:rPr>
        <w:t xml:space="preserve">ducation </w:t>
      </w:r>
      <w:r>
        <w:rPr>
          <w:rFonts w:eastAsia="Times New Roman"/>
          <w:i/>
          <w:iCs/>
          <w:color w:val="000000" w:themeColor="text1"/>
        </w:rPr>
        <w:t>r</w:t>
      </w:r>
      <w:r w:rsidRPr="00104F5C">
        <w:rPr>
          <w:rFonts w:eastAsia="Times New Roman"/>
          <w:i/>
          <w:iCs/>
          <w:color w:val="000000" w:themeColor="text1"/>
        </w:rPr>
        <w:t>esponses to Coronavirus (COVID-19).</w:t>
      </w:r>
      <w:r w:rsidRPr="00104F5C">
        <w:rPr>
          <w:rFonts w:eastAsia="Times New Roman"/>
          <w:color w:val="000000" w:themeColor="text1"/>
        </w:rPr>
        <w:t xml:space="preserve"> NCSL</w:t>
      </w:r>
      <w:r w:rsidRPr="00104F5C">
        <w:rPr>
          <w:rFonts w:eastAsia="Times New Roman"/>
          <w:i/>
          <w:iCs/>
          <w:color w:val="000000" w:themeColor="text1"/>
        </w:rPr>
        <w:tab/>
      </w:r>
    </w:p>
    <w:p w14:paraId="2AAB9D2F" w14:textId="77777777" w:rsidR="007C4D34" w:rsidRPr="00104F5C" w:rsidRDefault="00AA0B75" w:rsidP="007C4D34">
      <w:pPr>
        <w:spacing w:before="40" w:after="40"/>
        <w:ind w:left="720"/>
        <w:rPr>
          <w:rFonts w:eastAsia="Times New Roman"/>
          <w:color w:val="000000" w:themeColor="text1"/>
        </w:rPr>
      </w:pPr>
      <w:hyperlink r:id="rId21" w:history="1">
        <w:r w:rsidR="007C4D34" w:rsidRPr="002306FA">
          <w:rPr>
            <w:rStyle w:val="Hyperlink"/>
            <w:rFonts w:eastAsia="Times New Roman"/>
          </w:rPr>
          <w:t>https://www.ncsl.org/research/education/higher-education-responses-to-coronavirus-covid-19.aspx</w:t>
        </w:r>
      </w:hyperlink>
      <w:bookmarkEnd w:id="0"/>
      <w:r w:rsidR="007C4D34">
        <w:rPr>
          <w:rFonts w:eastAsia="Times New Roman"/>
          <w:color w:val="000000" w:themeColor="text1"/>
        </w:rPr>
        <w:t xml:space="preserve"> </w:t>
      </w:r>
    </w:p>
    <w:p w14:paraId="67F1A2E2" w14:textId="3C02ACD7" w:rsidR="00E84E41" w:rsidRDefault="00E84E41" w:rsidP="007C4D34">
      <w:pPr>
        <w:widowControl w:val="0"/>
        <w:ind w:hanging="720"/>
        <w:rPr>
          <w:rStyle w:val="Hyperlink"/>
          <w:rFonts w:eastAsia="Times New Roman"/>
        </w:rPr>
      </w:pPr>
    </w:p>
    <w:p w14:paraId="4DAD8DCB" w14:textId="4A952E5B" w:rsidR="00E84E41" w:rsidRPr="00E84E41" w:rsidRDefault="00E84E41" w:rsidP="007C4D34">
      <w:pPr>
        <w:widowControl w:val="0"/>
        <w:ind w:left="720" w:hanging="720"/>
        <w:rPr>
          <w:rStyle w:val="Hyperlink"/>
          <w:rFonts w:eastAsia="Times New Roman"/>
        </w:rPr>
      </w:pPr>
      <w:r w:rsidRPr="00E84E41">
        <w:rPr>
          <w:color w:val="000000"/>
        </w:rPr>
        <w:t xml:space="preserve">Tracy, S. J. (2010). Qualitative quality: Eight “big-tent” criteria for excellent qualitative research. Qualitative inquiry, 16(10), 837-851. </w:t>
      </w:r>
      <w:hyperlink r:id="rId22" w:history="1">
        <w:r w:rsidRPr="002E0294">
          <w:rPr>
            <w:rStyle w:val="Hyperlink"/>
          </w:rPr>
          <w:t>https://doi.org/10.1177%2F1077800410383121</w:t>
        </w:r>
      </w:hyperlink>
      <w:r>
        <w:rPr>
          <w:color w:val="000000"/>
        </w:rPr>
        <w:t xml:space="preserve"> </w:t>
      </w:r>
    </w:p>
    <w:p w14:paraId="6BE158FE" w14:textId="3F1FF957" w:rsidR="00742F1A" w:rsidRDefault="00742F1A" w:rsidP="0016379D">
      <w:pPr>
        <w:widowControl w:val="0"/>
        <w:rPr>
          <w:rStyle w:val="Hyperlink"/>
          <w:rFonts w:eastAsia="Times New Roman"/>
        </w:rPr>
      </w:pPr>
    </w:p>
    <w:p w14:paraId="3DB6989F" w14:textId="77777777" w:rsidR="00742F1A" w:rsidRPr="00104F5C" w:rsidRDefault="00742F1A" w:rsidP="00742F1A">
      <w:pPr>
        <w:spacing w:before="40" w:after="40"/>
        <w:rPr>
          <w:rFonts w:eastAsia="Times New Roman"/>
          <w:color w:val="000000" w:themeColor="text1"/>
        </w:rPr>
      </w:pPr>
      <w:r w:rsidRPr="00104F5C">
        <w:rPr>
          <w:rFonts w:eastAsia="Times New Roman"/>
          <w:color w:val="000000" w:themeColor="text1"/>
        </w:rPr>
        <w:t xml:space="preserve">Whittington, S. </w:t>
      </w:r>
      <w:r>
        <w:rPr>
          <w:rFonts w:eastAsia="Times New Roman"/>
          <w:color w:val="000000" w:themeColor="text1"/>
        </w:rPr>
        <w:t xml:space="preserve">(2005). </w:t>
      </w:r>
      <w:r w:rsidRPr="00104F5C">
        <w:rPr>
          <w:rFonts w:eastAsia="Times New Roman"/>
          <w:color w:val="000000" w:themeColor="text1"/>
        </w:rPr>
        <w:t xml:space="preserve">The </w:t>
      </w:r>
      <w:r>
        <w:rPr>
          <w:rFonts w:eastAsia="Times New Roman"/>
          <w:color w:val="000000" w:themeColor="text1"/>
        </w:rPr>
        <w:t>p</w:t>
      </w:r>
      <w:r w:rsidRPr="00104F5C">
        <w:rPr>
          <w:rFonts w:eastAsia="Times New Roman"/>
          <w:color w:val="000000" w:themeColor="text1"/>
        </w:rPr>
        <w:t xml:space="preserve">residential </w:t>
      </w:r>
      <w:r>
        <w:rPr>
          <w:rFonts w:eastAsia="Times New Roman"/>
          <w:color w:val="000000" w:themeColor="text1"/>
        </w:rPr>
        <w:t>a</w:t>
      </w:r>
      <w:r w:rsidRPr="00104F5C">
        <w:rPr>
          <w:rFonts w:eastAsia="Times New Roman"/>
          <w:color w:val="000000" w:themeColor="text1"/>
        </w:rPr>
        <w:t>ddress to the Association for Career and Technical </w:t>
      </w:r>
    </w:p>
    <w:p w14:paraId="2109D6EB" w14:textId="77777777" w:rsidR="00742F1A" w:rsidRPr="00104F5C" w:rsidRDefault="00742F1A" w:rsidP="00742F1A">
      <w:pPr>
        <w:spacing w:before="40" w:after="40"/>
        <w:ind w:left="720"/>
        <w:rPr>
          <w:rFonts w:eastAsia="Times New Roman"/>
          <w:color w:val="000000" w:themeColor="text1"/>
        </w:rPr>
      </w:pPr>
      <w:r w:rsidRPr="00104F5C">
        <w:rPr>
          <w:rFonts w:eastAsia="Times New Roman"/>
          <w:color w:val="000000" w:themeColor="text1"/>
        </w:rPr>
        <w:t xml:space="preserve">Education Research </w:t>
      </w:r>
      <w:r>
        <w:rPr>
          <w:rFonts w:eastAsia="Times New Roman"/>
          <w:color w:val="000000" w:themeColor="text1"/>
        </w:rPr>
        <w:t>u</w:t>
      </w:r>
      <w:r w:rsidRPr="00104F5C">
        <w:rPr>
          <w:rFonts w:eastAsia="Times New Roman"/>
          <w:color w:val="000000" w:themeColor="text1"/>
        </w:rPr>
        <w:t xml:space="preserve">sing </w:t>
      </w:r>
      <w:r>
        <w:rPr>
          <w:rFonts w:eastAsia="Times New Roman"/>
          <w:color w:val="000000" w:themeColor="text1"/>
        </w:rPr>
        <w:t>s</w:t>
      </w:r>
      <w:r w:rsidRPr="00104F5C">
        <w:rPr>
          <w:rFonts w:eastAsia="Times New Roman"/>
          <w:color w:val="000000" w:themeColor="text1"/>
        </w:rPr>
        <w:t xml:space="preserve">tandards to </w:t>
      </w:r>
      <w:r>
        <w:rPr>
          <w:rFonts w:eastAsia="Times New Roman"/>
          <w:color w:val="000000" w:themeColor="text1"/>
        </w:rPr>
        <w:t>r</w:t>
      </w:r>
      <w:r w:rsidRPr="00104F5C">
        <w:rPr>
          <w:rFonts w:eastAsia="Times New Roman"/>
          <w:color w:val="000000" w:themeColor="text1"/>
        </w:rPr>
        <w:t xml:space="preserve">eform </w:t>
      </w:r>
      <w:r>
        <w:rPr>
          <w:rFonts w:eastAsia="Times New Roman"/>
          <w:color w:val="000000" w:themeColor="text1"/>
        </w:rPr>
        <w:t>t</w:t>
      </w:r>
      <w:r w:rsidRPr="00104F5C">
        <w:rPr>
          <w:rFonts w:eastAsia="Times New Roman"/>
          <w:color w:val="000000" w:themeColor="text1"/>
        </w:rPr>
        <w:t xml:space="preserve">eacher </w:t>
      </w:r>
      <w:r>
        <w:rPr>
          <w:rFonts w:eastAsia="Times New Roman"/>
          <w:color w:val="000000" w:themeColor="text1"/>
        </w:rPr>
        <w:t>p</w:t>
      </w:r>
      <w:r w:rsidRPr="00104F5C">
        <w:rPr>
          <w:rFonts w:eastAsia="Times New Roman"/>
          <w:color w:val="000000" w:themeColor="text1"/>
        </w:rPr>
        <w:t>reparation in Career and Technical Education:</w:t>
      </w:r>
      <w:r>
        <w:rPr>
          <w:rFonts w:eastAsia="Times New Roman"/>
          <w:color w:val="000000" w:themeColor="text1"/>
        </w:rPr>
        <w:t xml:space="preserve"> </w:t>
      </w:r>
      <w:r w:rsidRPr="00104F5C">
        <w:rPr>
          <w:rFonts w:eastAsia="Times New Roman"/>
          <w:color w:val="000000" w:themeColor="text1"/>
        </w:rPr>
        <w:t xml:space="preserve">A </w:t>
      </w:r>
      <w:r>
        <w:rPr>
          <w:rFonts w:eastAsia="Times New Roman"/>
          <w:color w:val="000000" w:themeColor="text1"/>
        </w:rPr>
        <w:t>s</w:t>
      </w:r>
      <w:r w:rsidRPr="00104F5C">
        <w:rPr>
          <w:rFonts w:eastAsia="Times New Roman"/>
          <w:color w:val="000000" w:themeColor="text1"/>
        </w:rPr>
        <w:t xml:space="preserve">uccessful </w:t>
      </w:r>
      <w:r>
        <w:rPr>
          <w:rFonts w:eastAsia="Times New Roman"/>
          <w:color w:val="000000" w:themeColor="text1"/>
        </w:rPr>
        <w:t>r</w:t>
      </w:r>
      <w:r w:rsidRPr="00104F5C">
        <w:rPr>
          <w:rFonts w:eastAsia="Times New Roman"/>
          <w:color w:val="000000" w:themeColor="text1"/>
        </w:rPr>
        <w:t>eformation</w:t>
      </w:r>
      <w:r>
        <w:rPr>
          <w:rFonts w:eastAsia="Times New Roman"/>
          <w:color w:val="000000" w:themeColor="text1"/>
        </w:rPr>
        <w:t>.</w:t>
      </w:r>
      <w:r w:rsidRPr="00104F5C">
        <w:rPr>
          <w:rFonts w:eastAsia="Times New Roman"/>
          <w:color w:val="000000" w:themeColor="text1"/>
        </w:rPr>
        <w:t xml:space="preserve"> </w:t>
      </w:r>
      <w:r w:rsidRPr="00104F5C">
        <w:rPr>
          <w:rFonts w:eastAsia="Times New Roman"/>
          <w:i/>
          <w:iCs/>
          <w:color w:val="000000" w:themeColor="text1"/>
        </w:rPr>
        <w:t>Career and Technical Education Research</w:t>
      </w:r>
      <w:r w:rsidRPr="00104F5C">
        <w:rPr>
          <w:rFonts w:eastAsia="Times New Roman"/>
          <w:color w:val="000000" w:themeColor="text1"/>
        </w:rPr>
        <w:t>,</w:t>
      </w:r>
      <w:r>
        <w:rPr>
          <w:rFonts w:eastAsia="Times New Roman"/>
          <w:color w:val="000000" w:themeColor="text1"/>
        </w:rPr>
        <w:t xml:space="preserve"> </w:t>
      </w:r>
      <w:r w:rsidRPr="00372DE9">
        <w:rPr>
          <w:rFonts w:eastAsia="Times New Roman"/>
          <w:i/>
          <w:iCs/>
          <w:color w:val="000000" w:themeColor="text1"/>
        </w:rPr>
        <w:t>30</w:t>
      </w:r>
      <w:r>
        <w:rPr>
          <w:rFonts w:eastAsia="Times New Roman"/>
          <w:color w:val="000000" w:themeColor="text1"/>
        </w:rPr>
        <w:t>(2), 88-89.</w:t>
      </w:r>
      <w:r w:rsidRPr="00104F5C">
        <w:rPr>
          <w:rFonts w:eastAsia="Times New Roman"/>
          <w:color w:val="000000" w:themeColor="text1"/>
        </w:rPr>
        <w:t xml:space="preserve"> </w:t>
      </w:r>
      <w:hyperlink r:id="rId23" w:history="1">
        <w:r w:rsidRPr="002306FA">
          <w:rPr>
            <w:rStyle w:val="Hyperlink"/>
            <w:rFonts w:eastAsia="Times New Roman"/>
          </w:rPr>
          <w:t>https://www.scholar.lib.vt.edu/ejournals/CTER/v30n2/pdf/whittington.pdf</w:t>
        </w:r>
      </w:hyperlink>
      <w:r>
        <w:rPr>
          <w:rFonts w:eastAsia="Times New Roman"/>
          <w:color w:val="000000" w:themeColor="text1"/>
        </w:rPr>
        <w:t xml:space="preserve"> </w:t>
      </w:r>
      <w:r w:rsidRPr="00104F5C">
        <w:rPr>
          <w:rFonts w:eastAsia="Times New Roman"/>
          <w:color w:val="000000" w:themeColor="text1"/>
        </w:rPr>
        <w:t> </w:t>
      </w:r>
    </w:p>
    <w:p w14:paraId="48AD5C31" w14:textId="77777777" w:rsidR="00742F1A" w:rsidRPr="00FF7FFB" w:rsidRDefault="00742F1A" w:rsidP="0016379D">
      <w:pPr>
        <w:widowControl w:val="0"/>
        <w:rPr>
          <w:shd w:val="clear" w:color="auto" w:fill="FFFFFF"/>
        </w:rPr>
      </w:pPr>
    </w:p>
    <w:sectPr w:rsidR="00742F1A" w:rsidRPr="00FF7FFB" w:rsidSect="00FC7C5C">
      <w:footerReference w:type="default" r:id="rId24"/>
      <w:pgSz w:w="12240" w:h="15840"/>
      <w:pgMar w:top="1440" w:right="1440" w:bottom="1440" w:left="1440" w:header="720"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1BBFB5" w14:textId="77777777" w:rsidR="00FD3577" w:rsidRDefault="00FD3577" w:rsidP="00FC794A">
      <w:r>
        <w:separator/>
      </w:r>
    </w:p>
  </w:endnote>
  <w:endnote w:type="continuationSeparator" w:id="0">
    <w:p w14:paraId="28F52A32" w14:textId="77777777" w:rsidR="00FD3577" w:rsidRDefault="00FD3577" w:rsidP="00FC79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ajorHAnsi" w:hAnsiTheme="majorHAnsi" w:cstheme="majorHAnsi"/>
      </w:rPr>
      <w:id w:val="760720958"/>
      <w:docPartObj>
        <w:docPartGallery w:val="Page Numbers (Bottom of Page)"/>
        <w:docPartUnique/>
      </w:docPartObj>
    </w:sdtPr>
    <w:sdtEndPr>
      <w:rPr>
        <w:rFonts w:ascii="Times New Roman" w:hAnsi="Times New Roman" w:cs="Times New Roman"/>
        <w:noProof/>
      </w:rPr>
    </w:sdtEndPr>
    <w:sdtContent>
      <w:p w14:paraId="320684ED" w14:textId="77777777" w:rsidR="007E060D" w:rsidRPr="00847D5A" w:rsidRDefault="007E060D" w:rsidP="00FC7C5C">
        <w:pPr>
          <w:pStyle w:val="Footer"/>
          <w:jc w:val="center"/>
          <w:rPr>
            <w:rFonts w:ascii="Times New Roman" w:hAnsi="Times New Roman" w:cs="Times New Roman"/>
          </w:rPr>
        </w:pPr>
        <w:r w:rsidRPr="00847D5A">
          <w:rPr>
            <w:rFonts w:ascii="Times New Roman" w:hAnsi="Times New Roman" w:cs="Times New Roman"/>
          </w:rPr>
          <w:fldChar w:fldCharType="begin"/>
        </w:r>
        <w:r w:rsidRPr="00847D5A">
          <w:rPr>
            <w:rFonts w:ascii="Times New Roman" w:hAnsi="Times New Roman" w:cs="Times New Roman"/>
          </w:rPr>
          <w:instrText xml:space="preserve"> PAGE   \* MERGEFORMAT </w:instrText>
        </w:r>
        <w:r w:rsidRPr="00847D5A">
          <w:rPr>
            <w:rFonts w:ascii="Times New Roman" w:hAnsi="Times New Roman" w:cs="Times New Roman"/>
          </w:rPr>
          <w:fldChar w:fldCharType="separate"/>
        </w:r>
        <w:r w:rsidR="00871DBD">
          <w:rPr>
            <w:rFonts w:ascii="Times New Roman" w:hAnsi="Times New Roman" w:cs="Times New Roman"/>
            <w:noProof/>
          </w:rPr>
          <w:t>26</w:t>
        </w:r>
        <w:r w:rsidRPr="00847D5A">
          <w:rPr>
            <w:rFonts w:ascii="Times New Roman" w:hAnsi="Times New Roman" w:cs="Times New Roman"/>
            <w:noProof/>
          </w:rPr>
          <w:fldChar w:fldCharType="end"/>
        </w:r>
      </w:p>
    </w:sdtContent>
  </w:sdt>
  <w:p w14:paraId="3F263FBB" w14:textId="77777777" w:rsidR="007E060D" w:rsidRPr="00847D5A" w:rsidRDefault="007E060D">
    <w:pPr>
      <w:pStyle w:val="Footer"/>
      <w:rPr>
        <w:rFonts w:asciiTheme="majorHAnsi" w:hAnsiTheme="majorHAnsi" w:cstheme="majorHAnsi"/>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3D3237" w14:textId="77777777" w:rsidR="00FD3577" w:rsidRDefault="00FD3577" w:rsidP="00FC794A">
      <w:r>
        <w:separator/>
      </w:r>
    </w:p>
  </w:footnote>
  <w:footnote w:type="continuationSeparator" w:id="0">
    <w:p w14:paraId="367A6154" w14:textId="77777777" w:rsidR="00FD3577" w:rsidRDefault="00FD3577" w:rsidP="00FC794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832791"/>
    <w:multiLevelType w:val="hybridMultilevel"/>
    <w:tmpl w:val="3BEC209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152B01"/>
    <w:multiLevelType w:val="hybridMultilevel"/>
    <w:tmpl w:val="08F019A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735454"/>
    <w:multiLevelType w:val="hybridMultilevel"/>
    <w:tmpl w:val="DB68BF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DD56737"/>
    <w:multiLevelType w:val="hybridMultilevel"/>
    <w:tmpl w:val="D9D8CA4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125170EF"/>
    <w:multiLevelType w:val="hybridMultilevel"/>
    <w:tmpl w:val="D9DA078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4C92657"/>
    <w:multiLevelType w:val="hybridMultilevel"/>
    <w:tmpl w:val="EA8214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5786157"/>
    <w:multiLevelType w:val="hybridMultilevel"/>
    <w:tmpl w:val="9AAEA99C"/>
    <w:lvl w:ilvl="0" w:tplc="31AAC43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61A28E9"/>
    <w:multiLevelType w:val="hybridMultilevel"/>
    <w:tmpl w:val="2C505BFC"/>
    <w:lvl w:ilvl="0" w:tplc="31AAC43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9377807"/>
    <w:multiLevelType w:val="hybridMultilevel"/>
    <w:tmpl w:val="6530536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646027"/>
    <w:multiLevelType w:val="hybridMultilevel"/>
    <w:tmpl w:val="0F02FBE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200B7DB0"/>
    <w:multiLevelType w:val="hybridMultilevel"/>
    <w:tmpl w:val="1F265380"/>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20127CE2"/>
    <w:multiLevelType w:val="hybridMultilevel"/>
    <w:tmpl w:val="4E6A9B10"/>
    <w:lvl w:ilvl="0" w:tplc="D74C4130">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209C3DC7"/>
    <w:multiLevelType w:val="hybridMultilevel"/>
    <w:tmpl w:val="EA682E88"/>
    <w:lvl w:ilvl="0" w:tplc="17A6C06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29611AD0"/>
    <w:multiLevelType w:val="hybridMultilevel"/>
    <w:tmpl w:val="364ECEAC"/>
    <w:lvl w:ilvl="0" w:tplc="92820FEC">
      <w:start w:val="5"/>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2A8F6FE5"/>
    <w:multiLevelType w:val="hybridMultilevel"/>
    <w:tmpl w:val="68D403D4"/>
    <w:lvl w:ilvl="0" w:tplc="31AAC43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31F2481D"/>
    <w:multiLevelType w:val="hybridMultilevel"/>
    <w:tmpl w:val="F894E55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3F209DC"/>
    <w:multiLevelType w:val="hybridMultilevel"/>
    <w:tmpl w:val="8E18B74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7B12FCC"/>
    <w:multiLevelType w:val="hybridMultilevel"/>
    <w:tmpl w:val="148222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E753DC3"/>
    <w:multiLevelType w:val="hybridMultilevel"/>
    <w:tmpl w:val="B11645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394407D"/>
    <w:multiLevelType w:val="hybridMultilevel"/>
    <w:tmpl w:val="BF965B6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C0233F3"/>
    <w:multiLevelType w:val="hybridMultilevel"/>
    <w:tmpl w:val="AA086622"/>
    <w:lvl w:ilvl="0" w:tplc="17A6C06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4F8F7109"/>
    <w:multiLevelType w:val="multilevel"/>
    <w:tmpl w:val="4BFA0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2F544C8"/>
    <w:multiLevelType w:val="hybridMultilevel"/>
    <w:tmpl w:val="E3DE6B8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5877672"/>
    <w:multiLevelType w:val="hybridMultilevel"/>
    <w:tmpl w:val="820ED23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AD97307"/>
    <w:multiLevelType w:val="hybridMultilevel"/>
    <w:tmpl w:val="D5DE629A"/>
    <w:lvl w:ilvl="0" w:tplc="53C4F8A8">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5D0A07E0"/>
    <w:multiLevelType w:val="hybridMultilevel"/>
    <w:tmpl w:val="EA682E88"/>
    <w:lvl w:ilvl="0" w:tplc="17A6C06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6A272352"/>
    <w:multiLevelType w:val="hybridMultilevel"/>
    <w:tmpl w:val="F14A38A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AEB0EDE"/>
    <w:multiLevelType w:val="hybridMultilevel"/>
    <w:tmpl w:val="B2FAC634"/>
    <w:lvl w:ilvl="0" w:tplc="C3366C7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6B0E3AEC"/>
    <w:multiLevelType w:val="hybridMultilevel"/>
    <w:tmpl w:val="1CAEACD2"/>
    <w:lvl w:ilvl="0" w:tplc="31AAC43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6DDA071C"/>
    <w:multiLevelType w:val="hybridMultilevel"/>
    <w:tmpl w:val="9A6C8BC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6FF60B63"/>
    <w:multiLevelType w:val="hybridMultilevel"/>
    <w:tmpl w:val="C0E6EC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4FC388D"/>
    <w:multiLevelType w:val="hybridMultilevel"/>
    <w:tmpl w:val="ED5804F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856607A"/>
    <w:multiLevelType w:val="hybridMultilevel"/>
    <w:tmpl w:val="021C271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8826A5F"/>
    <w:multiLevelType w:val="hybridMultilevel"/>
    <w:tmpl w:val="32A0986E"/>
    <w:lvl w:ilvl="0" w:tplc="31AAC43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462114285">
    <w:abstractNumId w:val="8"/>
  </w:num>
  <w:num w:numId="2" w16cid:durableId="613753424">
    <w:abstractNumId w:val="27"/>
  </w:num>
  <w:num w:numId="3" w16cid:durableId="1291087223">
    <w:abstractNumId w:val="30"/>
  </w:num>
  <w:num w:numId="4" w16cid:durableId="15468371">
    <w:abstractNumId w:val="23"/>
  </w:num>
  <w:num w:numId="5" w16cid:durableId="390692831">
    <w:abstractNumId w:val="15"/>
  </w:num>
  <w:num w:numId="6" w16cid:durableId="1597059413">
    <w:abstractNumId w:val="16"/>
  </w:num>
  <w:num w:numId="7" w16cid:durableId="1614169450">
    <w:abstractNumId w:val="19"/>
  </w:num>
  <w:num w:numId="8" w16cid:durableId="954169432">
    <w:abstractNumId w:val="13"/>
  </w:num>
  <w:num w:numId="9" w16cid:durableId="132217317">
    <w:abstractNumId w:val="28"/>
  </w:num>
  <w:num w:numId="10" w16cid:durableId="2128547830">
    <w:abstractNumId w:val="4"/>
  </w:num>
  <w:num w:numId="11" w16cid:durableId="489056081">
    <w:abstractNumId w:val="32"/>
  </w:num>
  <w:num w:numId="12" w16cid:durableId="1660688784">
    <w:abstractNumId w:val="31"/>
  </w:num>
  <w:num w:numId="13" w16cid:durableId="1120301101">
    <w:abstractNumId w:val="22"/>
  </w:num>
  <w:num w:numId="14" w16cid:durableId="1998528970">
    <w:abstractNumId w:val="1"/>
  </w:num>
  <w:num w:numId="15" w16cid:durableId="273638919">
    <w:abstractNumId w:val="12"/>
  </w:num>
  <w:num w:numId="16" w16cid:durableId="1466047807">
    <w:abstractNumId w:val="25"/>
  </w:num>
  <w:num w:numId="17" w16cid:durableId="308478590">
    <w:abstractNumId w:val="26"/>
  </w:num>
  <w:num w:numId="18" w16cid:durableId="1034572394">
    <w:abstractNumId w:val="6"/>
  </w:num>
  <w:num w:numId="19" w16cid:durableId="1269772365">
    <w:abstractNumId w:val="17"/>
  </w:num>
  <w:num w:numId="20" w16cid:durableId="1992321802">
    <w:abstractNumId w:val="2"/>
  </w:num>
  <w:num w:numId="21" w16cid:durableId="1134644373">
    <w:abstractNumId w:val="11"/>
  </w:num>
  <w:num w:numId="22" w16cid:durableId="886642511">
    <w:abstractNumId w:val="7"/>
  </w:num>
  <w:num w:numId="23" w16cid:durableId="1011571076">
    <w:abstractNumId w:val="33"/>
  </w:num>
  <w:num w:numId="24" w16cid:durableId="2033526590">
    <w:abstractNumId w:val="14"/>
  </w:num>
  <w:num w:numId="25" w16cid:durableId="2112968375">
    <w:abstractNumId w:val="20"/>
  </w:num>
  <w:num w:numId="26" w16cid:durableId="1093741418">
    <w:abstractNumId w:val="24"/>
  </w:num>
  <w:num w:numId="27" w16cid:durableId="1043363337">
    <w:abstractNumId w:val="0"/>
  </w:num>
  <w:num w:numId="28" w16cid:durableId="1543134032">
    <w:abstractNumId w:val="5"/>
  </w:num>
  <w:num w:numId="29" w16cid:durableId="494955672">
    <w:abstractNumId w:val="3"/>
  </w:num>
  <w:num w:numId="30" w16cid:durableId="1247611990">
    <w:abstractNumId w:val="10"/>
  </w:num>
  <w:num w:numId="31" w16cid:durableId="1495031748">
    <w:abstractNumId w:val="29"/>
  </w:num>
  <w:num w:numId="32" w16cid:durableId="884099872">
    <w:abstractNumId w:val="9"/>
  </w:num>
  <w:num w:numId="33" w16cid:durableId="999773250">
    <w:abstractNumId w:val="18"/>
  </w:num>
  <w:num w:numId="34" w16cid:durableId="91135778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5EAC"/>
    <w:rsid w:val="0000446A"/>
    <w:rsid w:val="00005001"/>
    <w:rsid w:val="000065D6"/>
    <w:rsid w:val="00006CDA"/>
    <w:rsid w:val="00010E7B"/>
    <w:rsid w:val="00012189"/>
    <w:rsid w:val="00015E77"/>
    <w:rsid w:val="00016981"/>
    <w:rsid w:val="00021C46"/>
    <w:rsid w:val="0002219F"/>
    <w:rsid w:val="0002352F"/>
    <w:rsid w:val="00024A9C"/>
    <w:rsid w:val="00027235"/>
    <w:rsid w:val="000300A0"/>
    <w:rsid w:val="000311F9"/>
    <w:rsid w:val="00031C19"/>
    <w:rsid w:val="00040C37"/>
    <w:rsid w:val="000435D9"/>
    <w:rsid w:val="00046725"/>
    <w:rsid w:val="00050FC1"/>
    <w:rsid w:val="0005598B"/>
    <w:rsid w:val="0005759A"/>
    <w:rsid w:val="00060148"/>
    <w:rsid w:val="00061203"/>
    <w:rsid w:val="00062605"/>
    <w:rsid w:val="00066C14"/>
    <w:rsid w:val="00070100"/>
    <w:rsid w:val="00070A15"/>
    <w:rsid w:val="00070D3E"/>
    <w:rsid w:val="0007408E"/>
    <w:rsid w:val="0007506D"/>
    <w:rsid w:val="00075B9A"/>
    <w:rsid w:val="00083E8A"/>
    <w:rsid w:val="0008737E"/>
    <w:rsid w:val="00090E66"/>
    <w:rsid w:val="00091AC9"/>
    <w:rsid w:val="00097ECF"/>
    <w:rsid w:val="000A2AE5"/>
    <w:rsid w:val="000A2BD4"/>
    <w:rsid w:val="000A3376"/>
    <w:rsid w:val="000A73BD"/>
    <w:rsid w:val="000C08E7"/>
    <w:rsid w:val="000C33BF"/>
    <w:rsid w:val="000C5310"/>
    <w:rsid w:val="000D11EB"/>
    <w:rsid w:val="000E13EC"/>
    <w:rsid w:val="000E556A"/>
    <w:rsid w:val="000E7EFB"/>
    <w:rsid w:val="000F15B8"/>
    <w:rsid w:val="000F723E"/>
    <w:rsid w:val="001018B6"/>
    <w:rsid w:val="00101EFD"/>
    <w:rsid w:val="00104D98"/>
    <w:rsid w:val="00104F5C"/>
    <w:rsid w:val="00105536"/>
    <w:rsid w:val="001063A8"/>
    <w:rsid w:val="00116699"/>
    <w:rsid w:val="00123295"/>
    <w:rsid w:val="0012374C"/>
    <w:rsid w:val="00123BF5"/>
    <w:rsid w:val="00135F05"/>
    <w:rsid w:val="00141B87"/>
    <w:rsid w:val="00143BFF"/>
    <w:rsid w:val="00144DD3"/>
    <w:rsid w:val="0014583B"/>
    <w:rsid w:val="001502BF"/>
    <w:rsid w:val="001531AE"/>
    <w:rsid w:val="0015392E"/>
    <w:rsid w:val="001564B2"/>
    <w:rsid w:val="00161FCE"/>
    <w:rsid w:val="0016379D"/>
    <w:rsid w:val="0017126D"/>
    <w:rsid w:val="00173CA6"/>
    <w:rsid w:val="0017595D"/>
    <w:rsid w:val="00177275"/>
    <w:rsid w:val="00180E11"/>
    <w:rsid w:val="00183DD8"/>
    <w:rsid w:val="00183E15"/>
    <w:rsid w:val="00185146"/>
    <w:rsid w:val="00193DA9"/>
    <w:rsid w:val="00195B65"/>
    <w:rsid w:val="001A2B9D"/>
    <w:rsid w:val="001B1A1C"/>
    <w:rsid w:val="001B22B3"/>
    <w:rsid w:val="001B2C53"/>
    <w:rsid w:val="001B37D6"/>
    <w:rsid w:val="001B7AE9"/>
    <w:rsid w:val="001B7B7E"/>
    <w:rsid w:val="001C2CAC"/>
    <w:rsid w:val="001D10BD"/>
    <w:rsid w:val="001D37CB"/>
    <w:rsid w:val="001D3B2A"/>
    <w:rsid w:val="001D7566"/>
    <w:rsid w:val="001D764F"/>
    <w:rsid w:val="001E42CF"/>
    <w:rsid w:val="001E4319"/>
    <w:rsid w:val="001E52A6"/>
    <w:rsid w:val="001E6338"/>
    <w:rsid w:val="001F6C8E"/>
    <w:rsid w:val="001F7DCB"/>
    <w:rsid w:val="002025B9"/>
    <w:rsid w:val="0020505A"/>
    <w:rsid w:val="0020708F"/>
    <w:rsid w:val="0021174F"/>
    <w:rsid w:val="0021454F"/>
    <w:rsid w:val="00214F76"/>
    <w:rsid w:val="00217285"/>
    <w:rsid w:val="002203F8"/>
    <w:rsid w:val="00220DC8"/>
    <w:rsid w:val="002215D4"/>
    <w:rsid w:val="00222490"/>
    <w:rsid w:val="0022256A"/>
    <w:rsid w:val="002265CA"/>
    <w:rsid w:val="00230D0F"/>
    <w:rsid w:val="00231225"/>
    <w:rsid w:val="002356E9"/>
    <w:rsid w:val="00235973"/>
    <w:rsid w:val="00240B2D"/>
    <w:rsid w:val="00241EE1"/>
    <w:rsid w:val="00242795"/>
    <w:rsid w:val="0024490F"/>
    <w:rsid w:val="002501E8"/>
    <w:rsid w:val="0025038F"/>
    <w:rsid w:val="00251B81"/>
    <w:rsid w:val="00251D49"/>
    <w:rsid w:val="00256F5C"/>
    <w:rsid w:val="002657C9"/>
    <w:rsid w:val="002664DD"/>
    <w:rsid w:val="00267BD1"/>
    <w:rsid w:val="00271190"/>
    <w:rsid w:val="00273449"/>
    <w:rsid w:val="00273553"/>
    <w:rsid w:val="00274D42"/>
    <w:rsid w:val="0028355B"/>
    <w:rsid w:val="00292581"/>
    <w:rsid w:val="00295846"/>
    <w:rsid w:val="00295E74"/>
    <w:rsid w:val="0029621C"/>
    <w:rsid w:val="00297178"/>
    <w:rsid w:val="002A3E8F"/>
    <w:rsid w:val="002B157A"/>
    <w:rsid w:val="002C185E"/>
    <w:rsid w:val="002C4DB8"/>
    <w:rsid w:val="002D1C25"/>
    <w:rsid w:val="002E162B"/>
    <w:rsid w:val="002E2EFD"/>
    <w:rsid w:val="002E4064"/>
    <w:rsid w:val="002E59E4"/>
    <w:rsid w:val="002E64A4"/>
    <w:rsid w:val="002E6BF9"/>
    <w:rsid w:val="002F0EBD"/>
    <w:rsid w:val="002F144D"/>
    <w:rsid w:val="002F1921"/>
    <w:rsid w:val="002F63C4"/>
    <w:rsid w:val="002F6BF1"/>
    <w:rsid w:val="00302FA7"/>
    <w:rsid w:val="003054D8"/>
    <w:rsid w:val="00312BC5"/>
    <w:rsid w:val="00314042"/>
    <w:rsid w:val="00314BD9"/>
    <w:rsid w:val="0032561E"/>
    <w:rsid w:val="003300D2"/>
    <w:rsid w:val="00330E5F"/>
    <w:rsid w:val="00333FA4"/>
    <w:rsid w:val="00336B8B"/>
    <w:rsid w:val="00342F76"/>
    <w:rsid w:val="00343A8B"/>
    <w:rsid w:val="00345EC1"/>
    <w:rsid w:val="003507F1"/>
    <w:rsid w:val="00351F55"/>
    <w:rsid w:val="00353360"/>
    <w:rsid w:val="0035718C"/>
    <w:rsid w:val="00360634"/>
    <w:rsid w:val="003716E5"/>
    <w:rsid w:val="00371F8B"/>
    <w:rsid w:val="00372DE9"/>
    <w:rsid w:val="00373C9D"/>
    <w:rsid w:val="00381828"/>
    <w:rsid w:val="00383ACE"/>
    <w:rsid w:val="003852E4"/>
    <w:rsid w:val="00386CA9"/>
    <w:rsid w:val="00397998"/>
    <w:rsid w:val="003A0ABC"/>
    <w:rsid w:val="003A4C49"/>
    <w:rsid w:val="003A5FD2"/>
    <w:rsid w:val="003A6089"/>
    <w:rsid w:val="003A699D"/>
    <w:rsid w:val="003B11FD"/>
    <w:rsid w:val="003B5E1D"/>
    <w:rsid w:val="003C0B3A"/>
    <w:rsid w:val="003C19E7"/>
    <w:rsid w:val="003C393C"/>
    <w:rsid w:val="003C71E6"/>
    <w:rsid w:val="003D3442"/>
    <w:rsid w:val="003E425E"/>
    <w:rsid w:val="003E4C6C"/>
    <w:rsid w:val="003E613D"/>
    <w:rsid w:val="003F0187"/>
    <w:rsid w:val="003F552A"/>
    <w:rsid w:val="003F74A4"/>
    <w:rsid w:val="004014FA"/>
    <w:rsid w:val="00404580"/>
    <w:rsid w:val="00407258"/>
    <w:rsid w:val="004074F1"/>
    <w:rsid w:val="00414D9C"/>
    <w:rsid w:val="00425B9D"/>
    <w:rsid w:val="004307B9"/>
    <w:rsid w:val="004311FE"/>
    <w:rsid w:val="00431749"/>
    <w:rsid w:val="00441CDF"/>
    <w:rsid w:val="004423F1"/>
    <w:rsid w:val="00442582"/>
    <w:rsid w:val="00443876"/>
    <w:rsid w:val="00443F6C"/>
    <w:rsid w:val="00444CC4"/>
    <w:rsid w:val="00447B1B"/>
    <w:rsid w:val="00452B73"/>
    <w:rsid w:val="004578B5"/>
    <w:rsid w:val="00461468"/>
    <w:rsid w:val="00466977"/>
    <w:rsid w:val="00471434"/>
    <w:rsid w:val="00472DD6"/>
    <w:rsid w:val="004746FE"/>
    <w:rsid w:val="004840C0"/>
    <w:rsid w:val="004842CD"/>
    <w:rsid w:val="0048744B"/>
    <w:rsid w:val="0049227D"/>
    <w:rsid w:val="0049493C"/>
    <w:rsid w:val="00496BB9"/>
    <w:rsid w:val="004A0D56"/>
    <w:rsid w:val="004A4238"/>
    <w:rsid w:val="004A5A37"/>
    <w:rsid w:val="004B277A"/>
    <w:rsid w:val="004B27BC"/>
    <w:rsid w:val="004B3DB0"/>
    <w:rsid w:val="004B5D95"/>
    <w:rsid w:val="004B795D"/>
    <w:rsid w:val="004C31FE"/>
    <w:rsid w:val="004C5548"/>
    <w:rsid w:val="004C7815"/>
    <w:rsid w:val="004D1139"/>
    <w:rsid w:val="004D38A9"/>
    <w:rsid w:val="004D533C"/>
    <w:rsid w:val="004D6C80"/>
    <w:rsid w:val="004E299F"/>
    <w:rsid w:val="004E2EEF"/>
    <w:rsid w:val="004E5A9D"/>
    <w:rsid w:val="004E6617"/>
    <w:rsid w:val="004F0EDA"/>
    <w:rsid w:val="004F124B"/>
    <w:rsid w:val="004F296B"/>
    <w:rsid w:val="004F643D"/>
    <w:rsid w:val="004F769F"/>
    <w:rsid w:val="00500B72"/>
    <w:rsid w:val="00501E64"/>
    <w:rsid w:val="00502954"/>
    <w:rsid w:val="00502FA7"/>
    <w:rsid w:val="005059DB"/>
    <w:rsid w:val="00506FB5"/>
    <w:rsid w:val="00507E84"/>
    <w:rsid w:val="005102F2"/>
    <w:rsid w:val="005115AC"/>
    <w:rsid w:val="005128DB"/>
    <w:rsid w:val="00514B37"/>
    <w:rsid w:val="00521943"/>
    <w:rsid w:val="00521C54"/>
    <w:rsid w:val="0052351D"/>
    <w:rsid w:val="0052398D"/>
    <w:rsid w:val="005356BC"/>
    <w:rsid w:val="00543D1E"/>
    <w:rsid w:val="00543EB5"/>
    <w:rsid w:val="0054574A"/>
    <w:rsid w:val="005474A2"/>
    <w:rsid w:val="00555AE6"/>
    <w:rsid w:val="005619D1"/>
    <w:rsid w:val="005700C4"/>
    <w:rsid w:val="00574285"/>
    <w:rsid w:val="00577650"/>
    <w:rsid w:val="0058356E"/>
    <w:rsid w:val="005852F7"/>
    <w:rsid w:val="00585768"/>
    <w:rsid w:val="005906CE"/>
    <w:rsid w:val="00591070"/>
    <w:rsid w:val="00594329"/>
    <w:rsid w:val="00594D17"/>
    <w:rsid w:val="00594F46"/>
    <w:rsid w:val="005951F3"/>
    <w:rsid w:val="00597016"/>
    <w:rsid w:val="005A3146"/>
    <w:rsid w:val="005A6AF1"/>
    <w:rsid w:val="005A77AE"/>
    <w:rsid w:val="005A7C61"/>
    <w:rsid w:val="005C330F"/>
    <w:rsid w:val="005C78A4"/>
    <w:rsid w:val="005D3D57"/>
    <w:rsid w:val="005D52F1"/>
    <w:rsid w:val="005D72A1"/>
    <w:rsid w:val="005E0FBF"/>
    <w:rsid w:val="005E3FE5"/>
    <w:rsid w:val="005E757D"/>
    <w:rsid w:val="005F15B3"/>
    <w:rsid w:val="005F78FD"/>
    <w:rsid w:val="006035A7"/>
    <w:rsid w:val="00604AEF"/>
    <w:rsid w:val="00607129"/>
    <w:rsid w:val="00607AFB"/>
    <w:rsid w:val="006122D2"/>
    <w:rsid w:val="006150B4"/>
    <w:rsid w:val="0061534C"/>
    <w:rsid w:val="006241E4"/>
    <w:rsid w:val="006311B1"/>
    <w:rsid w:val="0063139C"/>
    <w:rsid w:val="00635C83"/>
    <w:rsid w:val="00635E13"/>
    <w:rsid w:val="00636C01"/>
    <w:rsid w:val="006428C7"/>
    <w:rsid w:val="006428E8"/>
    <w:rsid w:val="00650815"/>
    <w:rsid w:val="006510E0"/>
    <w:rsid w:val="0065229D"/>
    <w:rsid w:val="0066172D"/>
    <w:rsid w:val="00662156"/>
    <w:rsid w:val="00665368"/>
    <w:rsid w:val="00667C79"/>
    <w:rsid w:val="0067032B"/>
    <w:rsid w:val="006712BC"/>
    <w:rsid w:val="006750E1"/>
    <w:rsid w:val="00677E2A"/>
    <w:rsid w:val="00681B08"/>
    <w:rsid w:val="006863B7"/>
    <w:rsid w:val="00690CC7"/>
    <w:rsid w:val="006913F1"/>
    <w:rsid w:val="00693032"/>
    <w:rsid w:val="006A0873"/>
    <w:rsid w:val="006A0CC5"/>
    <w:rsid w:val="006A21F3"/>
    <w:rsid w:val="006A323D"/>
    <w:rsid w:val="006A3891"/>
    <w:rsid w:val="006A3D77"/>
    <w:rsid w:val="006A4391"/>
    <w:rsid w:val="006A63ED"/>
    <w:rsid w:val="006B0657"/>
    <w:rsid w:val="006B073F"/>
    <w:rsid w:val="006B085E"/>
    <w:rsid w:val="006B1F03"/>
    <w:rsid w:val="006B26CE"/>
    <w:rsid w:val="006B2A99"/>
    <w:rsid w:val="006B56B5"/>
    <w:rsid w:val="006B634C"/>
    <w:rsid w:val="006C14C1"/>
    <w:rsid w:val="006C6A54"/>
    <w:rsid w:val="006C7F2B"/>
    <w:rsid w:val="006D4B1C"/>
    <w:rsid w:val="006D7B7E"/>
    <w:rsid w:val="006E2806"/>
    <w:rsid w:val="006E2D82"/>
    <w:rsid w:val="006E34D3"/>
    <w:rsid w:val="006E36CB"/>
    <w:rsid w:val="006E3853"/>
    <w:rsid w:val="006F3A8F"/>
    <w:rsid w:val="006F7AB8"/>
    <w:rsid w:val="006F7EC2"/>
    <w:rsid w:val="00701169"/>
    <w:rsid w:val="0070192C"/>
    <w:rsid w:val="0071028E"/>
    <w:rsid w:val="00710838"/>
    <w:rsid w:val="007214E3"/>
    <w:rsid w:val="0072152C"/>
    <w:rsid w:val="00722E43"/>
    <w:rsid w:val="00734F29"/>
    <w:rsid w:val="00736277"/>
    <w:rsid w:val="007370B8"/>
    <w:rsid w:val="007401D2"/>
    <w:rsid w:val="00740333"/>
    <w:rsid w:val="00740A94"/>
    <w:rsid w:val="00741B3D"/>
    <w:rsid w:val="00742032"/>
    <w:rsid w:val="00742F1A"/>
    <w:rsid w:val="00744D90"/>
    <w:rsid w:val="00747C30"/>
    <w:rsid w:val="00750715"/>
    <w:rsid w:val="00756E4F"/>
    <w:rsid w:val="007571D7"/>
    <w:rsid w:val="00757B05"/>
    <w:rsid w:val="007602BA"/>
    <w:rsid w:val="00766C31"/>
    <w:rsid w:val="00772D99"/>
    <w:rsid w:val="00774134"/>
    <w:rsid w:val="00782B72"/>
    <w:rsid w:val="00786142"/>
    <w:rsid w:val="007912B3"/>
    <w:rsid w:val="0079144A"/>
    <w:rsid w:val="00791F88"/>
    <w:rsid w:val="00796012"/>
    <w:rsid w:val="007A1330"/>
    <w:rsid w:val="007A20C6"/>
    <w:rsid w:val="007A2A4A"/>
    <w:rsid w:val="007A4276"/>
    <w:rsid w:val="007B1618"/>
    <w:rsid w:val="007B28E5"/>
    <w:rsid w:val="007B53E0"/>
    <w:rsid w:val="007C225C"/>
    <w:rsid w:val="007C4D34"/>
    <w:rsid w:val="007C53DD"/>
    <w:rsid w:val="007D0C63"/>
    <w:rsid w:val="007D7704"/>
    <w:rsid w:val="007E060D"/>
    <w:rsid w:val="007E14C2"/>
    <w:rsid w:val="007E3DCC"/>
    <w:rsid w:val="007F0285"/>
    <w:rsid w:val="007F30A7"/>
    <w:rsid w:val="007F4DD9"/>
    <w:rsid w:val="007F5C05"/>
    <w:rsid w:val="00800F80"/>
    <w:rsid w:val="00802703"/>
    <w:rsid w:val="0080349C"/>
    <w:rsid w:val="00803E80"/>
    <w:rsid w:val="00805535"/>
    <w:rsid w:val="008067FB"/>
    <w:rsid w:val="00815B10"/>
    <w:rsid w:val="00816B29"/>
    <w:rsid w:val="00821FC1"/>
    <w:rsid w:val="0083424C"/>
    <w:rsid w:val="008358F5"/>
    <w:rsid w:val="008407AB"/>
    <w:rsid w:val="00843AE9"/>
    <w:rsid w:val="00847D5A"/>
    <w:rsid w:val="00851743"/>
    <w:rsid w:val="0085232D"/>
    <w:rsid w:val="00856E31"/>
    <w:rsid w:val="00862D96"/>
    <w:rsid w:val="00866C18"/>
    <w:rsid w:val="0087107C"/>
    <w:rsid w:val="00871DBD"/>
    <w:rsid w:val="00874F9A"/>
    <w:rsid w:val="00886F27"/>
    <w:rsid w:val="00887692"/>
    <w:rsid w:val="008A01F5"/>
    <w:rsid w:val="008A4100"/>
    <w:rsid w:val="008A5658"/>
    <w:rsid w:val="008A64A8"/>
    <w:rsid w:val="008A6FB1"/>
    <w:rsid w:val="008A75C3"/>
    <w:rsid w:val="008B501A"/>
    <w:rsid w:val="008B5247"/>
    <w:rsid w:val="008B62A7"/>
    <w:rsid w:val="008B660B"/>
    <w:rsid w:val="008C7B24"/>
    <w:rsid w:val="008F4C6A"/>
    <w:rsid w:val="008F6461"/>
    <w:rsid w:val="0090062B"/>
    <w:rsid w:val="009014F7"/>
    <w:rsid w:val="0090497A"/>
    <w:rsid w:val="00904AB0"/>
    <w:rsid w:val="00906B0D"/>
    <w:rsid w:val="00911D05"/>
    <w:rsid w:val="00911FB6"/>
    <w:rsid w:val="0091791B"/>
    <w:rsid w:val="009271A4"/>
    <w:rsid w:val="00927898"/>
    <w:rsid w:val="0093216C"/>
    <w:rsid w:val="009346BA"/>
    <w:rsid w:val="00937360"/>
    <w:rsid w:val="00941A56"/>
    <w:rsid w:val="009453A8"/>
    <w:rsid w:val="0094609E"/>
    <w:rsid w:val="00953925"/>
    <w:rsid w:val="00956882"/>
    <w:rsid w:val="00956A20"/>
    <w:rsid w:val="00956B4A"/>
    <w:rsid w:val="00961E0E"/>
    <w:rsid w:val="00962119"/>
    <w:rsid w:val="00964566"/>
    <w:rsid w:val="009806C8"/>
    <w:rsid w:val="00982BFE"/>
    <w:rsid w:val="00986443"/>
    <w:rsid w:val="00986930"/>
    <w:rsid w:val="0098754E"/>
    <w:rsid w:val="009938B5"/>
    <w:rsid w:val="009971EB"/>
    <w:rsid w:val="00997E42"/>
    <w:rsid w:val="009A0C00"/>
    <w:rsid w:val="009A5E71"/>
    <w:rsid w:val="009B6E9F"/>
    <w:rsid w:val="009B7D22"/>
    <w:rsid w:val="009C2A1A"/>
    <w:rsid w:val="009C45DB"/>
    <w:rsid w:val="009C5D51"/>
    <w:rsid w:val="009D29F4"/>
    <w:rsid w:val="009D6EB2"/>
    <w:rsid w:val="009E1C2C"/>
    <w:rsid w:val="009F2650"/>
    <w:rsid w:val="00A00ADD"/>
    <w:rsid w:val="00A02D1A"/>
    <w:rsid w:val="00A031C8"/>
    <w:rsid w:val="00A036D2"/>
    <w:rsid w:val="00A07E62"/>
    <w:rsid w:val="00A10ED8"/>
    <w:rsid w:val="00A113E9"/>
    <w:rsid w:val="00A1607D"/>
    <w:rsid w:val="00A25573"/>
    <w:rsid w:val="00A34367"/>
    <w:rsid w:val="00A363AC"/>
    <w:rsid w:val="00A36D29"/>
    <w:rsid w:val="00A44137"/>
    <w:rsid w:val="00A456EC"/>
    <w:rsid w:val="00A4628F"/>
    <w:rsid w:val="00A515AE"/>
    <w:rsid w:val="00A540D0"/>
    <w:rsid w:val="00A54AB1"/>
    <w:rsid w:val="00A55366"/>
    <w:rsid w:val="00A5605F"/>
    <w:rsid w:val="00A576C9"/>
    <w:rsid w:val="00A65437"/>
    <w:rsid w:val="00A65A06"/>
    <w:rsid w:val="00A65DA0"/>
    <w:rsid w:val="00A74BF4"/>
    <w:rsid w:val="00A81984"/>
    <w:rsid w:val="00A83E2D"/>
    <w:rsid w:val="00A87875"/>
    <w:rsid w:val="00A900A4"/>
    <w:rsid w:val="00A90795"/>
    <w:rsid w:val="00A90D3C"/>
    <w:rsid w:val="00A90DC4"/>
    <w:rsid w:val="00A90E37"/>
    <w:rsid w:val="00A92F12"/>
    <w:rsid w:val="00AA0956"/>
    <w:rsid w:val="00AA0B75"/>
    <w:rsid w:val="00AA1C67"/>
    <w:rsid w:val="00AA336D"/>
    <w:rsid w:val="00AB0E09"/>
    <w:rsid w:val="00AB4C02"/>
    <w:rsid w:val="00AB5652"/>
    <w:rsid w:val="00AB6341"/>
    <w:rsid w:val="00AB6C69"/>
    <w:rsid w:val="00AC2DAE"/>
    <w:rsid w:val="00AC309E"/>
    <w:rsid w:val="00AC528F"/>
    <w:rsid w:val="00AC64F6"/>
    <w:rsid w:val="00AC692D"/>
    <w:rsid w:val="00AC7A66"/>
    <w:rsid w:val="00AD0B96"/>
    <w:rsid w:val="00AD5C6A"/>
    <w:rsid w:val="00AD7B1A"/>
    <w:rsid w:val="00AE0341"/>
    <w:rsid w:val="00AE0460"/>
    <w:rsid w:val="00AF05C8"/>
    <w:rsid w:val="00AF1CF9"/>
    <w:rsid w:val="00AF2069"/>
    <w:rsid w:val="00AF26B3"/>
    <w:rsid w:val="00AF58D5"/>
    <w:rsid w:val="00AF69BE"/>
    <w:rsid w:val="00AF6D29"/>
    <w:rsid w:val="00AF75C9"/>
    <w:rsid w:val="00AF78D2"/>
    <w:rsid w:val="00B00C12"/>
    <w:rsid w:val="00B01432"/>
    <w:rsid w:val="00B02393"/>
    <w:rsid w:val="00B033CE"/>
    <w:rsid w:val="00B03545"/>
    <w:rsid w:val="00B05A81"/>
    <w:rsid w:val="00B06039"/>
    <w:rsid w:val="00B14EA0"/>
    <w:rsid w:val="00B20A96"/>
    <w:rsid w:val="00B212B9"/>
    <w:rsid w:val="00B219C6"/>
    <w:rsid w:val="00B21D26"/>
    <w:rsid w:val="00B2286A"/>
    <w:rsid w:val="00B23382"/>
    <w:rsid w:val="00B266E4"/>
    <w:rsid w:val="00B279B9"/>
    <w:rsid w:val="00B30CC6"/>
    <w:rsid w:val="00B33276"/>
    <w:rsid w:val="00B42681"/>
    <w:rsid w:val="00B45BF4"/>
    <w:rsid w:val="00B50C31"/>
    <w:rsid w:val="00B55714"/>
    <w:rsid w:val="00B61938"/>
    <w:rsid w:val="00B62A83"/>
    <w:rsid w:val="00B63063"/>
    <w:rsid w:val="00B67A2E"/>
    <w:rsid w:val="00B7587D"/>
    <w:rsid w:val="00B857B8"/>
    <w:rsid w:val="00B93381"/>
    <w:rsid w:val="00B94592"/>
    <w:rsid w:val="00B94BAD"/>
    <w:rsid w:val="00B95EAC"/>
    <w:rsid w:val="00B96339"/>
    <w:rsid w:val="00B96D6A"/>
    <w:rsid w:val="00BA09D3"/>
    <w:rsid w:val="00BA6752"/>
    <w:rsid w:val="00BB0AC9"/>
    <w:rsid w:val="00BB1A7F"/>
    <w:rsid w:val="00BB373E"/>
    <w:rsid w:val="00BB38A0"/>
    <w:rsid w:val="00BC541D"/>
    <w:rsid w:val="00BC57B9"/>
    <w:rsid w:val="00BC5E0D"/>
    <w:rsid w:val="00BD203B"/>
    <w:rsid w:val="00BD3FB8"/>
    <w:rsid w:val="00BD5505"/>
    <w:rsid w:val="00BE0A36"/>
    <w:rsid w:val="00BE25DA"/>
    <w:rsid w:val="00BE4E25"/>
    <w:rsid w:val="00BF014C"/>
    <w:rsid w:val="00BF5C68"/>
    <w:rsid w:val="00BF6ACD"/>
    <w:rsid w:val="00C002A1"/>
    <w:rsid w:val="00C02F61"/>
    <w:rsid w:val="00C10354"/>
    <w:rsid w:val="00C11201"/>
    <w:rsid w:val="00C15A92"/>
    <w:rsid w:val="00C15C17"/>
    <w:rsid w:val="00C166B0"/>
    <w:rsid w:val="00C211F4"/>
    <w:rsid w:val="00C24054"/>
    <w:rsid w:val="00C249B7"/>
    <w:rsid w:val="00C255A4"/>
    <w:rsid w:val="00C269A1"/>
    <w:rsid w:val="00C271F9"/>
    <w:rsid w:val="00C30AED"/>
    <w:rsid w:val="00C30C98"/>
    <w:rsid w:val="00C40A4E"/>
    <w:rsid w:val="00C415A1"/>
    <w:rsid w:val="00C46FEA"/>
    <w:rsid w:val="00C52FC3"/>
    <w:rsid w:val="00C56CD7"/>
    <w:rsid w:val="00C56D83"/>
    <w:rsid w:val="00C64CFC"/>
    <w:rsid w:val="00C65D5E"/>
    <w:rsid w:val="00C72379"/>
    <w:rsid w:val="00C7281F"/>
    <w:rsid w:val="00C77003"/>
    <w:rsid w:val="00C813FC"/>
    <w:rsid w:val="00C81838"/>
    <w:rsid w:val="00C82125"/>
    <w:rsid w:val="00C83FDD"/>
    <w:rsid w:val="00C86895"/>
    <w:rsid w:val="00C87136"/>
    <w:rsid w:val="00C8729A"/>
    <w:rsid w:val="00C8751A"/>
    <w:rsid w:val="00C87BD2"/>
    <w:rsid w:val="00C93F0A"/>
    <w:rsid w:val="00C93FEB"/>
    <w:rsid w:val="00CA3E84"/>
    <w:rsid w:val="00CA6AC6"/>
    <w:rsid w:val="00CC6595"/>
    <w:rsid w:val="00CD14F5"/>
    <w:rsid w:val="00CD3484"/>
    <w:rsid w:val="00CD4953"/>
    <w:rsid w:val="00CE2703"/>
    <w:rsid w:val="00CE625C"/>
    <w:rsid w:val="00CF271D"/>
    <w:rsid w:val="00CF2B4F"/>
    <w:rsid w:val="00CF30E1"/>
    <w:rsid w:val="00CF53CF"/>
    <w:rsid w:val="00CF6221"/>
    <w:rsid w:val="00D10B6F"/>
    <w:rsid w:val="00D11893"/>
    <w:rsid w:val="00D124CA"/>
    <w:rsid w:val="00D1456A"/>
    <w:rsid w:val="00D30464"/>
    <w:rsid w:val="00D3093A"/>
    <w:rsid w:val="00D30EDE"/>
    <w:rsid w:val="00D35854"/>
    <w:rsid w:val="00D35A8B"/>
    <w:rsid w:val="00D42D90"/>
    <w:rsid w:val="00D4640A"/>
    <w:rsid w:val="00D5095F"/>
    <w:rsid w:val="00D6096E"/>
    <w:rsid w:val="00D60A1F"/>
    <w:rsid w:val="00D62C85"/>
    <w:rsid w:val="00D6495C"/>
    <w:rsid w:val="00D72650"/>
    <w:rsid w:val="00D73EBC"/>
    <w:rsid w:val="00D832C4"/>
    <w:rsid w:val="00D85931"/>
    <w:rsid w:val="00D91475"/>
    <w:rsid w:val="00D91F91"/>
    <w:rsid w:val="00DA0ADC"/>
    <w:rsid w:val="00DA0CD1"/>
    <w:rsid w:val="00DA0E99"/>
    <w:rsid w:val="00DA2B0E"/>
    <w:rsid w:val="00DA5E2F"/>
    <w:rsid w:val="00DA7DA3"/>
    <w:rsid w:val="00DB2E3E"/>
    <w:rsid w:val="00DB3A06"/>
    <w:rsid w:val="00DB6456"/>
    <w:rsid w:val="00DB682E"/>
    <w:rsid w:val="00DC5467"/>
    <w:rsid w:val="00DC5A8E"/>
    <w:rsid w:val="00DC5C50"/>
    <w:rsid w:val="00DC610D"/>
    <w:rsid w:val="00DD2383"/>
    <w:rsid w:val="00DD6A3D"/>
    <w:rsid w:val="00DE2F01"/>
    <w:rsid w:val="00DE6C5D"/>
    <w:rsid w:val="00DF1D42"/>
    <w:rsid w:val="00DF6E70"/>
    <w:rsid w:val="00E0290D"/>
    <w:rsid w:val="00E0592B"/>
    <w:rsid w:val="00E10FAB"/>
    <w:rsid w:val="00E139EB"/>
    <w:rsid w:val="00E13EED"/>
    <w:rsid w:val="00E1502E"/>
    <w:rsid w:val="00E15236"/>
    <w:rsid w:val="00E30390"/>
    <w:rsid w:val="00E3348A"/>
    <w:rsid w:val="00E338B9"/>
    <w:rsid w:val="00E36AC2"/>
    <w:rsid w:val="00E42D84"/>
    <w:rsid w:val="00E43D0A"/>
    <w:rsid w:val="00E47840"/>
    <w:rsid w:val="00E51A9E"/>
    <w:rsid w:val="00E53AC4"/>
    <w:rsid w:val="00E53BA3"/>
    <w:rsid w:val="00E5464E"/>
    <w:rsid w:val="00E56A9C"/>
    <w:rsid w:val="00E6489F"/>
    <w:rsid w:val="00E64CF3"/>
    <w:rsid w:val="00E65669"/>
    <w:rsid w:val="00E65DAC"/>
    <w:rsid w:val="00E66238"/>
    <w:rsid w:val="00E66F2D"/>
    <w:rsid w:val="00E70D3C"/>
    <w:rsid w:val="00E73C7D"/>
    <w:rsid w:val="00E75685"/>
    <w:rsid w:val="00E77D0B"/>
    <w:rsid w:val="00E77D27"/>
    <w:rsid w:val="00E80627"/>
    <w:rsid w:val="00E821FF"/>
    <w:rsid w:val="00E84E41"/>
    <w:rsid w:val="00E85239"/>
    <w:rsid w:val="00E86F2F"/>
    <w:rsid w:val="00E90593"/>
    <w:rsid w:val="00E90772"/>
    <w:rsid w:val="00E94BB4"/>
    <w:rsid w:val="00E94F37"/>
    <w:rsid w:val="00E96F82"/>
    <w:rsid w:val="00E96FED"/>
    <w:rsid w:val="00EA0D29"/>
    <w:rsid w:val="00EA4170"/>
    <w:rsid w:val="00EA4C33"/>
    <w:rsid w:val="00EA4FA8"/>
    <w:rsid w:val="00EA61A4"/>
    <w:rsid w:val="00EA662C"/>
    <w:rsid w:val="00EA7BC4"/>
    <w:rsid w:val="00EB516B"/>
    <w:rsid w:val="00EC1010"/>
    <w:rsid w:val="00EC2B01"/>
    <w:rsid w:val="00EC4229"/>
    <w:rsid w:val="00EC52BF"/>
    <w:rsid w:val="00EC6AB2"/>
    <w:rsid w:val="00EC7D5D"/>
    <w:rsid w:val="00ED0908"/>
    <w:rsid w:val="00ED44C1"/>
    <w:rsid w:val="00ED7FA2"/>
    <w:rsid w:val="00EE2314"/>
    <w:rsid w:val="00EE30A2"/>
    <w:rsid w:val="00EE4C9D"/>
    <w:rsid w:val="00EF05A1"/>
    <w:rsid w:val="00EF09FB"/>
    <w:rsid w:val="00EF52F2"/>
    <w:rsid w:val="00EF5917"/>
    <w:rsid w:val="00EF5B7E"/>
    <w:rsid w:val="00EF78EE"/>
    <w:rsid w:val="00F012F3"/>
    <w:rsid w:val="00F0374D"/>
    <w:rsid w:val="00F04BBB"/>
    <w:rsid w:val="00F05FD6"/>
    <w:rsid w:val="00F069D9"/>
    <w:rsid w:val="00F10786"/>
    <w:rsid w:val="00F11176"/>
    <w:rsid w:val="00F11644"/>
    <w:rsid w:val="00F13035"/>
    <w:rsid w:val="00F31271"/>
    <w:rsid w:val="00F3240B"/>
    <w:rsid w:val="00F41690"/>
    <w:rsid w:val="00F41D20"/>
    <w:rsid w:val="00F4354F"/>
    <w:rsid w:val="00F45DD1"/>
    <w:rsid w:val="00F460ED"/>
    <w:rsid w:val="00F46E1F"/>
    <w:rsid w:val="00F46EB7"/>
    <w:rsid w:val="00F508ED"/>
    <w:rsid w:val="00F55152"/>
    <w:rsid w:val="00F55B9A"/>
    <w:rsid w:val="00F56B02"/>
    <w:rsid w:val="00F573C5"/>
    <w:rsid w:val="00F6190E"/>
    <w:rsid w:val="00F66AE8"/>
    <w:rsid w:val="00F671E1"/>
    <w:rsid w:val="00F71889"/>
    <w:rsid w:val="00F718F7"/>
    <w:rsid w:val="00F76D06"/>
    <w:rsid w:val="00F772EE"/>
    <w:rsid w:val="00F775EF"/>
    <w:rsid w:val="00F77656"/>
    <w:rsid w:val="00F851D6"/>
    <w:rsid w:val="00F87BC4"/>
    <w:rsid w:val="00F90F99"/>
    <w:rsid w:val="00FA084A"/>
    <w:rsid w:val="00FA74CC"/>
    <w:rsid w:val="00FB4636"/>
    <w:rsid w:val="00FB56D5"/>
    <w:rsid w:val="00FB7494"/>
    <w:rsid w:val="00FC4593"/>
    <w:rsid w:val="00FC794A"/>
    <w:rsid w:val="00FC7C5C"/>
    <w:rsid w:val="00FC7C90"/>
    <w:rsid w:val="00FC7F7C"/>
    <w:rsid w:val="00FD3577"/>
    <w:rsid w:val="00FD6B15"/>
    <w:rsid w:val="00FE0E65"/>
    <w:rsid w:val="00FE231F"/>
    <w:rsid w:val="00FE396D"/>
    <w:rsid w:val="00FF0ABA"/>
    <w:rsid w:val="00FF7F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4EC72A"/>
  <w15:docId w15:val="{972D0C30-98F7-442A-813A-EC02B30732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53925"/>
    <w:pPr>
      <w:spacing w:line="240" w:lineRule="auto"/>
    </w:pPr>
    <w:rPr>
      <w:rFonts w:ascii="Times New Roman" w:hAnsi="Times New Roman" w:cs="Times New Roman"/>
      <w:sz w:val="24"/>
      <w:szCs w:val="24"/>
      <w:lang w:val="en-US"/>
    </w:rPr>
  </w:style>
  <w:style w:type="paragraph" w:styleId="Heading1">
    <w:name w:val="heading 1"/>
    <w:basedOn w:val="Normal"/>
    <w:next w:val="Normal"/>
    <w:uiPriority w:val="9"/>
    <w:qFormat/>
    <w:pPr>
      <w:keepNext/>
      <w:keepLines/>
      <w:spacing w:before="400" w:after="120" w:line="276" w:lineRule="auto"/>
      <w:outlineLvl w:val="0"/>
    </w:pPr>
    <w:rPr>
      <w:rFonts w:ascii="Arial" w:hAnsi="Arial" w:cs="Arial"/>
      <w:sz w:val="40"/>
      <w:szCs w:val="40"/>
      <w:lang w:val="en"/>
    </w:rPr>
  </w:style>
  <w:style w:type="paragraph" w:styleId="Heading2">
    <w:name w:val="heading 2"/>
    <w:basedOn w:val="Normal"/>
    <w:next w:val="Normal"/>
    <w:uiPriority w:val="9"/>
    <w:semiHidden/>
    <w:unhideWhenUsed/>
    <w:qFormat/>
    <w:pPr>
      <w:keepNext/>
      <w:keepLines/>
      <w:spacing w:before="360" w:after="120" w:line="276" w:lineRule="auto"/>
      <w:outlineLvl w:val="1"/>
    </w:pPr>
    <w:rPr>
      <w:rFonts w:ascii="Arial" w:hAnsi="Arial" w:cs="Arial"/>
      <w:sz w:val="32"/>
      <w:szCs w:val="32"/>
      <w:lang w:val="en"/>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line="276" w:lineRule="auto"/>
    </w:pPr>
    <w:rPr>
      <w:rFonts w:ascii="Arial" w:hAnsi="Arial" w:cs="Arial"/>
      <w:sz w:val="52"/>
      <w:szCs w:val="52"/>
      <w:lang w:val="en"/>
    </w:rPr>
  </w:style>
  <w:style w:type="paragraph" w:styleId="Subtitle">
    <w:name w:val="Subtitle"/>
    <w:basedOn w:val="Normal"/>
    <w:next w:val="Normal"/>
    <w:uiPriority w:val="11"/>
    <w:qFormat/>
    <w:pPr>
      <w:keepNext/>
      <w:keepLines/>
      <w:spacing w:after="320" w:line="276" w:lineRule="auto"/>
    </w:pPr>
    <w:rPr>
      <w:rFonts w:ascii="Arial" w:hAnsi="Arial" w:cs="Arial"/>
      <w:color w:val="666666"/>
      <w:sz w:val="30"/>
      <w:szCs w:val="30"/>
      <w:lang w:val="en"/>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unhideWhenUsed/>
    <w:rPr>
      <w:rFonts w:ascii="Arial" w:hAnsi="Arial" w:cs="Arial"/>
      <w:sz w:val="20"/>
      <w:szCs w:val="20"/>
      <w:lang w:val="en"/>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AA336D"/>
    <w:rPr>
      <w:rFonts w:ascii="Segoe UI" w:hAnsi="Segoe UI" w:cs="Segoe UI"/>
      <w:sz w:val="18"/>
      <w:szCs w:val="18"/>
      <w:lang w:val="en"/>
    </w:rPr>
  </w:style>
  <w:style w:type="character" w:customStyle="1" w:styleId="BalloonTextChar">
    <w:name w:val="Balloon Text Char"/>
    <w:basedOn w:val="DefaultParagraphFont"/>
    <w:link w:val="BalloonText"/>
    <w:uiPriority w:val="99"/>
    <w:semiHidden/>
    <w:rsid w:val="00AA336D"/>
    <w:rPr>
      <w:rFonts w:ascii="Segoe UI" w:hAnsi="Segoe UI" w:cs="Segoe UI"/>
      <w:sz w:val="18"/>
      <w:szCs w:val="18"/>
    </w:rPr>
  </w:style>
  <w:style w:type="paragraph" w:styleId="Header">
    <w:name w:val="header"/>
    <w:basedOn w:val="Normal"/>
    <w:link w:val="HeaderChar"/>
    <w:uiPriority w:val="99"/>
    <w:unhideWhenUsed/>
    <w:rsid w:val="00FC794A"/>
    <w:pPr>
      <w:tabs>
        <w:tab w:val="center" w:pos="4680"/>
        <w:tab w:val="right" w:pos="9360"/>
      </w:tabs>
    </w:pPr>
    <w:rPr>
      <w:rFonts w:ascii="Arial" w:hAnsi="Arial" w:cs="Arial"/>
      <w:sz w:val="22"/>
      <w:szCs w:val="22"/>
      <w:lang w:val="en"/>
    </w:rPr>
  </w:style>
  <w:style w:type="character" w:customStyle="1" w:styleId="HeaderChar">
    <w:name w:val="Header Char"/>
    <w:basedOn w:val="DefaultParagraphFont"/>
    <w:link w:val="Header"/>
    <w:uiPriority w:val="99"/>
    <w:rsid w:val="00FC794A"/>
  </w:style>
  <w:style w:type="paragraph" w:styleId="Footer">
    <w:name w:val="footer"/>
    <w:basedOn w:val="Normal"/>
    <w:link w:val="FooterChar"/>
    <w:uiPriority w:val="99"/>
    <w:unhideWhenUsed/>
    <w:rsid w:val="00FC794A"/>
    <w:pPr>
      <w:tabs>
        <w:tab w:val="center" w:pos="4680"/>
        <w:tab w:val="right" w:pos="9360"/>
      </w:tabs>
    </w:pPr>
    <w:rPr>
      <w:rFonts w:ascii="Arial" w:hAnsi="Arial" w:cs="Arial"/>
      <w:sz w:val="22"/>
      <w:szCs w:val="22"/>
      <w:lang w:val="en"/>
    </w:rPr>
  </w:style>
  <w:style w:type="character" w:customStyle="1" w:styleId="FooterChar">
    <w:name w:val="Footer Char"/>
    <w:basedOn w:val="DefaultParagraphFont"/>
    <w:link w:val="Footer"/>
    <w:uiPriority w:val="99"/>
    <w:rsid w:val="00FC794A"/>
  </w:style>
  <w:style w:type="paragraph" w:styleId="CommentSubject">
    <w:name w:val="annotation subject"/>
    <w:basedOn w:val="CommentText"/>
    <w:next w:val="CommentText"/>
    <w:link w:val="CommentSubjectChar"/>
    <w:uiPriority w:val="99"/>
    <w:semiHidden/>
    <w:unhideWhenUsed/>
    <w:rsid w:val="00070A15"/>
    <w:rPr>
      <w:b/>
      <w:bCs/>
    </w:rPr>
  </w:style>
  <w:style w:type="character" w:customStyle="1" w:styleId="CommentSubjectChar">
    <w:name w:val="Comment Subject Char"/>
    <w:basedOn w:val="CommentTextChar"/>
    <w:link w:val="CommentSubject"/>
    <w:uiPriority w:val="99"/>
    <w:semiHidden/>
    <w:rsid w:val="00070A15"/>
    <w:rPr>
      <w:b/>
      <w:bCs/>
      <w:sz w:val="20"/>
      <w:szCs w:val="20"/>
    </w:rPr>
  </w:style>
  <w:style w:type="paragraph" w:styleId="NormalWeb">
    <w:name w:val="Normal (Web)"/>
    <w:basedOn w:val="Normal"/>
    <w:uiPriority w:val="99"/>
    <w:unhideWhenUsed/>
    <w:rsid w:val="00C7281F"/>
    <w:pPr>
      <w:spacing w:before="100" w:beforeAutospacing="1" w:after="100" w:afterAutospacing="1"/>
    </w:pPr>
    <w:rPr>
      <w:rFonts w:eastAsia="Times New Roman"/>
    </w:rPr>
  </w:style>
  <w:style w:type="character" w:styleId="Hyperlink">
    <w:name w:val="Hyperlink"/>
    <w:basedOn w:val="DefaultParagraphFont"/>
    <w:uiPriority w:val="99"/>
    <w:unhideWhenUsed/>
    <w:rsid w:val="00C7281F"/>
    <w:rPr>
      <w:color w:val="0000FF"/>
      <w:u w:val="single"/>
    </w:rPr>
  </w:style>
  <w:style w:type="character" w:customStyle="1" w:styleId="apple-tab-span">
    <w:name w:val="apple-tab-span"/>
    <w:basedOn w:val="DefaultParagraphFont"/>
    <w:rsid w:val="00C7281F"/>
  </w:style>
  <w:style w:type="character" w:styleId="Strong">
    <w:name w:val="Strong"/>
    <w:basedOn w:val="DefaultParagraphFont"/>
    <w:uiPriority w:val="22"/>
    <w:qFormat/>
    <w:rsid w:val="001E6338"/>
    <w:rPr>
      <w:b/>
      <w:bCs/>
    </w:rPr>
  </w:style>
  <w:style w:type="character" w:styleId="FollowedHyperlink">
    <w:name w:val="FollowedHyperlink"/>
    <w:basedOn w:val="DefaultParagraphFont"/>
    <w:uiPriority w:val="99"/>
    <w:semiHidden/>
    <w:unhideWhenUsed/>
    <w:rsid w:val="00DC5C50"/>
    <w:rPr>
      <w:color w:val="800080" w:themeColor="followedHyperlink"/>
      <w:u w:val="single"/>
    </w:rPr>
  </w:style>
  <w:style w:type="table" w:styleId="TableGrid">
    <w:name w:val="Table Grid"/>
    <w:basedOn w:val="TableNormal"/>
    <w:uiPriority w:val="39"/>
    <w:rsid w:val="006C7F2B"/>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1F6C8E"/>
    <w:rPr>
      <w:i/>
      <w:iCs/>
    </w:rPr>
  </w:style>
  <w:style w:type="paragraph" w:styleId="Revision">
    <w:name w:val="Revision"/>
    <w:hidden/>
    <w:uiPriority w:val="99"/>
    <w:semiHidden/>
    <w:rsid w:val="00874F9A"/>
    <w:pPr>
      <w:spacing w:line="240" w:lineRule="auto"/>
    </w:pPr>
    <w:rPr>
      <w:rFonts w:ascii="Times New Roman" w:hAnsi="Times New Roman" w:cs="Times New Roman"/>
      <w:sz w:val="24"/>
      <w:szCs w:val="24"/>
      <w:lang w:val="en-US"/>
    </w:rPr>
  </w:style>
  <w:style w:type="paragraph" w:styleId="ListParagraph">
    <w:name w:val="List Paragraph"/>
    <w:basedOn w:val="Normal"/>
    <w:uiPriority w:val="34"/>
    <w:qFormat/>
    <w:rsid w:val="00A90795"/>
    <w:pPr>
      <w:ind w:left="720"/>
      <w:contextualSpacing/>
    </w:pPr>
    <w:rPr>
      <w:rFonts w:asciiTheme="minorHAnsi" w:eastAsiaTheme="minorHAnsi" w:hAnsiTheme="minorHAnsi" w:cstheme="minorBidi"/>
    </w:rPr>
  </w:style>
  <w:style w:type="table" w:styleId="GridTable1Light">
    <w:name w:val="Grid Table 1 Light"/>
    <w:basedOn w:val="TableNormal"/>
    <w:uiPriority w:val="46"/>
    <w:rsid w:val="001531AE"/>
    <w:pPr>
      <w:spacing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PlainTable5">
    <w:name w:val="Plain Table 5"/>
    <w:basedOn w:val="TableNormal"/>
    <w:uiPriority w:val="45"/>
    <w:rsid w:val="001531AE"/>
    <w:pPr>
      <w:spacing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UnresolvedMention1">
    <w:name w:val="Unresolved Mention1"/>
    <w:basedOn w:val="DefaultParagraphFont"/>
    <w:uiPriority w:val="99"/>
    <w:rsid w:val="00911D05"/>
    <w:rPr>
      <w:color w:val="605E5C"/>
      <w:shd w:val="clear" w:color="auto" w:fill="E1DFDD"/>
    </w:rPr>
  </w:style>
  <w:style w:type="character" w:customStyle="1" w:styleId="cf01">
    <w:name w:val="cf01"/>
    <w:basedOn w:val="DefaultParagraphFont"/>
    <w:rsid w:val="005A3146"/>
    <w:rPr>
      <w:rFonts w:ascii="Segoe UI" w:hAnsi="Segoe UI" w:cs="Segoe UI" w:hint="default"/>
      <w:sz w:val="18"/>
      <w:szCs w:val="18"/>
    </w:rPr>
  </w:style>
  <w:style w:type="paragraph" w:customStyle="1" w:styleId="pf0">
    <w:name w:val="pf0"/>
    <w:basedOn w:val="Normal"/>
    <w:rsid w:val="005A3146"/>
    <w:pPr>
      <w:spacing w:before="100" w:beforeAutospacing="1" w:after="100" w:afterAutospacing="1"/>
    </w:pPr>
    <w:rPr>
      <w:rFonts w:eastAsia="Times New Roman"/>
    </w:rPr>
  </w:style>
  <w:style w:type="character" w:styleId="UnresolvedMention">
    <w:name w:val="Unresolved Mention"/>
    <w:basedOn w:val="DefaultParagraphFont"/>
    <w:uiPriority w:val="99"/>
    <w:rsid w:val="00B14EA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208600">
      <w:bodyDiv w:val="1"/>
      <w:marLeft w:val="0"/>
      <w:marRight w:val="0"/>
      <w:marTop w:val="0"/>
      <w:marBottom w:val="0"/>
      <w:divBdr>
        <w:top w:val="none" w:sz="0" w:space="0" w:color="auto"/>
        <w:left w:val="none" w:sz="0" w:space="0" w:color="auto"/>
        <w:bottom w:val="none" w:sz="0" w:space="0" w:color="auto"/>
        <w:right w:val="none" w:sz="0" w:space="0" w:color="auto"/>
      </w:divBdr>
    </w:div>
    <w:div w:id="40711814">
      <w:bodyDiv w:val="1"/>
      <w:marLeft w:val="0"/>
      <w:marRight w:val="0"/>
      <w:marTop w:val="0"/>
      <w:marBottom w:val="0"/>
      <w:divBdr>
        <w:top w:val="none" w:sz="0" w:space="0" w:color="auto"/>
        <w:left w:val="none" w:sz="0" w:space="0" w:color="auto"/>
        <w:bottom w:val="none" w:sz="0" w:space="0" w:color="auto"/>
        <w:right w:val="none" w:sz="0" w:space="0" w:color="auto"/>
      </w:divBdr>
    </w:div>
    <w:div w:id="52969195">
      <w:bodyDiv w:val="1"/>
      <w:marLeft w:val="0"/>
      <w:marRight w:val="0"/>
      <w:marTop w:val="0"/>
      <w:marBottom w:val="0"/>
      <w:divBdr>
        <w:top w:val="none" w:sz="0" w:space="0" w:color="auto"/>
        <w:left w:val="none" w:sz="0" w:space="0" w:color="auto"/>
        <w:bottom w:val="none" w:sz="0" w:space="0" w:color="auto"/>
        <w:right w:val="none" w:sz="0" w:space="0" w:color="auto"/>
      </w:divBdr>
    </w:div>
    <w:div w:id="155154924">
      <w:bodyDiv w:val="1"/>
      <w:marLeft w:val="0"/>
      <w:marRight w:val="0"/>
      <w:marTop w:val="0"/>
      <w:marBottom w:val="0"/>
      <w:divBdr>
        <w:top w:val="none" w:sz="0" w:space="0" w:color="auto"/>
        <w:left w:val="none" w:sz="0" w:space="0" w:color="auto"/>
        <w:bottom w:val="none" w:sz="0" w:space="0" w:color="auto"/>
        <w:right w:val="none" w:sz="0" w:space="0" w:color="auto"/>
      </w:divBdr>
    </w:div>
    <w:div w:id="266742249">
      <w:bodyDiv w:val="1"/>
      <w:marLeft w:val="0"/>
      <w:marRight w:val="0"/>
      <w:marTop w:val="0"/>
      <w:marBottom w:val="0"/>
      <w:divBdr>
        <w:top w:val="none" w:sz="0" w:space="0" w:color="auto"/>
        <w:left w:val="none" w:sz="0" w:space="0" w:color="auto"/>
        <w:bottom w:val="none" w:sz="0" w:space="0" w:color="auto"/>
        <w:right w:val="none" w:sz="0" w:space="0" w:color="auto"/>
      </w:divBdr>
    </w:div>
    <w:div w:id="269820071">
      <w:bodyDiv w:val="1"/>
      <w:marLeft w:val="0"/>
      <w:marRight w:val="0"/>
      <w:marTop w:val="0"/>
      <w:marBottom w:val="0"/>
      <w:divBdr>
        <w:top w:val="none" w:sz="0" w:space="0" w:color="auto"/>
        <w:left w:val="none" w:sz="0" w:space="0" w:color="auto"/>
        <w:bottom w:val="none" w:sz="0" w:space="0" w:color="auto"/>
        <w:right w:val="none" w:sz="0" w:space="0" w:color="auto"/>
      </w:divBdr>
    </w:div>
    <w:div w:id="285820452">
      <w:bodyDiv w:val="1"/>
      <w:marLeft w:val="0"/>
      <w:marRight w:val="0"/>
      <w:marTop w:val="0"/>
      <w:marBottom w:val="0"/>
      <w:divBdr>
        <w:top w:val="none" w:sz="0" w:space="0" w:color="auto"/>
        <w:left w:val="none" w:sz="0" w:space="0" w:color="auto"/>
        <w:bottom w:val="none" w:sz="0" w:space="0" w:color="auto"/>
        <w:right w:val="none" w:sz="0" w:space="0" w:color="auto"/>
      </w:divBdr>
    </w:div>
    <w:div w:id="371273407">
      <w:bodyDiv w:val="1"/>
      <w:marLeft w:val="0"/>
      <w:marRight w:val="0"/>
      <w:marTop w:val="0"/>
      <w:marBottom w:val="0"/>
      <w:divBdr>
        <w:top w:val="none" w:sz="0" w:space="0" w:color="auto"/>
        <w:left w:val="none" w:sz="0" w:space="0" w:color="auto"/>
        <w:bottom w:val="none" w:sz="0" w:space="0" w:color="auto"/>
        <w:right w:val="none" w:sz="0" w:space="0" w:color="auto"/>
      </w:divBdr>
    </w:div>
    <w:div w:id="381098255">
      <w:bodyDiv w:val="1"/>
      <w:marLeft w:val="0"/>
      <w:marRight w:val="0"/>
      <w:marTop w:val="0"/>
      <w:marBottom w:val="0"/>
      <w:divBdr>
        <w:top w:val="none" w:sz="0" w:space="0" w:color="auto"/>
        <w:left w:val="none" w:sz="0" w:space="0" w:color="auto"/>
        <w:bottom w:val="none" w:sz="0" w:space="0" w:color="auto"/>
        <w:right w:val="none" w:sz="0" w:space="0" w:color="auto"/>
      </w:divBdr>
    </w:div>
    <w:div w:id="503206023">
      <w:bodyDiv w:val="1"/>
      <w:marLeft w:val="0"/>
      <w:marRight w:val="0"/>
      <w:marTop w:val="0"/>
      <w:marBottom w:val="0"/>
      <w:divBdr>
        <w:top w:val="none" w:sz="0" w:space="0" w:color="auto"/>
        <w:left w:val="none" w:sz="0" w:space="0" w:color="auto"/>
        <w:bottom w:val="none" w:sz="0" w:space="0" w:color="auto"/>
        <w:right w:val="none" w:sz="0" w:space="0" w:color="auto"/>
      </w:divBdr>
    </w:div>
    <w:div w:id="510413564">
      <w:bodyDiv w:val="1"/>
      <w:marLeft w:val="0"/>
      <w:marRight w:val="0"/>
      <w:marTop w:val="0"/>
      <w:marBottom w:val="0"/>
      <w:divBdr>
        <w:top w:val="none" w:sz="0" w:space="0" w:color="auto"/>
        <w:left w:val="none" w:sz="0" w:space="0" w:color="auto"/>
        <w:bottom w:val="none" w:sz="0" w:space="0" w:color="auto"/>
        <w:right w:val="none" w:sz="0" w:space="0" w:color="auto"/>
      </w:divBdr>
    </w:div>
    <w:div w:id="518783593">
      <w:bodyDiv w:val="1"/>
      <w:marLeft w:val="0"/>
      <w:marRight w:val="0"/>
      <w:marTop w:val="0"/>
      <w:marBottom w:val="0"/>
      <w:divBdr>
        <w:top w:val="none" w:sz="0" w:space="0" w:color="auto"/>
        <w:left w:val="none" w:sz="0" w:space="0" w:color="auto"/>
        <w:bottom w:val="none" w:sz="0" w:space="0" w:color="auto"/>
        <w:right w:val="none" w:sz="0" w:space="0" w:color="auto"/>
      </w:divBdr>
    </w:div>
    <w:div w:id="521167071">
      <w:bodyDiv w:val="1"/>
      <w:marLeft w:val="0"/>
      <w:marRight w:val="0"/>
      <w:marTop w:val="0"/>
      <w:marBottom w:val="0"/>
      <w:divBdr>
        <w:top w:val="none" w:sz="0" w:space="0" w:color="auto"/>
        <w:left w:val="none" w:sz="0" w:space="0" w:color="auto"/>
        <w:bottom w:val="none" w:sz="0" w:space="0" w:color="auto"/>
        <w:right w:val="none" w:sz="0" w:space="0" w:color="auto"/>
      </w:divBdr>
    </w:div>
    <w:div w:id="596987336">
      <w:bodyDiv w:val="1"/>
      <w:marLeft w:val="0"/>
      <w:marRight w:val="0"/>
      <w:marTop w:val="0"/>
      <w:marBottom w:val="0"/>
      <w:divBdr>
        <w:top w:val="none" w:sz="0" w:space="0" w:color="auto"/>
        <w:left w:val="none" w:sz="0" w:space="0" w:color="auto"/>
        <w:bottom w:val="none" w:sz="0" w:space="0" w:color="auto"/>
        <w:right w:val="none" w:sz="0" w:space="0" w:color="auto"/>
      </w:divBdr>
    </w:div>
    <w:div w:id="620772038">
      <w:bodyDiv w:val="1"/>
      <w:marLeft w:val="0"/>
      <w:marRight w:val="0"/>
      <w:marTop w:val="0"/>
      <w:marBottom w:val="0"/>
      <w:divBdr>
        <w:top w:val="none" w:sz="0" w:space="0" w:color="auto"/>
        <w:left w:val="none" w:sz="0" w:space="0" w:color="auto"/>
        <w:bottom w:val="none" w:sz="0" w:space="0" w:color="auto"/>
        <w:right w:val="none" w:sz="0" w:space="0" w:color="auto"/>
      </w:divBdr>
    </w:div>
    <w:div w:id="684403989">
      <w:bodyDiv w:val="1"/>
      <w:marLeft w:val="0"/>
      <w:marRight w:val="0"/>
      <w:marTop w:val="0"/>
      <w:marBottom w:val="0"/>
      <w:divBdr>
        <w:top w:val="none" w:sz="0" w:space="0" w:color="auto"/>
        <w:left w:val="none" w:sz="0" w:space="0" w:color="auto"/>
        <w:bottom w:val="none" w:sz="0" w:space="0" w:color="auto"/>
        <w:right w:val="none" w:sz="0" w:space="0" w:color="auto"/>
      </w:divBdr>
    </w:div>
    <w:div w:id="700789401">
      <w:bodyDiv w:val="1"/>
      <w:marLeft w:val="0"/>
      <w:marRight w:val="0"/>
      <w:marTop w:val="0"/>
      <w:marBottom w:val="0"/>
      <w:divBdr>
        <w:top w:val="none" w:sz="0" w:space="0" w:color="auto"/>
        <w:left w:val="none" w:sz="0" w:space="0" w:color="auto"/>
        <w:bottom w:val="none" w:sz="0" w:space="0" w:color="auto"/>
        <w:right w:val="none" w:sz="0" w:space="0" w:color="auto"/>
      </w:divBdr>
    </w:div>
    <w:div w:id="725419393">
      <w:bodyDiv w:val="1"/>
      <w:marLeft w:val="0"/>
      <w:marRight w:val="0"/>
      <w:marTop w:val="0"/>
      <w:marBottom w:val="0"/>
      <w:divBdr>
        <w:top w:val="none" w:sz="0" w:space="0" w:color="auto"/>
        <w:left w:val="none" w:sz="0" w:space="0" w:color="auto"/>
        <w:bottom w:val="none" w:sz="0" w:space="0" w:color="auto"/>
        <w:right w:val="none" w:sz="0" w:space="0" w:color="auto"/>
      </w:divBdr>
    </w:div>
    <w:div w:id="824662284">
      <w:bodyDiv w:val="1"/>
      <w:marLeft w:val="0"/>
      <w:marRight w:val="0"/>
      <w:marTop w:val="0"/>
      <w:marBottom w:val="0"/>
      <w:divBdr>
        <w:top w:val="none" w:sz="0" w:space="0" w:color="auto"/>
        <w:left w:val="none" w:sz="0" w:space="0" w:color="auto"/>
        <w:bottom w:val="none" w:sz="0" w:space="0" w:color="auto"/>
        <w:right w:val="none" w:sz="0" w:space="0" w:color="auto"/>
      </w:divBdr>
    </w:div>
    <w:div w:id="840316738">
      <w:bodyDiv w:val="1"/>
      <w:marLeft w:val="0"/>
      <w:marRight w:val="0"/>
      <w:marTop w:val="0"/>
      <w:marBottom w:val="0"/>
      <w:divBdr>
        <w:top w:val="none" w:sz="0" w:space="0" w:color="auto"/>
        <w:left w:val="none" w:sz="0" w:space="0" w:color="auto"/>
        <w:bottom w:val="none" w:sz="0" w:space="0" w:color="auto"/>
        <w:right w:val="none" w:sz="0" w:space="0" w:color="auto"/>
      </w:divBdr>
    </w:div>
    <w:div w:id="844174245">
      <w:bodyDiv w:val="1"/>
      <w:marLeft w:val="0"/>
      <w:marRight w:val="0"/>
      <w:marTop w:val="0"/>
      <w:marBottom w:val="0"/>
      <w:divBdr>
        <w:top w:val="none" w:sz="0" w:space="0" w:color="auto"/>
        <w:left w:val="none" w:sz="0" w:space="0" w:color="auto"/>
        <w:bottom w:val="none" w:sz="0" w:space="0" w:color="auto"/>
        <w:right w:val="none" w:sz="0" w:space="0" w:color="auto"/>
      </w:divBdr>
    </w:div>
    <w:div w:id="877741436">
      <w:bodyDiv w:val="1"/>
      <w:marLeft w:val="0"/>
      <w:marRight w:val="0"/>
      <w:marTop w:val="0"/>
      <w:marBottom w:val="0"/>
      <w:divBdr>
        <w:top w:val="none" w:sz="0" w:space="0" w:color="auto"/>
        <w:left w:val="none" w:sz="0" w:space="0" w:color="auto"/>
        <w:bottom w:val="none" w:sz="0" w:space="0" w:color="auto"/>
        <w:right w:val="none" w:sz="0" w:space="0" w:color="auto"/>
      </w:divBdr>
    </w:div>
    <w:div w:id="886646370">
      <w:bodyDiv w:val="1"/>
      <w:marLeft w:val="0"/>
      <w:marRight w:val="0"/>
      <w:marTop w:val="0"/>
      <w:marBottom w:val="0"/>
      <w:divBdr>
        <w:top w:val="none" w:sz="0" w:space="0" w:color="auto"/>
        <w:left w:val="none" w:sz="0" w:space="0" w:color="auto"/>
        <w:bottom w:val="none" w:sz="0" w:space="0" w:color="auto"/>
        <w:right w:val="none" w:sz="0" w:space="0" w:color="auto"/>
      </w:divBdr>
    </w:div>
    <w:div w:id="937758095">
      <w:bodyDiv w:val="1"/>
      <w:marLeft w:val="0"/>
      <w:marRight w:val="0"/>
      <w:marTop w:val="0"/>
      <w:marBottom w:val="0"/>
      <w:divBdr>
        <w:top w:val="none" w:sz="0" w:space="0" w:color="auto"/>
        <w:left w:val="none" w:sz="0" w:space="0" w:color="auto"/>
        <w:bottom w:val="none" w:sz="0" w:space="0" w:color="auto"/>
        <w:right w:val="none" w:sz="0" w:space="0" w:color="auto"/>
      </w:divBdr>
    </w:div>
    <w:div w:id="968972394">
      <w:bodyDiv w:val="1"/>
      <w:marLeft w:val="0"/>
      <w:marRight w:val="0"/>
      <w:marTop w:val="0"/>
      <w:marBottom w:val="0"/>
      <w:divBdr>
        <w:top w:val="none" w:sz="0" w:space="0" w:color="auto"/>
        <w:left w:val="none" w:sz="0" w:space="0" w:color="auto"/>
        <w:bottom w:val="none" w:sz="0" w:space="0" w:color="auto"/>
        <w:right w:val="none" w:sz="0" w:space="0" w:color="auto"/>
      </w:divBdr>
    </w:div>
    <w:div w:id="973144476">
      <w:bodyDiv w:val="1"/>
      <w:marLeft w:val="0"/>
      <w:marRight w:val="0"/>
      <w:marTop w:val="0"/>
      <w:marBottom w:val="0"/>
      <w:divBdr>
        <w:top w:val="none" w:sz="0" w:space="0" w:color="auto"/>
        <w:left w:val="none" w:sz="0" w:space="0" w:color="auto"/>
        <w:bottom w:val="none" w:sz="0" w:space="0" w:color="auto"/>
        <w:right w:val="none" w:sz="0" w:space="0" w:color="auto"/>
      </w:divBdr>
    </w:div>
    <w:div w:id="1049450669">
      <w:bodyDiv w:val="1"/>
      <w:marLeft w:val="0"/>
      <w:marRight w:val="0"/>
      <w:marTop w:val="0"/>
      <w:marBottom w:val="0"/>
      <w:divBdr>
        <w:top w:val="none" w:sz="0" w:space="0" w:color="auto"/>
        <w:left w:val="none" w:sz="0" w:space="0" w:color="auto"/>
        <w:bottom w:val="none" w:sz="0" w:space="0" w:color="auto"/>
        <w:right w:val="none" w:sz="0" w:space="0" w:color="auto"/>
      </w:divBdr>
    </w:div>
    <w:div w:id="1068042316">
      <w:bodyDiv w:val="1"/>
      <w:marLeft w:val="0"/>
      <w:marRight w:val="0"/>
      <w:marTop w:val="0"/>
      <w:marBottom w:val="0"/>
      <w:divBdr>
        <w:top w:val="none" w:sz="0" w:space="0" w:color="auto"/>
        <w:left w:val="none" w:sz="0" w:space="0" w:color="auto"/>
        <w:bottom w:val="none" w:sz="0" w:space="0" w:color="auto"/>
        <w:right w:val="none" w:sz="0" w:space="0" w:color="auto"/>
      </w:divBdr>
    </w:div>
    <w:div w:id="1094279201">
      <w:bodyDiv w:val="1"/>
      <w:marLeft w:val="0"/>
      <w:marRight w:val="0"/>
      <w:marTop w:val="0"/>
      <w:marBottom w:val="0"/>
      <w:divBdr>
        <w:top w:val="none" w:sz="0" w:space="0" w:color="auto"/>
        <w:left w:val="none" w:sz="0" w:space="0" w:color="auto"/>
        <w:bottom w:val="none" w:sz="0" w:space="0" w:color="auto"/>
        <w:right w:val="none" w:sz="0" w:space="0" w:color="auto"/>
      </w:divBdr>
    </w:div>
    <w:div w:id="1098136685">
      <w:bodyDiv w:val="1"/>
      <w:marLeft w:val="0"/>
      <w:marRight w:val="0"/>
      <w:marTop w:val="0"/>
      <w:marBottom w:val="0"/>
      <w:divBdr>
        <w:top w:val="none" w:sz="0" w:space="0" w:color="auto"/>
        <w:left w:val="none" w:sz="0" w:space="0" w:color="auto"/>
        <w:bottom w:val="none" w:sz="0" w:space="0" w:color="auto"/>
        <w:right w:val="none" w:sz="0" w:space="0" w:color="auto"/>
      </w:divBdr>
    </w:div>
    <w:div w:id="1114403981">
      <w:bodyDiv w:val="1"/>
      <w:marLeft w:val="0"/>
      <w:marRight w:val="0"/>
      <w:marTop w:val="0"/>
      <w:marBottom w:val="0"/>
      <w:divBdr>
        <w:top w:val="none" w:sz="0" w:space="0" w:color="auto"/>
        <w:left w:val="none" w:sz="0" w:space="0" w:color="auto"/>
        <w:bottom w:val="none" w:sz="0" w:space="0" w:color="auto"/>
        <w:right w:val="none" w:sz="0" w:space="0" w:color="auto"/>
      </w:divBdr>
    </w:div>
    <w:div w:id="1161460863">
      <w:bodyDiv w:val="1"/>
      <w:marLeft w:val="0"/>
      <w:marRight w:val="0"/>
      <w:marTop w:val="0"/>
      <w:marBottom w:val="0"/>
      <w:divBdr>
        <w:top w:val="none" w:sz="0" w:space="0" w:color="auto"/>
        <w:left w:val="none" w:sz="0" w:space="0" w:color="auto"/>
        <w:bottom w:val="none" w:sz="0" w:space="0" w:color="auto"/>
        <w:right w:val="none" w:sz="0" w:space="0" w:color="auto"/>
      </w:divBdr>
    </w:div>
    <w:div w:id="1187407092">
      <w:bodyDiv w:val="1"/>
      <w:marLeft w:val="0"/>
      <w:marRight w:val="0"/>
      <w:marTop w:val="0"/>
      <w:marBottom w:val="0"/>
      <w:divBdr>
        <w:top w:val="none" w:sz="0" w:space="0" w:color="auto"/>
        <w:left w:val="none" w:sz="0" w:space="0" w:color="auto"/>
        <w:bottom w:val="none" w:sz="0" w:space="0" w:color="auto"/>
        <w:right w:val="none" w:sz="0" w:space="0" w:color="auto"/>
      </w:divBdr>
    </w:div>
    <w:div w:id="1277639020">
      <w:bodyDiv w:val="1"/>
      <w:marLeft w:val="0"/>
      <w:marRight w:val="0"/>
      <w:marTop w:val="0"/>
      <w:marBottom w:val="0"/>
      <w:divBdr>
        <w:top w:val="none" w:sz="0" w:space="0" w:color="auto"/>
        <w:left w:val="none" w:sz="0" w:space="0" w:color="auto"/>
        <w:bottom w:val="none" w:sz="0" w:space="0" w:color="auto"/>
        <w:right w:val="none" w:sz="0" w:space="0" w:color="auto"/>
      </w:divBdr>
    </w:div>
    <w:div w:id="1288851218">
      <w:bodyDiv w:val="1"/>
      <w:marLeft w:val="0"/>
      <w:marRight w:val="0"/>
      <w:marTop w:val="0"/>
      <w:marBottom w:val="0"/>
      <w:divBdr>
        <w:top w:val="none" w:sz="0" w:space="0" w:color="auto"/>
        <w:left w:val="none" w:sz="0" w:space="0" w:color="auto"/>
        <w:bottom w:val="none" w:sz="0" w:space="0" w:color="auto"/>
        <w:right w:val="none" w:sz="0" w:space="0" w:color="auto"/>
      </w:divBdr>
    </w:div>
    <w:div w:id="1313145274">
      <w:bodyDiv w:val="1"/>
      <w:marLeft w:val="0"/>
      <w:marRight w:val="0"/>
      <w:marTop w:val="0"/>
      <w:marBottom w:val="0"/>
      <w:divBdr>
        <w:top w:val="none" w:sz="0" w:space="0" w:color="auto"/>
        <w:left w:val="none" w:sz="0" w:space="0" w:color="auto"/>
        <w:bottom w:val="none" w:sz="0" w:space="0" w:color="auto"/>
        <w:right w:val="none" w:sz="0" w:space="0" w:color="auto"/>
      </w:divBdr>
    </w:div>
    <w:div w:id="1508670265">
      <w:bodyDiv w:val="1"/>
      <w:marLeft w:val="0"/>
      <w:marRight w:val="0"/>
      <w:marTop w:val="0"/>
      <w:marBottom w:val="0"/>
      <w:divBdr>
        <w:top w:val="none" w:sz="0" w:space="0" w:color="auto"/>
        <w:left w:val="none" w:sz="0" w:space="0" w:color="auto"/>
        <w:bottom w:val="none" w:sz="0" w:space="0" w:color="auto"/>
        <w:right w:val="none" w:sz="0" w:space="0" w:color="auto"/>
      </w:divBdr>
    </w:div>
    <w:div w:id="1525945107">
      <w:bodyDiv w:val="1"/>
      <w:marLeft w:val="0"/>
      <w:marRight w:val="0"/>
      <w:marTop w:val="0"/>
      <w:marBottom w:val="0"/>
      <w:divBdr>
        <w:top w:val="none" w:sz="0" w:space="0" w:color="auto"/>
        <w:left w:val="none" w:sz="0" w:space="0" w:color="auto"/>
        <w:bottom w:val="none" w:sz="0" w:space="0" w:color="auto"/>
        <w:right w:val="none" w:sz="0" w:space="0" w:color="auto"/>
      </w:divBdr>
    </w:div>
    <w:div w:id="1532718460">
      <w:bodyDiv w:val="1"/>
      <w:marLeft w:val="0"/>
      <w:marRight w:val="0"/>
      <w:marTop w:val="0"/>
      <w:marBottom w:val="0"/>
      <w:divBdr>
        <w:top w:val="none" w:sz="0" w:space="0" w:color="auto"/>
        <w:left w:val="none" w:sz="0" w:space="0" w:color="auto"/>
        <w:bottom w:val="none" w:sz="0" w:space="0" w:color="auto"/>
        <w:right w:val="none" w:sz="0" w:space="0" w:color="auto"/>
      </w:divBdr>
    </w:div>
    <w:div w:id="1580673318">
      <w:bodyDiv w:val="1"/>
      <w:marLeft w:val="0"/>
      <w:marRight w:val="0"/>
      <w:marTop w:val="0"/>
      <w:marBottom w:val="0"/>
      <w:divBdr>
        <w:top w:val="none" w:sz="0" w:space="0" w:color="auto"/>
        <w:left w:val="none" w:sz="0" w:space="0" w:color="auto"/>
        <w:bottom w:val="none" w:sz="0" w:space="0" w:color="auto"/>
        <w:right w:val="none" w:sz="0" w:space="0" w:color="auto"/>
      </w:divBdr>
    </w:div>
    <w:div w:id="1585410526">
      <w:bodyDiv w:val="1"/>
      <w:marLeft w:val="0"/>
      <w:marRight w:val="0"/>
      <w:marTop w:val="0"/>
      <w:marBottom w:val="0"/>
      <w:divBdr>
        <w:top w:val="none" w:sz="0" w:space="0" w:color="auto"/>
        <w:left w:val="none" w:sz="0" w:space="0" w:color="auto"/>
        <w:bottom w:val="none" w:sz="0" w:space="0" w:color="auto"/>
        <w:right w:val="none" w:sz="0" w:space="0" w:color="auto"/>
      </w:divBdr>
    </w:div>
    <w:div w:id="1638337889">
      <w:bodyDiv w:val="1"/>
      <w:marLeft w:val="0"/>
      <w:marRight w:val="0"/>
      <w:marTop w:val="0"/>
      <w:marBottom w:val="0"/>
      <w:divBdr>
        <w:top w:val="none" w:sz="0" w:space="0" w:color="auto"/>
        <w:left w:val="none" w:sz="0" w:space="0" w:color="auto"/>
        <w:bottom w:val="none" w:sz="0" w:space="0" w:color="auto"/>
        <w:right w:val="none" w:sz="0" w:space="0" w:color="auto"/>
      </w:divBdr>
    </w:div>
    <w:div w:id="1697803246">
      <w:bodyDiv w:val="1"/>
      <w:marLeft w:val="0"/>
      <w:marRight w:val="0"/>
      <w:marTop w:val="0"/>
      <w:marBottom w:val="0"/>
      <w:divBdr>
        <w:top w:val="none" w:sz="0" w:space="0" w:color="auto"/>
        <w:left w:val="none" w:sz="0" w:space="0" w:color="auto"/>
        <w:bottom w:val="none" w:sz="0" w:space="0" w:color="auto"/>
        <w:right w:val="none" w:sz="0" w:space="0" w:color="auto"/>
      </w:divBdr>
    </w:div>
    <w:div w:id="1796171588">
      <w:bodyDiv w:val="1"/>
      <w:marLeft w:val="0"/>
      <w:marRight w:val="0"/>
      <w:marTop w:val="0"/>
      <w:marBottom w:val="0"/>
      <w:divBdr>
        <w:top w:val="none" w:sz="0" w:space="0" w:color="auto"/>
        <w:left w:val="none" w:sz="0" w:space="0" w:color="auto"/>
        <w:bottom w:val="none" w:sz="0" w:space="0" w:color="auto"/>
        <w:right w:val="none" w:sz="0" w:space="0" w:color="auto"/>
      </w:divBdr>
    </w:div>
    <w:div w:id="1813671484">
      <w:bodyDiv w:val="1"/>
      <w:marLeft w:val="0"/>
      <w:marRight w:val="0"/>
      <w:marTop w:val="0"/>
      <w:marBottom w:val="0"/>
      <w:divBdr>
        <w:top w:val="none" w:sz="0" w:space="0" w:color="auto"/>
        <w:left w:val="none" w:sz="0" w:space="0" w:color="auto"/>
        <w:bottom w:val="none" w:sz="0" w:space="0" w:color="auto"/>
        <w:right w:val="none" w:sz="0" w:space="0" w:color="auto"/>
      </w:divBdr>
    </w:div>
    <w:div w:id="1832524675">
      <w:bodyDiv w:val="1"/>
      <w:marLeft w:val="0"/>
      <w:marRight w:val="0"/>
      <w:marTop w:val="0"/>
      <w:marBottom w:val="0"/>
      <w:divBdr>
        <w:top w:val="none" w:sz="0" w:space="0" w:color="auto"/>
        <w:left w:val="none" w:sz="0" w:space="0" w:color="auto"/>
        <w:bottom w:val="none" w:sz="0" w:space="0" w:color="auto"/>
        <w:right w:val="none" w:sz="0" w:space="0" w:color="auto"/>
      </w:divBdr>
    </w:div>
    <w:div w:id="1841314355">
      <w:bodyDiv w:val="1"/>
      <w:marLeft w:val="0"/>
      <w:marRight w:val="0"/>
      <w:marTop w:val="0"/>
      <w:marBottom w:val="0"/>
      <w:divBdr>
        <w:top w:val="none" w:sz="0" w:space="0" w:color="auto"/>
        <w:left w:val="none" w:sz="0" w:space="0" w:color="auto"/>
        <w:bottom w:val="none" w:sz="0" w:space="0" w:color="auto"/>
        <w:right w:val="none" w:sz="0" w:space="0" w:color="auto"/>
      </w:divBdr>
    </w:div>
    <w:div w:id="1867981106">
      <w:bodyDiv w:val="1"/>
      <w:marLeft w:val="0"/>
      <w:marRight w:val="0"/>
      <w:marTop w:val="0"/>
      <w:marBottom w:val="0"/>
      <w:divBdr>
        <w:top w:val="none" w:sz="0" w:space="0" w:color="auto"/>
        <w:left w:val="none" w:sz="0" w:space="0" w:color="auto"/>
        <w:bottom w:val="none" w:sz="0" w:space="0" w:color="auto"/>
        <w:right w:val="none" w:sz="0" w:space="0" w:color="auto"/>
      </w:divBdr>
    </w:div>
    <w:div w:id="1906332767">
      <w:bodyDiv w:val="1"/>
      <w:marLeft w:val="0"/>
      <w:marRight w:val="0"/>
      <w:marTop w:val="0"/>
      <w:marBottom w:val="0"/>
      <w:divBdr>
        <w:top w:val="none" w:sz="0" w:space="0" w:color="auto"/>
        <w:left w:val="none" w:sz="0" w:space="0" w:color="auto"/>
        <w:bottom w:val="none" w:sz="0" w:space="0" w:color="auto"/>
        <w:right w:val="none" w:sz="0" w:space="0" w:color="auto"/>
      </w:divBdr>
    </w:div>
    <w:div w:id="1926723609">
      <w:bodyDiv w:val="1"/>
      <w:marLeft w:val="0"/>
      <w:marRight w:val="0"/>
      <w:marTop w:val="0"/>
      <w:marBottom w:val="0"/>
      <w:divBdr>
        <w:top w:val="none" w:sz="0" w:space="0" w:color="auto"/>
        <w:left w:val="none" w:sz="0" w:space="0" w:color="auto"/>
        <w:bottom w:val="none" w:sz="0" w:space="0" w:color="auto"/>
        <w:right w:val="none" w:sz="0" w:space="0" w:color="auto"/>
      </w:divBdr>
    </w:div>
    <w:div w:id="1939485292">
      <w:bodyDiv w:val="1"/>
      <w:marLeft w:val="0"/>
      <w:marRight w:val="0"/>
      <w:marTop w:val="0"/>
      <w:marBottom w:val="0"/>
      <w:divBdr>
        <w:top w:val="none" w:sz="0" w:space="0" w:color="auto"/>
        <w:left w:val="none" w:sz="0" w:space="0" w:color="auto"/>
        <w:bottom w:val="none" w:sz="0" w:space="0" w:color="auto"/>
        <w:right w:val="none" w:sz="0" w:space="0" w:color="auto"/>
      </w:divBdr>
    </w:div>
    <w:div w:id="1973168792">
      <w:bodyDiv w:val="1"/>
      <w:marLeft w:val="0"/>
      <w:marRight w:val="0"/>
      <w:marTop w:val="0"/>
      <w:marBottom w:val="0"/>
      <w:divBdr>
        <w:top w:val="none" w:sz="0" w:space="0" w:color="auto"/>
        <w:left w:val="none" w:sz="0" w:space="0" w:color="auto"/>
        <w:bottom w:val="none" w:sz="0" w:space="0" w:color="auto"/>
        <w:right w:val="none" w:sz="0" w:space="0" w:color="auto"/>
      </w:divBdr>
    </w:div>
    <w:div w:id="1987005249">
      <w:bodyDiv w:val="1"/>
      <w:marLeft w:val="0"/>
      <w:marRight w:val="0"/>
      <w:marTop w:val="0"/>
      <w:marBottom w:val="0"/>
      <w:divBdr>
        <w:top w:val="none" w:sz="0" w:space="0" w:color="auto"/>
        <w:left w:val="none" w:sz="0" w:space="0" w:color="auto"/>
        <w:bottom w:val="none" w:sz="0" w:space="0" w:color="auto"/>
        <w:right w:val="none" w:sz="0" w:space="0" w:color="auto"/>
      </w:divBdr>
    </w:div>
    <w:div w:id="2003771525">
      <w:bodyDiv w:val="1"/>
      <w:marLeft w:val="0"/>
      <w:marRight w:val="0"/>
      <w:marTop w:val="0"/>
      <w:marBottom w:val="0"/>
      <w:divBdr>
        <w:top w:val="none" w:sz="0" w:space="0" w:color="auto"/>
        <w:left w:val="none" w:sz="0" w:space="0" w:color="auto"/>
        <w:bottom w:val="none" w:sz="0" w:space="0" w:color="auto"/>
        <w:right w:val="none" w:sz="0" w:space="0" w:color="auto"/>
      </w:divBdr>
    </w:div>
    <w:div w:id="2039967500">
      <w:bodyDiv w:val="1"/>
      <w:marLeft w:val="0"/>
      <w:marRight w:val="0"/>
      <w:marTop w:val="0"/>
      <w:marBottom w:val="0"/>
      <w:divBdr>
        <w:top w:val="none" w:sz="0" w:space="0" w:color="auto"/>
        <w:left w:val="none" w:sz="0" w:space="0" w:color="auto"/>
        <w:bottom w:val="none" w:sz="0" w:space="0" w:color="auto"/>
        <w:right w:val="none" w:sz="0" w:space="0" w:color="auto"/>
      </w:divBdr>
    </w:div>
    <w:div w:id="2050643943">
      <w:bodyDiv w:val="1"/>
      <w:marLeft w:val="0"/>
      <w:marRight w:val="0"/>
      <w:marTop w:val="0"/>
      <w:marBottom w:val="0"/>
      <w:divBdr>
        <w:top w:val="none" w:sz="0" w:space="0" w:color="auto"/>
        <w:left w:val="none" w:sz="0" w:space="0" w:color="auto"/>
        <w:bottom w:val="none" w:sz="0" w:space="0" w:color="auto"/>
        <w:right w:val="none" w:sz="0" w:space="0" w:color="auto"/>
      </w:divBdr>
    </w:div>
    <w:div w:id="211913072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scholar.lib.vt.edu/ejournals/CTER/v30n2/whittington.html" TargetMode="External"/><Relationship Id="rId13" Type="http://schemas.openxmlformats.org/officeDocument/2006/relationships/hyperlink" Target="https://www.researchgate.net/publication/245970917" TargetMode="External"/><Relationship Id="rId18" Type="http://schemas.openxmlformats.org/officeDocument/2006/relationships/hyperlink" Target="https://web-b-ebscohost-com.ezproxy3.library.arizona.edu/ehost/ebookviewer/ebook?sid=a5ac0a41-a631-4f64-ad78-b18e71c1d60f%40pdc-v-sessmgr06&amp;vid=0&amp;format=EB"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ncsl.org/research/education/higher-education-responses-to-coronavirus-covid-19.aspx" TargetMode="External"/><Relationship Id="rId7" Type="http://schemas.openxmlformats.org/officeDocument/2006/relationships/endnotes" Target="endnotes.xml"/><Relationship Id="rId12" Type="http://schemas.openxmlformats.org/officeDocument/2006/relationships/hyperlink" Target="https://ebookcentral.proquest.com.ezproxy4.library.arizona.edu" TargetMode="External"/><Relationship Id="rId17" Type="http://schemas.openxmlformats.org/officeDocument/2006/relationships/hyperlink" Target="https://doi:10.1007/s11165-010-9168-3"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cnbc.com/2020/03/26/how-coronavirus-changed-college-for-over-14-million-students.html" TargetMode="External"/><Relationship Id="rId20" Type="http://schemas.openxmlformats.org/officeDocument/2006/relationships/hyperlink" Target="https://doi.org/10.5032/jae.2017.0219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ackinac.org/14475"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chronicle.com/article/covid-19-has-forced-higher-ed-to-pivot-to-online-learning-here-are-7-takeaways-so-far/?cid=gen_sign_in" TargetMode="External"/><Relationship Id="rId23" Type="http://schemas.openxmlformats.org/officeDocument/2006/relationships/hyperlink" Target="https://www.scholar.lib.vt.edu/ejournals/CTER/v30n2/pdf/whittington.pdf" TargetMode="External"/><Relationship Id="rId10" Type="http://schemas.openxmlformats.org/officeDocument/2006/relationships/hyperlink" Target="https://doi:10.1177/0022487108324554" TargetMode="External"/><Relationship Id="rId19" Type="http://schemas.openxmlformats.org/officeDocument/2006/relationships/hyperlink" Target="https://doi:10.21061/jcte.v25i1.469" TargetMode="External"/><Relationship Id="rId4" Type="http://schemas.openxmlformats.org/officeDocument/2006/relationships/settings" Target="settings.xml"/><Relationship Id="rId9" Type="http://schemas.openxmlformats.org/officeDocument/2006/relationships/hyperlink" Target="https://scholar.lib.vt.edu/ejournals/CTER/v30n2/whittington.html" TargetMode="External"/><Relationship Id="rId14" Type="http://schemas.openxmlformats.org/officeDocument/2006/relationships/hyperlink" Target="https://www.brynmawr.edu/blendedlearning/asynchronous-vs-synchronous-learning-quick-overview" TargetMode="External"/><Relationship Id="rId22" Type="http://schemas.openxmlformats.org/officeDocument/2006/relationships/hyperlink" Target="https://doi.org/10.1177%2F10778004103831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38EFBD-CF38-D54D-B6BB-5A0FB264BA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7</Pages>
  <Words>3525</Words>
  <Characters>20095</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Rice, Amber Michelle - (amrice)</dc:creator>
  <cp:lastModifiedBy>Rice, Amber Michelle - (amrice)</cp:lastModifiedBy>
  <cp:revision>5</cp:revision>
  <cp:lastPrinted>2022-06-02T01:03:00Z</cp:lastPrinted>
  <dcterms:created xsi:type="dcterms:W3CDTF">2022-08-22T23:04:00Z</dcterms:created>
  <dcterms:modified xsi:type="dcterms:W3CDTF">2022-08-22T23:10:00Z</dcterms:modified>
</cp:coreProperties>
</file>