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109B3"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color w:val="000000"/>
        </w:rPr>
        <w:t>Using an Interrupted Case Study to Engage Critical Thinking Style and Enhance Content Knowledge of Undergraduate Agricultur</w:t>
      </w:r>
      <w:r w:rsidRPr="00413366">
        <w:rPr>
          <w:rFonts w:ascii="Times New Roman" w:eastAsia="Times New Roman" w:hAnsi="Times New Roman" w:cs="Times New Roman"/>
          <w:b/>
        </w:rPr>
        <w:t xml:space="preserve">e </w:t>
      </w:r>
      <w:r w:rsidRPr="00413366">
        <w:rPr>
          <w:rFonts w:ascii="Times New Roman" w:eastAsia="Times New Roman" w:hAnsi="Times New Roman" w:cs="Times New Roman"/>
          <w:b/>
          <w:color w:val="000000"/>
        </w:rPr>
        <w:t>Students</w:t>
      </w:r>
    </w:p>
    <w:p w14:paraId="07D109B4" w14:textId="77777777" w:rsidR="006C06C5" w:rsidRPr="00413366" w:rsidRDefault="006C06C5">
      <w:pPr>
        <w:rPr>
          <w:rFonts w:ascii="Times New Roman" w:eastAsia="Times New Roman" w:hAnsi="Times New Roman" w:cs="Times New Roman"/>
        </w:rPr>
      </w:pPr>
    </w:p>
    <w:p w14:paraId="07D109B5"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t>Introduction/Theoretical Framework</w:t>
      </w:r>
    </w:p>
    <w:p w14:paraId="07D109B6" w14:textId="77777777" w:rsidR="006C06C5" w:rsidRPr="00413366" w:rsidRDefault="006C06C5">
      <w:pPr>
        <w:rPr>
          <w:rFonts w:ascii="Times New Roman" w:eastAsia="Times New Roman" w:hAnsi="Times New Roman" w:cs="Times New Roman"/>
          <w:color w:val="FF0000"/>
        </w:rPr>
      </w:pPr>
    </w:p>
    <w:p w14:paraId="07D109B7" w14:textId="77777777" w:rsidR="006C06C5" w:rsidRPr="00413366" w:rsidRDefault="00000000">
      <w:pPr>
        <w:ind w:firstLine="720"/>
        <w:rPr>
          <w:rFonts w:ascii="Times New Roman" w:eastAsia="Times New Roman" w:hAnsi="Times New Roman" w:cs="Times New Roman"/>
          <w:color w:val="000000"/>
        </w:rPr>
      </w:pPr>
      <w:r w:rsidRPr="00413366">
        <w:rPr>
          <w:rFonts w:ascii="Times New Roman" w:eastAsia="Times New Roman" w:hAnsi="Times New Roman" w:cs="Times New Roman"/>
          <w:color w:val="000000"/>
        </w:rPr>
        <w:t xml:space="preserve">Undergraduate students must be prepared to tackle complex agriculture, food, and natural resource issues as they enter the workforce (Akins et al., 2019), and training college students to engage in critical thinking to solve problems related to food and natural resources is essential (Quinn et al., 2009). Engaging critical thinking in the classroom promotes information discovery and higher-order thinking about complex issues (Snyder &amp; Snyder, </w:t>
      </w:r>
      <w:r w:rsidRPr="00413366">
        <w:rPr>
          <w:rFonts w:ascii="Times New Roman" w:eastAsia="Times New Roman" w:hAnsi="Times New Roman" w:cs="Times New Roman"/>
        </w:rPr>
        <w:t>2008</w:t>
      </w:r>
      <w:r w:rsidRPr="00413366">
        <w:rPr>
          <w:rFonts w:ascii="Times New Roman" w:eastAsia="Times New Roman" w:hAnsi="Times New Roman" w:cs="Times New Roman"/>
          <w:color w:val="000000"/>
        </w:rPr>
        <w:t xml:space="preserve">), and the use of interrupted case studies has been successfully linked to engaging students in critical thinking (Herreid, </w:t>
      </w:r>
      <w:r w:rsidRPr="00413366">
        <w:rPr>
          <w:rFonts w:ascii="Times New Roman" w:eastAsia="Times New Roman" w:hAnsi="Times New Roman" w:cs="Times New Roman"/>
        </w:rPr>
        <w:t>2004</w:t>
      </w:r>
      <w:r w:rsidRPr="00413366">
        <w:rPr>
          <w:rFonts w:ascii="Times New Roman" w:eastAsia="Times New Roman" w:hAnsi="Times New Roman" w:cs="Times New Roman"/>
          <w:color w:val="000000"/>
        </w:rPr>
        <w:t>; White et al., 2009). Case studies promote experimental learning, problem-solving, decision making, and active rather than passive learning (</w:t>
      </w:r>
      <w:proofErr w:type="spellStart"/>
      <w:r w:rsidRPr="00413366">
        <w:rPr>
          <w:rFonts w:ascii="Times New Roman" w:eastAsia="Times New Roman" w:hAnsi="Times New Roman" w:cs="Times New Roman"/>
          <w:color w:val="000000"/>
        </w:rPr>
        <w:t>Popil</w:t>
      </w:r>
      <w:proofErr w:type="spellEnd"/>
      <w:r w:rsidRPr="00413366">
        <w:rPr>
          <w:rFonts w:ascii="Times New Roman" w:eastAsia="Times New Roman" w:hAnsi="Times New Roman" w:cs="Times New Roman"/>
          <w:color w:val="000000"/>
        </w:rPr>
        <w:t xml:space="preserve">, 2011). In interrupted case studies, the teacher builds </w:t>
      </w:r>
      <w:proofErr w:type="gramStart"/>
      <w:r w:rsidRPr="00413366">
        <w:rPr>
          <w:rFonts w:ascii="Times New Roman" w:eastAsia="Times New Roman" w:hAnsi="Times New Roman" w:cs="Times New Roman"/>
          <w:color w:val="000000"/>
        </w:rPr>
        <w:t>pauses</w:t>
      </w:r>
      <w:proofErr w:type="gramEnd"/>
      <w:r w:rsidRPr="00413366">
        <w:rPr>
          <w:rFonts w:ascii="Times New Roman" w:eastAsia="Times New Roman" w:hAnsi="Times New Roman" w:cs="Times New Roman"/>
          <w:color w:val="000000"/>
        </w:rPr>
        <w:t xml:space="preserve"> into the case to prompt student questions, discussion, and thinking before moving to the next portion of the case study (White et al., 2009). </w:t>
      </w:r>
    </w:p>
    <w:p w14:paraId="07D109B8" w14:textId="77777777" w:rsidR="006C06C5" w:rsidRPr="00413366" w:rsidRDefault="006C06C5">
      <w:pPr>
        <w:ind w:firstLine="720"/>
        <w:rPr>
          <w:rFonts w:ascii="Times New Roman" w:eastAsia="Times New Roman" w:hAnsi="Times New Roman" w:cs="Times New Roman"/>
          <w:color w:val="000000"/>
        </w:rPr>
      </w:pPr>
    </w:p>
    <w:p w14:paraId="07D109B9" w14:textId="397D3B8C" w:rsidR="006C06C5" w:rsidRPr="00413366" w:rsidRDefault="00000000">
      <w:pPr>
        <w:ind w:firstLine="720"/>
        <w:rPr>
          <w:rFonts w:ascii="Times New Roman" w:eastAsia="Times New Roman" w:hAnsi="Times New Roman" w:cs="Times New Roman"/>
          <w:color w:val="FF0000"/>
        </w:rPr>
      </w:pPr>
      <w:r w:rsidRPr="00413366">
        <w:rPr>
          <w:rFonts w:ascii="Times New Roman" w:eastAsia="Times New Roman" w:hAnsi="Times New Roman" w:cs="Times New Roman"/>
        </w:rPr>
        <w:t xml:space="preserve">In many regions and studies, food access barriers are attributed to income and class (Block et al., 2012; </w:t>
      </w:r>
      <w:r w:rsidRPr="00413366">
        <w:rPr>
          <w:rFonts w:ascii="Times New Roman" w:eastAsia="Times New Roman" w:hAnsi="Times New Roman" w:cs="Times New Roman"/>
          <w:highlight w:val="white"/>
        </w:rPr>
        <w:t>Breyer &amp; Voss-</w:t>
      </w:r>
      <w:proofErr w:type="spellStart"/>
      <w:r w:rsidRPr="00413366">
        <w:rPr>
          <w:rFonts w:ascii="Times New Roman" w:eastAsia="Times New Roman" w:hAnsi="Times New Roman" w:cs="Times New Roman"/>
          <w:highlight w:val="white"/>
        </w:rPr>
        <w:t>Andreae</w:t>
      </w:r>
      <w:proofErr w:type="spellEnd"/>
      <w:r w:rsidRPr="00413366">
        <w:rPr>
          <w:rFonts w:ascii="Times New Roman" w:eastAsia="Times New Roman" w:hAnsi="Times New Roman" w:cs="Times New Roman"/>
          <w:highlight w:val="white"/>
        </w:rPr>
        <w:t>, 2013).</w:t>
      </w:r>
      <w:r w:rsidRPr="00413366">
        <w:rPr>
          <w:rFonts w:ascii="Times New Roman" w:eastAsia="Times New Roman" w:hAnsi="Times New Roman" w:cs="Times New Roman"/>
        </w:rPr>
        <w:t xml:space="preserve"> Utah State University</w:t>
      </w:r>
      <w:r w:rsidRPr="00413366">
        <w:rPr>
          <w:rFonts w:ascii="Times New Roman" w:eastAsia="Times New Roman" w:hAnsi="Times New Roman" w:cs="Times New Roman"/>
          <w:color w:val="000000"/>
        </w:rPr>
        <w:t xml:space="preserve"> has a successful program in eliminating barriers of access to local farmers markets</w:t>
      </w:r>
      <w:r w:rsidRPr="00413366">
        <w:rPr>
          <w:rFonts w:ascii="Times New Roman" w:eastAsia="Times New Roman" w:hAnsi="Times New Roman" w:cs="Times New Roman"/>
        </w:rPr>
        <w:t xml:space="preserve"> and</w:t>
      </w:r>
      <w:r w:rsidRPr="00413366">
        <w:rPr>
          <w:rFonts w:ascii="Times New Roman" w:eastAsia="Times New Roman" w:hAnsi="Times New Roman" w:cs="Times New Roman"/>
          <w:color w:val="000000"/>
        </w:rPr>
        <w:t xml:space="preserve"> farm stands among Supplemental Nutrition Assistance Program (SNAP)-eligible households. The </w:t>
      </w:r>
      <w:r w:rsidRPr="00413366">
        <w:rPr>
          <w:rFonts w:ascii="Times New Roman" w:eastAsia="Times New Roman" w:hAnsi="Times New Roman" w:cs="Times New Roman"/>
        </w:rPr>
        <w:t xml:space="preserve">Utah State University Extension SNAP-Education program, Create Better Health, implemented a three-year community-based social marketing campaign targeting SNAP-eligible households. Campaign successes included social media ads reaching more than 135,000 people, more than one million bus riders exposed to bus ads, and more than 5,000 mailers sent to SNAP-eligible households. </w:t>
      </w:r>
    </w:p>
    <w:p w14:paraId="07D109BA" w14:textId="77777777" w:rsidR="006C06C5" w:rsidRPr="00413366" w:rsidRDefault="006C06C5">
      <w:pPr>
        <w:rPr>
          <w:rFonts w:ascii="Times New Roman" w:eastAsia="Times New Roman" w:hAnsi="Times New Roman" w:cs="Times New Roman"/>
          <w:color w:val="FF0000"/>
        </w:rPr>
      </w:pPr>
    </w:p>
    <w:p w14:paraId="07D109BB" w14:textId="77777777" w:rsidR="006C06C5" w:rsidRPr="00413366" w:rsidRDefault="00000000">
      <w:pPr>
        <w:ind w:firstLine="720"/>
        <w:rPr>
          <w:rFonts w:ascii="Times New Roman" w:eastAsia="Times New Roman" w:hAnsi="Times New Roman" w:cs="Times New Roman"/>
        </w:rPr>
      </w:pPr>
      <w:r w:rsidRPr="00413366">
        <w:rPr>
          <w:rFonts w:ascii="Times New Roman" w:eastAsia="Times New Roman" w:hAnsi="Times New Roman" w:cs="Times New Roman"/>
          <w:color w:val="000000"/>
        </w:rPr>
        <w:t>The University of Florida’s Critical Thinking Inventory (UFCTI)</w:t>
      </w:r>
      <w:r w:rsidRPr="00413366">
        <w:rPr>
          <w:rFonts w:ascii="Times New Roman" w:eastAsia="Times New Roman" w:hAnsi="Times New Roman" w:cs="Times New Roman"/>
        </w:rPr>
        <w:t xml:space="preserve"> </w:t>
      </w:r>
      <w:r w:rsidRPr="00413366">
        <w:rPr>
          <w:rFonts w:ascii="Times New Roman" w:eastAsia="Times New Roman" w:hAnsi="Times New Roman" w:cs="Times New Roman"/>
          <w:color w:val="000000"/>
        </w:rPr>
        <w:t xml:space="preserve">is a 20-question instrument that categorizes respondents into one of two styles of critical thinkers: engagers or seekers. </w:t>
      </w:r>
      <w:r w:rsidRPr="00413366">
        <w:rPr>
          <w:rFonts w:ascii="Times New Roman" w:eastAsia="Times New Roman" w:hAnsi="Times New Roman" w:cs="Times New Roman"/>
        </w:rPr>
        <w:t xml:space="preserve">The two critical thinking styles are measured on a </w:t>
      </w:r>
      <w:proofErr w:type="gramStart"/>
      <w:r w:rsidRPr="00413366">
        <w:rPr>
          <w:rFonts w:ascii="Times New Roman" w:eastAsia="Times New Roman" w:hAnsi="Times New Roman" w:cs="Times New Roman"/>
        </w:rPr>
        <w:t>continuum, and</w:t>
      </w:r>
      <w:proofErr w:type="gramEnd"/>
      <w:r w:rsidRPr="00413366">
        <w:rPr>
          <w:rFonts w:ascii="Times New Roman" w:eastAsia="Times New Roman" w:hAnsi="Times New Roman" w:cs="Times New Roman"/>
        </w:rPr>
        <w:t xml:space="preserve"> discovering respondents’ critical thinking style helps explain how they process, or critically think about, information (</w:t>
      </w: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xml:space="preserve"> &amp; Irani, 2011). The UFCTI is a versatile tool and has been used among Extension agents (</w:t>
      </w: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2016), Extension volunteers (Gay et al., 2016) and in the classroom (Akins et al., 2019). Using the UFCTI and Utah local food case study, the authors aimed to guide students through an exercise in critical thinking style and problem solving.</w:t>
      </w:r>
    </w:p>
    <w:p w14:paraId="07D109BC" w14:textId="77777777" w:rsidR="006C06C5" w:rsidRPr="00413366" w:rsidRDefault="006C06C5">
      <w:pPr>
        <w:rPr>
          <w:rFonts w:ascii="Times New Roman" w:eastAsia="Times New Roman" w:hAnsi="Times New Roman" w:cs="Times New Roman"/>
        </w:rPr>
      </w:pPr>
    </w:p>
    <w:p w14:paraId="07D109BD"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t>Purpose and Objectives</w:t>
      </w:r>
    </w:p>
    <w:p w14:paraId="07D109BE" w14:textId="77777777" w:rsidR="006C06C5" w:rsidRPr="00413366" w:rsidRDefault="006C06C5">
      <w:pPr>
        <w:rPr>
          <w:rFonts w:ascii="Times New Roman" w:eastAsia="Times New Roman" w:hAnsi="Times New Roman" w:cs="Times New Roman"/>
        </w:rPr>
      </w:pPr>
    </w:p>
    <w:p w14:paraId="07D109BF" w14:textId="77777777" w:rsidR="006C06C5" w:rsidRPr="00413366" w:rsidRDefault="00000000">
      <w:pPr>
        <w:ind w:firstLine="720"/>
        <w:rPr>
          <w:rFonts w:ascii="Times New Roman" w:eastAsia="Times New Roman" w:hAnsi="Times New Roman" w:cs="Times New Roman"/>
        </w:rPr>
      </w:pPr>
      <w:r w:rsidRPr="00413366">
        <w:rPr>
          <w:rFonts w:ascii="Times New Roman" w:eastAsia="Times New Roman" w:hAnsi="Times New Roman" w:cs="Times New Roman"/>
        </w:rPr>
        <w:t>The purpose of this study was to determine the effectiveness of a two-day seminar series on critical thinking style and community-based social marketing among students taking agricultural communications courses at Kansas State University and Utah State University, as communications classes in agriculture can be a beneficial atmosphere to engage critical thinking style (</w:t>
      </w: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xml:space="preserve"> et al., 2018). Research objectives were to (1) describe the change in respondents’ self-perceived level of knowledge about their own critical thinking style and key concepts in the case study; (2) describe the change in respondents’ thinking about agricultural communications, marketing tools, and influencing behavior change; and (3) describe what respondents indicated they learned about critical thinking style inside and outside of the classroom. </w:t>
      </w:r>
    </w:p>
    <w:p w14:paraId="07D109C0" w14:textId="77777777" w:rsidR="006C06C5" w:rsidRPr="00413366" w:rsidRDefault="006C06C5">
      <w:pPr>
        <w:ind w:firstLine="720"/>
        <w:rPr>
          <w:rFonts w:ascii="Times New Roman" w:eastAsia="Times New Roman" w:hAnsi="Times New Roman" w:cs="Times New Roman"/>
        </w:rPr>
      </w:pPr>
    </w:p>
    <w:p w14:paraId="07D109C1"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lastRenderedPageBreak/>
        <w:t>Methods/Procedures</w:t>
      </w:r>
    </w:p>
    <w:p w14:paraId="07D109C2" w14:textId="77777777" w:rsidR="006C06C5" w:rsidRPr="00413366" w:rsidRDefault="006C06C5">
      <w:pPr>
        <w:jc w:val="center"/>
        <w:rPr>
          <w:rFonts w:ascii="Times New Roman" w:eastAsia="Times New Roman" w:hAnsi="Times New Roman" w:cs="Times New Roman"/>
          <w:b/>
        </w:rPr>
      </w:pPr>
    </w:p>
    <w:p w14:paraId="07D109C3" w14:textId="5AE72050" w:rsidR="006C06C5" w:rsidRPr="00413366" w:rsidRDefault="00000000">
      <w:pPr>
        <w:ind w:firstLine="720"/>
        <w:rPr>
          <w:rFonts w:ascii="Times New Roman" w:eastAsia="Times New Roman" w:hAnsi="Times New Roman" w:cs="Times New Roman"/>
          <w:color w:val="000000"/>
        </w:rPr>
      </w:pPr>
      <w:r w:rsidRPr="00413366">
        <w:rPr>
          <w:rFonts w:ascii="Times New Roman" w:eastAsia="Times New Roman" w:hAnsi="Times New Roman" w:cs="Times New Roman"/>
          <w:color w:val="000000"/>
        </w:rPr>
        <w:t>In a seminar series over two 50-minute class periods, we administered the UFCTI and an interrupted case study to four college agricultural communication</w:t>
      </w:r>
      <w:r w:rsidR="00D1123C">
        <w:rPr>
          <w:rFonts w:ascii="Times New Roman" w:eastAsia="Times New Roman" w:hAnsi="Times New Roman" w:cs="Times New Roman"/>
          <w:color w:val="000000"/>
        </w:rPr>
        <w:t>s</w:t>
      </w:r>
      <w:r w:rsidRPr="00413366">
        <w:rPr>
          <w:rFonts w:ascii="Times New Roman" w:eastAsia="Times New Roman" w:hAnsi="Times New Roman" w:cs="Times New Roman"/>
          <w:color w:val="000000"/>
        </w:rPr>
        <w:t xml:space="preserve"> courses at </w:t>
      </w:r>
      <w:r w:rsidRPr="00413366">
        <w:rPr>
          <w:rFonts w:ascii="Times New Roman" w:eastAsia="Times New Roman" w:hAnsi="Times New Roman" w:cs="Times New Roman"/>
        </w:rPr>
        <w:t>Kansas State University and Utah State University</w:t>
      </w:r>
      <w:r w:rsidRPr="00413366">
        <w:rPr>
          <w:rFonts w:ascii="Times New Roman" w:eastAsia="Times New Roman" w:hAnsi="Times New Roman" w:cs="Times New Roman"/>
          <w:color w:val="000000"/>
        </w:rPr>
        <w:t xml:space="preserve">. Students in the four courses </w:t>
      </w:r>
      <w:r w:rsidRPr="00413366">
        <w:rPr>
          <w:rFonts w:ascii="Times New Roman" w:eastAsia="Times New Roman" w:hAnsi="Times New Roman" w:cs="Times New Roman"/>
        </w:rPr>
        <w:t>(N = 143)</w:t>
      </w:r>
      <w:r w:rsidRPr="00413366">
        <w:rPr>
          <w:rFonts w:ascii="Times New Roman" w:eastAsia="Times New Roman" w:hAnsi="Times New Roman" w:cs="Times New Roman"/>
          <w:color w:val="000000"/>
        </w:rPr>
        <w:t xml:space="preserve"> were from a variety of majors, 99% of which were agriculture majors. During the first day, we administered the UFCTI to students</w:t>
      </w:r>
      <w:r w:rsidR="002310D9">
        <w:rPr>
          <w:rFonts w:ascii="Times New Roman" w:eastAsia="Times New Roman" w:hAnsi="Times New Roman" w:cs="Times New Roman"/>
        </w:rPr>
        <w:t>, which</w:t>
      </w:r>
      <w:r w:rsidRPr="00413366">
        <w:rPr>
          <w:rFonts w:ascii="Times New Roman" w:eastAsia="Times New Roman" w:hAnsi="Times New Roman" w:cs="Times New Roman"/>
        </w:rPr>
        <w:t xml:space="preserve"> includes introducing the styles of critical thinking, allowing students time to complete the instrument and receive their score and style, and engaging students in group discussion about their critical thinking style results. During the second day, we delivered the interrupted case study, which was developed by the researchers based on Utah State University’s project on local food access to SNAP-eligible households. The case study introduced students to the importance of local food, audiences on food assistance who struggle to access local </w:t>
      </w:r>
      <w:proofErr w:type="gramStart"/>
      <w:r w:rsidRPr="00413366">
        <w:rPr>
          <w:rFonts w:ascii="Times New Roman" w:eastAsia="Times New Roman" w:hAnsi="Times New Roman" w:cs="Times New Roman"/>
        </w:rPr>
        <w:t>food, and</w:t>
      </w:r>
      <w:proofErr w:type="gramEnd"/>
      <w:r w:rsidRPr="00413366">
        <w:rPr>
          <w:rFonts w:ascii="Times New Roman" w:eastAsia="Times New Roman" w:hAnsi="Times New Roman" w:cs="Times New Roman"/>
        </w:rPr>
        <w:t xml:space="preserve"> overcoming barriers to access through tools in community-based social marketing. At the end of the second </w:t>
      </w:r>
      <w:r w:rsidR="007C4BD1" w:rsidRPr="00413366">
        <w:rPr>
          <w:rFonts w:ascii="Times New Roman" w:eastAsia="Times New Roman" w:hAnsi="Times New Roman" w:cs="Times New Roman"/>
        </w:rPr>
        <w:t>seminar</w:t>
      </w:r>
      <w:r w:rsidRPr="00413366">
        <w:rPr>
          <w:rFonts w:ascii="Times New Roman" w:eastAsia="Times New Roman" w:hAnsi="Times New Roman" w:cs="Times New Roman"/>
        </w:rPr>
        <w:t xml:space="preserve">, we asked students to fill </w:t>
      </w:r>
      <w:r w:rsidRPr="00413366">
        <w:rPr>
          <w:rFonts w:ascii="Times New Roman" w:eastAsia="Times New Roman" w:hAnsi="Times New Roman" w:cs="Times New Roman"/>
          <w:color w:val="000000"/>
        </w:rPr>
        <w:t>out a Qualtrics questionnaire that included retrospective pre-post Likert-scale</w:t>
      </w:r>
      <w:r w:rsidRPr="00413366">
        <w:rPr>
          <w:rFonts w:ascii="Times New Roman" w:eastAsia="Times New Roman" w:hAnsi="Times New Roman" w:cs="Times New Roman"/>
        </w:rPr>
        <w:t xml:space="preserve"> statements</w:t>
      </w:r>
      <w:r w:rsidRPr="00413366">
        <w:rPr>
          <w:rFonts w:ascii="Times New Roman" w:eastAsia="Times New Roman" w:hAnsi="Times New Roman" w:cs="Times New Roman"/>
          <w:color w:val="000000"/>
        </w:rPr>
        <w:t xml:space="preserve"> measuring self-perceived changes in knowledge (7 items) and self-p</w:t>
      </w:r>
      <w:r w:rsidRPr="00413366">
        <w:rPr>
          <w:rFonts w:ascii="Times New Roman" w:eastAsia="Times New Roman" w:hAnsi="Times New Roman" w:cs="Times New Roman"/>
        </w:rPr>
        <w:t xml:space="preserve">erceived </w:t>
      </w:r>
      <w:r w:rsidRPr="00413366">
        <w:rPr>
          <w:rFonts w:ascii="Times New Roman" w:eastAsia="Times New Roman" w:hAnsi="Times New Roman" w:cs="Times New Roman"/>
          <w:color w:val="000000"/>
        </w:rPr>
        <w:t xml:space="preserve">changes in perspective (3 items), as well as </w:t>
      </w:r>
      <w:r w:rsidRPr="00413366">
        <w:rPr>
          <w:rFonts w:ascii="Times New Roman" w:eastAsia="Times New Roman" w:hAnsi="Times New Roman" w:cs="Times New Roman"/>
        </w:rPr>
        <w:t>statements</w:t>
      </w:r>
      <w:r w:rsidRPr="00413366">
        <w:rPr>
          <w:rFonts w:ascii="Times New Roman" w:eastAsia="Times New Roman" w:hAnsi="Times New Roman" w:cs="Times New Roman"/>
          <w:color w:val="000000"/>
        </w:rPr>
        <w:t xml:space="preserve"> measuring changes in perceived ability and learning (3 items), and questions related to motivation (5 items). </w:t>
      </w:r>
      <w:r w:rsidR="003F41F9" w:rsidRPr="00995110">
        <w:rPr>
          <w:rFonts w:ascii="Times New Roman" w:eastAsia="Times New Roman" w:hAnsi="Times New Roman" w:cs="Times New Roman"/>
        </w:rPr>
        <w:t xml:space="preserve">Post-hoc Cronbach’s alpha was used to determine reliability of question sets, and the reliability coefficient was 0.80 (pretest) and 0.81 (posttest) for perceived knowledge; 0.88 for intention; and 0.84 for motivation. The reliability coefficient for students’ self-reported change </w:t>
      </w:r>
      <w:r w:rsidR="00995110" w:rsidRPr="00995110">
        <w:rPr>
          <w:rFonts w:ascii="Times New Roman" w:eastAsia="Times New Roman" w:hAnsi="Times New Roman" w:cs="Times New Roman"/>
        </w:rPr>
        <w:t xml:space="preserve">in self-perceived changes in perspective </w:t>
      </w:r>
      <w:r w:rsidR="003F41F9" w:rsidRPr="00995110">
        <w:rPr>
          <w:rFonts w:ascii="Times New Roman" w:eastAsia="Times New Roman" w:hAnsi="Times New Roman" w:cs="Times New Roman"/>
        </w:rPr>
        <w:t xml:space="preserve">was 0.59 (pretest) and 0.57 (posttest); low coefficients are likely </w:t>
      </w:r>
      <w:r w:rsidR="003F41F9" w:rsidRPr="00995110">
        <w:rPr>
          <w:rFonts w:ascii="Times New Roman" w:eastAsia="Times New Roman" w:hAnsi="Times New Roman" w:cs="Times New Roman"/>
        </w:rPr>
        <w:t>because</w:t>
      </w:r>
      <w:r w:rsidR="003F41F9" w:rsidRPr="00995110">
        <w:rPr>
          <w:rFonts w:ascii="Times New Roman" w:eastAsia="Times New Roman" w:hAnsi="Times New Roman" w:cs="Times New Roman"/>
        </w:rPr>
        <w:t xml:space="preserve"> the three items are not truly related concepts (</w:t>
      </w:r>
      <w:proofErr w:type="spellStart"/>
      <w:r w:rsidR="003F41F9" w:rsidRPr="00995110">
        <w:rPr>
          <w:rFonts w:ascii="Times New Roman" w:eastAsia="Times New Roman" w:hAnsi="Times New Roman" w:cs="Times New Roman"/>
        </w:rPr>
        <w:t>Tavakol</w:t>
      </w:r>
      <w:proofErr w:type="spellEnd"/>
      <w:r w:rsidR="003F41F9" w:rsidRPr="00995110">
        <w:rPr>
          <w:rFonts w:ascii="Times New Roman" w:eastAsia="Times New Roman" w:hAnsi="Times New Roman" w:cs="Times New Roman"/>
        </w:rPr>
        <w:t xml:space="preserve"> &amp; </w:t>
      </w:r>
      <w:proofErr w:type="spellStart"/>
      <w:r w:rsidR="003F41F9" w:rsidRPr="00995110">
        <w:rPr>
          <w:rFonts w:ascii="Times New Roman" w:eastAsia="Times New Roman" w:hAnsi="Times New Roman" w:cs="Times New Roman"/>
        </w:rPr>
        <w:t>Dennick</w:t>
      </w:r>
      <w:proofErr w:type="spellEnd"/>
      <w:r w:rsidR="003F41F9" w:rsidRPr="00995110">
        <w:rPr>
          <w:rFonts w:ascii="Times New Roman" w:eastAsia="Times New Roman" w:hAnsi="Times New Roman" w:cs="Times New Roman"/>
        </w:rPr>
        <w:t>, 2011).</w:t>
      </w:r>
      <w:r w:rsidR="003F41F9">
        <w:rPr>
          <w:rFonts w:ascii="Times New Roman" w:eastAsia="Times New Roman" w:hAnsi="Times New Roman" w:cs="Times New Roman"/>
        </w:rPr>
        <w:t xml:space="preserve"> </w:t>
      </w:r>
      <w:r w:rsidR="003F41F9" w:rsidRPr="00413366">
        <w:rPr>
          <w:rFonts w:ascii="Times New Roman" w:eastAsia="Times New Roman" w:hAnsi="Times New Roman" w:cs="Times New Roman"/>
        </w:rPr>
        <w:t xml:space="preserve">We received 110 usable responses for a 77% response rate. </w:t>
      </w:r>
      <w:proofErr w:type="gramStart"/>
      <w:r w:rsidRPr="00413366">
        <w:rPr>
          <w:rFonts w:ascii="Times New Roman" w:eastAsia="Times New Roman" w:hAnsi="Times New Roman" w:cs="Times New Roman"/>
        </w:rPr>
        <w:t>To</w:t>
      </w:r>
      <w:proofErr w:type="gramEnd"/>
      <w:r w:rsidRPr="00413366">
        <w:rPr>
          <w:rFonts w:ascii="Times New Roman" w:eastAsia="Times New Roman" w:hAnsi="Times New Roman" w:cs="Times New Roman"/>
        </w:rPr>
        <w:t xml:space="preserve"> compare means in retrospective pre-post questions, we ran a paired samples t-test and Cohen’s d to determine if differences in means were practically significant.</w:t>
      </w:r>
      <w:r w:rsidR="006C2BA7" w:rsidRPr="00413366">
        <w:rPr>
          <w:rFonts w:ascii="Times New Roman" w:eastAsia="Times New Roman" w:hAnsi="Times New Roman" w:cs="Times New Roman"/>
        </w:rPr>
        <w:t xml:space="preserve"> </w:t>
      </w:r>
      <w:r w:rsidRPr="00413366">
        <w:rPr>
          <w:rFonts w:ascii="Times New Roman" w:eastAsia="Times New Roman" w:hAnsi="Times New Roman" w:cs="Times New Roman"/>
        </w:rPr>
        <w:t xml:space="preserve">Table 1 summarizes respondents’ </w:t>
      </w:r>
      <w:r w:rsidRPr="00413366">
        <w:rPr>
          <w:rFonts w:ascii="Times New Roman" w:eastAsia="Times New Roman" w:hAnsi="Times New Roman" w:cs="Times New Roman"/>
          <w:color w:val="000000"/>
        </w:rPr>
        <w:t>majors and colle</w:t>
      </w:r>
      <w:r w:rsidRPr="00413366">
        <w:rPr>
          <w:rFonts w:ascii="Times New Roman" w:eastAsia="Times New Roman" w:hAnsi="Times New Roman" w:cs="Times New Roman"/>
        </w:rPr>
        <w:t>ge level status.</w:t>
      </w:r>
    </w:p>
    <w:p w14:paraId="07D109C4" w14:textId="77777777" w:rsidR="006C06C5" w:rsidRPr="00413366" w:rsidRDefault="006C06C5">
      <w:pPr>
        <w:rPr>
          <w:rFonts w:ascii="Times New Roman" w:eastAsia="Times New Roman" w:hAnsi="Times New Roman" w:cs="Times New Roman"/>
        </w:rPr>
      </w:pPr>
    </w:p>
    <w:p w14:paraId="07D109C5"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 xml:space="preserve">Table 1. </w:t>
      </w:r>
    </w:p>
    <w:p w14:paraId="07D109C6" w14:textId="77777777" w:rsidR="006C06C5" w:rsidRPr="00413366" w:rsidRDefault="006C06C5">
      <w:pPr>
        <w:rPr>
          <w:rFonts w:ascii="Times New Roman" w:eastAsia="Times New Roman" w:hAnsi="Times New Roman" w:cs="Times New Roman"/>
        </w:rPr>
      </w:pPr>
    </w:p>
    <w:p w14:paraId="07D109C7" w14:textId="77777777" w:rsidR="006C06C5" w:rsidRPr="00413366" w:rsidRDefault="00000000">
      <w:pPr>
        <w:rPr>
          <w:rFonts w:ascii="Times New Roman" w:eastAsia="Times New Roman" w:hAnsi="Times New Roman" w:cs="Times New Roman"/>
          <w:i/>
        </w:rPr>
      </w:pPr>
      <w:r w:rsidRPr="00413366">
        <w:rPr>
          <w:rFonts w:ascii="Times New Roman" w:eastAsia="Times New Roman" w:hAnsi="Times New Roman" w:cs="Times New Roman"/>
          <w:i/>
        </w:rPr>
        <w:t xml:space="preserve">Demographic Characteristics of Participants (n = 110) </w:t>
      </w:r>
    </w:p>
    <w:p w14:paraId="07D109C8" w14:textId="77777777" w:rsidR="006C06C5" w:rsidRPr="00413366" w:rsidRDefault="006C06C5">
      <w:pPr>
        <w:rPr>
          <w:rFonts w:ascii="Times New Roman" w:eastAsia="Times New Roman" w:hAnsi="Times New Roman" w:cs="Times New Roman"/>
        </w:rPr>
      </w:pPr>
    </w:p>
    <w:tbl>
      <w:tblPr>
        <w:tblStyle w:val="a4"/>
        <w:tblW w:w="9468" w:type="dxa"/>
        <w:tblLayout w:type="fixed"/>
        <w:tblLook w:val="0400" w:firstRow="0" w:lastRow="0" w:firstColumn="0" w:lastColumn="0" w:noHBand="0" w:noVBand="1"/>
      </w:tblPr>
      <w:tblGrid>
        <w:gridCol w:w="4762"/>
        <w:gridCol w:w="456"/>
        <w:gridCol w:w="4250"/>
      </w:tblGrid>
      <w:tr w:rsidR="006C06C5" w:rsidRPr="00413366" w14:paraId="07D109CC" w14:textId="77777777" w:rsidTr="003F41F9">
        <w:trPr>
          <w:trHeight w:val="320"/>
        </w:trPr>
        <w:tc>
          <w:tcPr>
            <w:tcW w:w="4762" w:type="dxa"/>
            <w:tcBorders>
              <w:top w:val="single" w:sz="4" w:space="0" w:color="auto"/>
              <w:bottom w:val="single" w:sz="4" w:space="0" w:color="auto"/>
            </w:tcBorders>
          </w:tcPr>
          <w:p w14:paraId="07D109C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Characteristic</w:t>
            </w:r>
          </w:p>
        </w:tc>
        <w:tc>
          <w:tcPr>
            <w:tcW w:w="456" w:type="dxa"/>
            <w:tcBorders>
              <w:top w:val="single" w:sz="4" w:space="0" w:color="auto"/>
              <w:bottom w:val="single" w:sz="4" w:space="0" w:color="auto"/>
            </w:tcBorders>
          </w:tcPr>
          <w:p w14:paraId="07D109C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n</w:t>
            </w:r>
          </w:p>
        </w:tc>
        <w:tc>
          <w:tcPr>
            <w:tcW w:w="4250" w:type="dxa"/>
            <w:tcBorders>
              <w:top w:val="single" w:sz="4" w:space="0" w:color="auto"/>
              <w:bottom w:val="single" w:sz="4" w:space="0" w:color="auto"/>
            </w:tcBorders>
          </w:tcPr>
          <w:p w14:paraId="07D109C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w:t>
            </w:r>
          </w:p>
        </w:tc>
      </w:tr>
      <w:tr w:rsidR="006C06C5" w:rsidRPr="00413366" w14:paraId="07D109D0" w14:textId="77777777" w:rsidTr="003F41F9">
        <w:trPr>
          <w:trHeight w:val="320"/>
        </w:trPr>
        <w:tc>
          <w:tcPr>
            <w:tcW w:w="4762" w:type="dxa"/>
            <w:tcBorders>
              <w:top w:val="single" w:sz="4" w:space="0" w:color="auto"/>
            </w:tcBorders>
          </w:tcPr>
          <w:p w14:paraId="07D109CD"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Major</w:t>
            </w:r>
          </w:p>
        </w:tc>
        <w:tc>
          <w:tcPr>
            <w:tcW w:w="456" w:type="dxa"/>
            <w:tcBorders>
              <w:top w:val="single" w:sz="4" w:space="0" w:color="auto"/>
            </w:tcBorders>
          </w:tcPr>
          <w:p w14:paraId="07D109CE" w14:textId="77777777" w:rsidR="006C06C5" w:rsidRPr="00413366" w:rsidRDefault="006C06C5">
            <w:pPr>
              <w:jc w:val="center"/>
              <w:rPr>
                <w:rFonts w:ascii="Times New Roman" w:eastAsia="Times New Roman" w:hAnsi="Times New Roman" w:cs="Times New Roman"/>
              </w:rPr>
            </w:pPr>
          </w:p>
        </w:tc>
        <w:tc>
          <w:tcPr>
            <w:tcW w:w="4250" w:type="dxa"/>
            <w:tcBorders>
              <w:top w:val="single" w:sz="4" w:space="0" w:color="auto"/>
            </w:tcBorders>
          </w:tcPr>
          <w:p w14:paraId="07D109CF" w14:textId="77777777" w:rsidR="006C06C5" w:rsidRPr="00413366" w:rsidRDefault="006C06C5">
            <w:pPr>
              <w:jc w:val="center"/>
              <w:rPr>
                <w:rFonts w:ascii="Times New Roman" w:eastAsia="Times New Roman" w:hAnsi="Times New Roman" w:cs="Times New Roman"/>
              </w:rPr>
            </w:pPr>
          </w:p>
        </w:tc>
      </w:tr>
      <w:tr w:rsidR="006C06C5" w:rsidRPr="00413366" w14:paraId="07D109D4" w14:textId="77777777" w:rsidTr="003F41F9">
        <w:trPr>
          <w:trHeight w:val="320"/>
        </w:trPr>
        <w:tc>
          <w:tcPr>
            <w:tcW w:w="4762" w:type="dxa"/>
          </w:tcPr>
          <w:p w14:paraId="07D109D1"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Agricultural business</w:t>
            </w:r>
          </w:p>
        </w:tc>
        <w:tc>
          <w:tcPr>
            <w:tcW w:w="456" w:type="dxa"/>
          </w:tcPr>
          <w:p w14:paraId="07D109D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20</w:t>
            </w:r>
          </w:p>
        </w:tc>
        <w:tc>
          <w:tcPr>
            <w:tcW w:w="4250" w:type="dxa"/>
            <w:tcMar>
              <w:top w:w="0" w:type="dxa"/>
              <w:left w:w="40" w:type="dxa"/>
              <w:bottom w:w="0" w:type="dxa"/>
              <w:right w:w="40" w:type="dxa"/>
            </w:tcMar>
            <w:vAlign w:val="bottom"/>
          </w:tcPr>
          <w:p w14:paraId="07D109D3"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18.2%</w:t>
            </w:r>
          </w:p>
        </w:tc>
      </w:tr>
      <w:tr w:rsidR="006C06C5" w:rsidRPr="00413366" w14:paraId="07D109D8" w14:textId="77777777" w:rsidTr="00A91329">
        <w:trPr>
          <w:trHeight w:val="320"/>
        </w:trPr>
        <w:tc>
          <w:tcPr>
            <w:tcW w:w="4762" w:type="dxa"/>
          </w:tcPr>
          <w:p w14:paraId="07D109D5"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Agricultural communications (Ag comm)</w:t>
            </w:r>
          </w:p>
        </w:tc>
        <w:tc>
          <w:tcPr>
            <w:tcW w:w="456" w:type="dxa"/>
          </w:tcPr>
          <w:p w14:paraId="07D109D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25</w:t>
            </w:r>
          </w:p>
        </w:tc>
        <w:tc>
          <w:tcPr>
            <w:tcW w:w="4250" w:type="dxa"/>
            <w:tcMar>
              <w:top w:w="0" w:type="dxa"/>
              <w:left w:w="40" w:type="dxa"/>
              <w:bottom w:w="0" w:type="dxa"/>
              <w:right w:w="40" w:type="dxa"/>
            </w:tcMar>
            <w:vAlign w:val="bottom"/>
          </w:tcPr>
          <w:p w14:paraId="07D109D7"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22.7%</w:t>
            </w:r>
          </w:p>
        </w:tc>
      </w:tr>
      <w:tr w:rsidR="006C06C5" w:rsidRPr="00413366" w14:paraId="07D109DC" w14:textId="77777777" w:rsidTr="00A91329">
        <w:trPr>
          <w:trHeight w:val="320"/>
        </w:trPr>
        <w:tc>
          <w:tcPr>
            <w:tcW w:w="4762" w:type="dxa"/>
          </w:tcPr>
          <w:p w14:paraId="07D109D9"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Agricultural economics</w:t>
            </w:r>
          </w:p>
        </w:tc>
        <w:tc>
          <w:tcPr>
            <w:tcW w:w="456" w:type="dxa"/>
          </w:tcPr>
          <w:p w14:paraId="07D109D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12</w:t>
            </w:r>
          </w:p>
        </w:tc>
        <w:tc>
          <w:tcPr>
            <w:tcW w:w="4250" w:type="dxa"/>
            <w:tcMar>
              <w:top w:w="0" w:type="dxa"/>
              <w:left w:w="40" w:type="dxa"/>
              <w:bottom w:w="0" w:type="dxa"/>
              <w:right w:w="40" w:type="dxa"/>
            </w:tcMar>
            <w:vAlign w:val="bottom"/>
          </w:tcPr>
          <w:p w14:paraId="07D109DB"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10.9%</w:t>
            </w:r>
          </w:p>
        </w:tc>
      </w:tr>
      <w:tr w:rsidR="006C06C5" w:rsidRPr="00413366" w14:paraId="07D109E0" w14:textId="77777777" w:rsidTr="00A91329">
        <w:trPr>
          <w:trHeight w:val="320"/>
        </w:trPr>
        <w:tc>
          <w:tcPr>
            <w:tcW w:w="4762" w:type="dxa"/>
          </w:tcPr>
          <w:p w14:paraId="07D109DD"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Agronomy</w:t>
            </w:r>
          </w:p>
        </w:tc>
        <w:tc>
          <w:tcPr>
            <w:tcW w:w="456" w:type="dxa"/>
          </w:tcPr>
          <w:p w14:paraId="07D109D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6</w:t>
            </w:r>
          </w:p>
        </w:tc>
        <w:tc>
          <w:tcPr>
            <w:tcW w:w="4250" w:type="dxa"/>
            <w:tcMar>
              <w:top w:w="0" w:type="dxa"/>
              <w:left w:w="40" w:type="dxa"/>
              <w:bottom w:w="0" w:type="dxa"/>
              <w:right w:w="40" w:type="dxa"/>
            </w:tcMar>
            <w:vAlign w:val="bottom"/>
          </w:tcPr>
          <w:p w14:paraId="07D109DF"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5.5%</w:t>
            </w:r>
          </w:p>
        </w:tc>
      </w:tr>
      <w:tr w:rsidR="006C06C5" w:rsidRPr="00413366" w14:paraId="07D109E4" w14:textId="77777777" w:rsidTr="00A91329">
        <w:trPr>
          <w:trHeight w:val="320"/>
        </w:trPr>
        <w:tc>
          <w:tcPr>
            <w:tcW w:w="4762" w:type="dxa"/>
          </w:tcPr>
          <w:p w14:paraId="07D109E1"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Animal sciences (ASI)</w:t>
            </w:r>
          </w:p>
        </w:tc>
        <w:tc>
          <w:tcPr>
            <w:tcW w:w="456" w:type="dxa"/>
          </w:tcPr>
          <w:p w14:paraId="07D109E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24</w:t>
            </w:r>
          </w:p>
        </w:tc>
        <w:tc>
          <w:tcPr>
            <w:tcW w:w="4250" w:type="dxa"/>
            <w:tcMar>
              <w:top w:w="0" w:type="dxa"/>
              <w:left w:w="40" w:type="dxa"/>
              <w:bottom w:w="0" w:type="dxa"/>
              <w:right w:w="40" w:type="dxa"/>
            </w:tcMar>
            <w:vAlign w:val="bottom"/>
          </w:tcPr>
          <w:p w14:paraId="07D109E3"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21.8%</w:t>
            </w:r>
          </w:p>
        </w:tc>
      </w:tr>
      <w:tr w:rsidR="006C06C5" w:rsidRPr="00413366" w14:paraId="07D109E8" w14:textId="77777777" w:rsidTr="00A91329">
        <w:trPr>
          <w:trHeight w:val="320"/>
        </w:trPr>
        <w:tc>
          <w:tcPr>
            <w:tcW w:w="4762" w:type="dxa"/>
          </w:tcPr>
          <w:p w14:paraId="07D109E5"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Agricultural technology management</w:t>
            </w:r>
          </w:p>
        </w:tc>
        <w:tc>
          <w:tcPr>
            <w:tcW w:w="456" w:type="dxa"/>
          </w:tcPr>
          <w:p w14:paraId="07D109E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4</w:t>
            </w:r>
          </w:p>
        </w:tc>
        <w:tc>
          <w:tcPr>
            <w:tcW w:w="4250" w:type="dxa"/>
            <w:tcMar>
              <w:top w:w="0" w:type="dxa"/>
              <w:left w:w="40" w:type="dxa"/>
              <w:bottom w:w="0" w:type="dxa"/>
              <w:right w:w="40" w:type="dxa"/>
            </w:tcMar>
            <w:vAlign w:val="bottom"/>
          </w:tcPr>
          <w:p w14:paraId="07D109E7"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3.6%</w:t>
            </w:r>
          </w:p>
        </w:tc>
      </w:tr>
      <w:tr w:rsidR="006C06C5" w:rsidRPr="00413366" w14:paraId="07D109EC" w14:textId="77777777" w:rsidTr="00A91329">
        <w:trPr>
          <w:trHeight w:val="320"/>
        </w:trPr>
        <w:tc>
          <w:tcPr>
            <w:tcW w:w="4762" w:type="dxa"/>
          </w:tcPr>
          <w:p w14:paraId="07D109E9"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Bakery Science</w:t>
            </w:r>
          </w:p>
        </w:tc>
        <w:tc>
          <w:tcPr>
            <w:tcW w:w="456" w:type="dxa"/>
          </w:tcPr>
          <w:p w14:paraId="07D109E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1</w:t>
            </w:r>
          </w:p>
        </w:tc>
        <w:tc>
          <w:tcPr>
            <w:tcW w:w="4250" w:type="dxa"/>
            <w:tcMar>
              <w:top w:w="0" w:type="dxa"/>
              <w:left w:w="40" w:type="dxa"/>
              <w:bottom w:w="0" w:type="dxa"/>
              <w:right w:w="40" w:type="dxa"/>
            </w:tcMar>
            <w:vAlign w:val="bottom"/>
          </w:tcPr>
          <w:p w14:paraId="07D109EB"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0.9%</w:t>
            </w:r>
          </w:p>
        </w:tc>
      </w:tr>
      <w:tr w:rsidR="006C06C5" w:rsidRPr="00413366" w14:paraId="07D109F0" w14:textId="77777777" w:rsidTr="00A91329">
        <w:trPr>
          <w:trHeight w:val="320"/>
        </w:trPr>
        <w:tc>
          <w:tcPr>
            <w:tcW w:w="4762" w:type="dxa"/>
          </w:tcPr>
          <w:p w14:paraId="07D109ED"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Dual majoring in ASI and Ag comm</w:t>
            </w:r>
          </w:p>
        </w:tc>
        <w:tc>
          <w:tcPr>
            <w:tcW w:w="456" w:type="dxa"/>
          </w:tcPr>
          <w:p w14:paraId="07D109E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2</w:t>
            </w:r>
          </w:p>
        </w:tc>
        <w:tc>
          <w:tcPr>
            <w:tcW w:w="4250" w:type="dxa"/>
            <w:tcMar>
              <w:top w:w="0" w:type="dxa"/>
              <w:left w:w="40" w:type="dxa"/>
              <w:bottom w:w="0" w:type="dxa"/>
              <w:right w:w="40" w:type="dxa"/>
            </w:tcMar>
            <w:vAlign w:val="bottom"/>
          </w:tcPr>
          <w:p w14:paraId="07D109EF"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1.8%</w:t>
            </w:r>
          </w:p>
        </w:tc>
      </w:tr>
      <w:tr w:rsidR="006C06C5" w:rsidRPr="00413366" w14:paraId="07D109F4" w14:textId="77777777" w:rsidTr="00A91329">
        <w:trPr>
          <w:trHeight w:val="320"/>
        </w:trPr>
        <w:tc>
          <w:tcPr>
            <w:tcW w:w="4762" w:type="dxa"/>
          </w:tcPr>
          <w:p w14:paraId="07D109F1"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Feed science</w:t>
            </w:r>
          </w:p>
        </w:tc>
        <w:tc>
          <w:tcPr>
            <w:tcW w:w="456" w:type="dxa"/>
          </w:tcPr>
          <w:p w14:paraId="07D109F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2</w:t>
            </w:r>
          </w:p>
        </w:tc>
        <w:tc>
          <w:tcPr>
            <w:tcW w:w="4250" w:type="dxa"/>
            <w:tcMar>
              <w:top w:w="0" w:type="dxa"/>
              <w:left w:w="40" w:type="dxa"/>
              <w:bottom w:w="0" w:type="dxa"/>
              <w:right w:w="40" w:type="dxa"/>
            </w:tcMar>
            <w:vAlign w:val="bottom"/>
          </w:tcPr>
          <w:p w14:paraId="07D109F3"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1.8%</w:t>
            </w:r>
          </w:p>
        </w:tc>
      </w:tr>
      <w:tr w:rsidR="006C06C5" w:rsidRPr="00413366" w14:paraId="07D109F8" w14:textId="77777777" w:rsidTr="00A91329">
        <w:trPr>
          <w:trHeight w:val="320"/>
        </w:trPr>
        <w:tc>
          <w:tcPr>
            <w:tcW w:w="4762" w:type="dxa"/>
          </w:tcPr>
          <w:p w14:paraId="07D109F5"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Food science</w:t>
            </w:r>
          </w:p>
        </w:tc>
        <w:tc>
          <w:tcPr>
            <w:tcW w:w="456" w:type="dxa"/>
          </w:tcPr>
          <w:p w14:paraId="07D109F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1</w:t>
            </w:r>
          </w:p>
        </w:tc>
        <w:tc>
          <w:tcPr>
            <w:tcW w:w="4250" w:type="dxa"/>
            <w:tcMar>
              <w:top w:w="0" w:type="dxa"/>
              <w:left w:w="40" w:type="dxa"/>
              <w:bottom w:w="0" w:type="dxa"/>
              <w:right w:w="40" w:type="dxa"/>
            </w:tcMar>
            <w:vAlign w:val="bottom"/>
          </w:tcPr>
          <w:p w14:paraId="07D109F7"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0.9%</w:t>
            </w:r>
          </w:p>
        </w:tc>
      </w:tr>
      <w:tr w:rsidR="006C06C5" w:rsidRPr="00413366" w14:paraId="07D109FC" w14:textId="77777777" w:rsidTr="00A91329">
        <w:trPr>
          <w:trHeight w:val="320"/>
        </w:trPr>
        <w:tc>
          <w:tcPr>
            <w:tcW w:w="4762" w:type="dxa"/>
          </w:tcPr>
          <w:p w14:paraId="07D109F9"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Horticulture</w:t>
            </w:r>
          </w:p>
        </w:tc>
        <w:tc>
          <w:tcPr>
            <w:tcW w:w="456" w:type="dxa"/>
          </w:tcPr>
          <w:p w14:paraId="07D109F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2</w:t>
            </w:r>
          </w:p>
        </w:tc>
        <w:tc>
          <w:tcPr>
            <w:tcW w:w="4250" w:type="dxa"/>
            <w:tcMar>
              <w:top w:w="0" w:type="dxa"/>
              <w:left w:w="40" w:type="dxa"/>
              <w:bottom w:w="0" w:type="dxa"/>
              <w:right w:w="40" w:type="dxa"/>
            </w:tcMar>
            <w:vAlign w:val="bottom"/>
          </w:tcPr>
          <w:p w14:paraId="07D109FB"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1.8%</w:t>
            </w:r>
          </w:p>
        </w:tc>
      </w:tr>
      <w:tr w:rsidR="006C06C5" w:rsidRPr="00413366" w14:paraId="07D10A00" w14:textId="77777777" w:rsidTr="00A91329">
        <w:trPr>
          <w:trHeight w:val="320"/>
        </w:trPr>
        <w:tc>
          <w:tcPr>
            <w:tcW w:w="4762" w:type="dxa"/>
          </w:tcPr>
          <w:p w14:paraId="07D109FD"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Marketing</w:t>
            </w:r>
          </w:p>
        </w:tc>
        <w:tc>
          <w:tcPr>
            <w:tcW w:w="456" w:type="dxa"/>
          </w:tcPr>
          <w:p w14:paraId="07D109F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1</w:t>
            </w:r>
          </w:p>
        </w:tc>
        <w:tc>
          <w:tcPr>
            <w:tcW w:w="4250" w:type="dxa"/>
            <w:tcMar>
              <w:top w:w="0" w:type="dxa"/>
              <w:left w:w="40" w:type="dxa"/>
              <w:bottom w:w="0" w:type="dxa"/>
              <w:right w:w="40" w:type="dxa"/>
            </w:tcMar>
            <w:vAlign w:val="bottom"/>
          </w:tcPr>
          <w:p w14:paraId="07D109FF"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0.9%</w:t>
            </w:r>
          </w:p>
        </w:tc>
      </w:tr>
      <w:tr w:rsidR="006C06C5" w:rsidRPr="00413366" w14:paraId="07D10A04" w14:textId="77777777" w:rsidTr="00A91329">
        <w:trPr>
          <w:trHeight w:val="320"/>
        </w:trPr>
        <w:tc>
          <w:tcPr>
            <w:tcW w:w="4762" w:type="dxa"/>
          </w:tcPr>
          <w:p w14:paraId="07D10A01"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lastRenderedPageBreak/>
              <w:t>Milling science</w:t>
            </w:r>
          </w:p>
        </w:tc>
        <w:tc>
          <w:tcPr>
            <w:tcW w:w="456" w:type="dxa"/>
          </w:tcPr>
          <w:p w14:paraId="07D10A0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4</w:t>
            </w:r>
          </w:p>
        </w:tc>
        <w:tc>
          <w:tcPr>
            <w:tcW w:w="4250" w:type="dxa"/>
            <w:tcMar>
              <w:top w:w="0" w:type="dxa"/>
              <w:left w:w="40" w:type="dxa"/>
              <w:bottom w:w="0" w:type="dxa"/>
              <w:right w:w="40" w:type="dxa"/>
            </w:tcMar>
            <w:vAlign w:val="bottom"/>
          </w:tcPr>
          <w:p w14:paraId="07D10A03"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3.6%</w:t>
            </w:r>
          </w:p>
        </w:tc>
      </w:tr>
      <w:tr w:rsidR="006C06C5" w:rsidRPr="00413366" w14:paraId="07D10A08" w14:textId="77777777" w:rsidTr="00A91329">
        <w:trPr>
          <w:trHeight w:val="320"/>
        </w:trPr>
        <w:tc>
          <w:tcPr>
            <w:tcW w:w="4762" w:type="dxa"/>
          </w:tcPr>
          <w:p w14:paraId="07D10A05"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Did not indicate</w:t>
            </w:r>
          </w:p>
        </w:tc>
        <w:tc>
          <w:tcPr>
            <w:tcW w:w="456" w:type="dxa"/>
          </w:tcPr>
          <w:p w14:paraId="07D10A0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6</w:t>
            </w:r>
          </w:p>
        </w:tc>
        <w:tc>
          <w:tcPr>
            <w:tcW w:w="4250" w:type="dxa"/>
            <w:tcMar>
              <w:top w:w="0" w:type="dxa"/>
              <w:left w:w="40" w:type="dxa"/>
              <w:bottom w:w="0" w:type="dxa"/>
              <w:right w:w="40" w:type="dxa"/>
            </w:tcMar>
            <w:vAlign w:val="bottom"/>
          </w:tcPr>
          <w:p w14:paraId="07D10A07" w14:textId="77777777" w:rsidR="006C06C5" w:rsidRPr="00413366" w:rsidRDefault="00000000">
            <w:pPr>
              <w:widowControl w:val="0"/>
              <w:spacing w:line="276" w:lineRule="auto"/>
              <w:jc w:val="center"/>
              <w:rPr>
                <w:rFonts w:ascii="Times New Roman" w:eastAsia="Times New Roman" w:hAnsi="Times New Roman" w:cs="Times New Roman"/>
              </w:rPr>
            </w:pPr>
            <w:r w:rsidRPr="00413366">
              <w:rPr>
                <w:rFonts w:ascii="Times New Roman" w:eastAsia="Times New Roman" w:hAnsi="Times New Roman" w:cs="Times New Roman"/>
              </w:rPr>
              <w:t xml:space="preserve">  5.5%</w:t>
            </w:r>
          </w:p>
        </w:tc>
      </w:tr>
      <w:tr w:rsidR="006C06C5" w:rsidRPr="00413366" w14:paraId="07D10A0C" w14:textId="77777777" w:rsidTr="00A91329">
        <w:trPr>
          <w:trHeight w:val="320"/>
        </w:trPr>
        <w:tc>
          <w:tcPr>
            <w:tcW w:w="4762" w:type="dxa"/>
          </w:tcPr>
          <w:p w14:paraId="07D10A09"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College level</w:t>
            </w:r>
          </w:p>
        </w:tc>
        <w:tc>
          <w:tcPr>
            <w:tcW w:w="456" w:type="dxa"/>
          </w:tcPr>
          <w:p w14:paraId="07D10A0A" w14:textId="77777777" w:rsidR="006C06C5" w:rsidRPr="00413366" w:rsidRDefault="006C06C5">
            <w:pPr>
              <w:jc w:val="center"/>
              <w:rPr>
                <w:rFonts w:ascii="Times New Roman" w:eastAsia="Times New Roman" w:hAnsi="Times New Roman" w:cs="Times New Roman"/>
              </w:rPr>
            </w:pPr>
          </w:p>
        </w:tc>
        <w:tc>
          <w:tcPr>
            <w:tcW w:w="4250" w:type="dxa"/>
          </w:tcPr>
          <w:p w14:paraId="07D10A0B" w14:textId="77777777" w:rsidR="006C06C5" w:rsidRPr="00413366" w:rsidRDefault="006C06C5">
            <w:pPr>
              <w:jc w:val="center"/>
              <w:rPr>
                <w:rFonts w:ascii="Times New Roman" w:eastAsia="Times New Roman" w:hAnsi="Times New Roman" w:cs="Times New Roman"/>
              </w:rPr>
            </w:pPr>
          </w:p>
        </w:tc>
      </w:tr>
      <w:tr w:rsidR="006C06C5" w:rsidRPr="00413366" w14:paraId="07D10A10" w14:textId="77777777" w:rsidTr="00A91329">
        <w:trPr>
          <w:trHeight w:val="320"/>
        </w:trPr>
        <w:tc>
          <w:tcPr>
            <w:tcW w:w="4762" w:type="dxa"/>
          </w:tcPr>
          <w:p w14:paraId="07D10A0D"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Freshman</w:t>
            </w:r>
          </w:p>
        </w:tc>
        <w:tc>
          <w:tcPr>
            <w:tcW w:w="456" w:type="dxa"/>
          </w:tcPr>
          <w:p w14:paraId="07D10A0E"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14</w:t>
            </w:r>
          </w:p>
        </w:tc>
        <w:tc>
          <w:tcPr>
            <w:tcW w:w="4250" w:type="dxa"/>
          </w:tcPr>
          <w:p w14:paraId="07D10A0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12.7%</w:t>
            </w:r>
          </w:p>
        </w:tc>
      </w:tr>
      <w:tr w:rsidR="006C06C5" w:rsidRPr="00413366" w14:paraId="07D10A14" w14:textId="77777777" w:rsidTr="00A91329">
        <w:trPr>
          <w:trHeight w:val="320"/>
        </w:trPr>
        <w:tc>
          <w:tcPr>
            <w:tcW w:w="4762" w:type="dxa"/>
          </w:tcPr>
          <w:p w14:paraId="07D10A11"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Sophomore</w:t>
            </w:r>
          </w:p>
        </w:tc>
        <w:tc>
          <w:tcPr>
            <w:tcW w:w="456" w:type="dxa"/>
          </w:tcPr>
          <w:p w14:paraId="07D10A12"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37</w:t>
            </w:r>
          </w:p>
        </w:tc>
        <w:tc>
          <w:tcPr>
            <w:tcW w:w="4250" w:type="dxa"/>
          </w:tcPr>
          <w:p w14:paraId="07D10A1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33.6%</w:t>
            </w:r>
          </w:p>
        </w:tc>
      </w:tr>
      <w:tr w:rsidR="006C06C5" w:rsidRPr="00413366" w14:paraId="07D10A18" w14:textId="77777777" w:rsidTr="00A91329">
        <w:trPr>
          <w:trHeight w:val="320"/>
        </w:trPr>
        <w:tc>
          <w:tcPr>
            <w:tcW w:w="4762" w:type="dxa"/>
          </w:tcPr>
          <w:p w14:paraId="07D10A15"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Junior</w:t>
            </w:r>
          </w:p>
        </w:tc>
        <w:tc>
          <w:tcPr>
            <w:tcW w:w="456" w:type="dxa"/>
          </w:tcPr>
          <w:p w14:paraId="07D10A16"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36</w:t>
            </w:r>
          </w:p>
        </w:tc>
        <w:tc>
          <w:tcPr>
            <w:tcW w:w="4250" w:type="dxa"/>
          </w:tcPr>
          <w:p w14:paraId="07D10A1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32.7%</w:t>
            </w:r>
          </w:p>
        </w:tc>
      </w:tr>
      <w:tr w:rsidR="006C06C5" w:rsidRPr="00413366" w14:paraId="07D10A1C" w14:textId="77777777" w:rsidTr="00A91329">
        <w:trPr>
          <w:trHeight w:val="320"/>
        </w:trPr>
        <w:tc>
          <w:tcPr>
            <w:tcW w:w="4762" w:type="dxa"/>
          </w:tcPr>
          <w:p w14:paraId="07D10A19"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Senior</w:t>
            </w:r>
          </w:p>
        </w:tc>
        <w:tc>
          <w:tcPr>
            <w:tcW w:w="456" w:type="dxa"/>
          </w:tcPr>
          <w:p w14:paraId="07D10A1A"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19</w:t>
            </w:r>
          </w:p>
        </w:tc>
        <w:tc>
          <w:tcPr>
            <w:tcW w:w="4250" w:type="dxa"/>
          </w:tcPr>
          <w:p w14:paraId="07D10A1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17.2%</w:t>
            </w:r>
          </w:p>
        </w:tc>
      </w:tr>
      <w:tr w:rsidR="006C06C5" w:rsidRPr="00413366" w14:paraId="07D10A20" w14:textId="77777777" w:rsidTr="00A91329">
        <w:trPr>
          <w:trHeight w:val="320"/>
        </w:trPr>
        <w:tc>
          <w:tcPr>
            <w:tcW w:w="4762" w:type="dxa"/>
            <w:tcBorders>
              <w:bottom w:val="single" w:sz="4" w:space="0" w:color="auto"/>
            </w:tcBorders>
          </w:tcPr>
          <w:p w14:paraId="07D10A1D" w14:textId="77777777" w:rsidR="006C06C5" w:rsidRPr="00413366" w:rsidRDefault="00000000">
            <w:pPr>
              <w:ind w:left="360"/>
              <w:rPr>
                <w:rFonts w:ascii="Times New Roman" w:eastAsia="Times New Roman" w:hAnsi="Times New Roman" w:cs="Times New Roman"/>
              </w:rPr>
            </w:pPr>
            <w:r w:rsidRPr="00413366">
              <w:rPr>
                <w:rFonts w:ascii="Times New Roman" w:eastAsia="Times New Roman" w:hAnsi="Times New Roman" w:cs="Times New Roman"/>
              </w:rPr>
              <w:t>Did not indicate</w:t>
            </w:r>
          </w:p>
        </w:tc>
        <w:tc>
          <w:tcPr>
            <w:tcW w:w="456" w:type="dxa"/>
            <w:tcBorders>
              <w:bottom w:val="single" w:sz="4" w:space="0" w:color="auto"/>
            </w:tcBorders>
          </w:tcPr>
          <w:p w14:paraId="07D10A1E"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 xml:space="preserve">  4</w:t>
            </w:r>
          </w:p>
        </w:tc>
        <w:tc>
          <w:tcPr>
            <w:tcW w:w="4250" w:type="dxa"/>
            <w:tcBorders>
              <w:bottom w:val="single" w:sz="4" w:space="0" w:color="auto"/>
            </w:tcBorders>
          </w:tcPr>
          <w:p w14:paraId="07D10A1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3.6%</w:t>
            </w:r>
          </w:p>
        </w:tc>
      </w:tr>
    </w:tbl>
    <w:p w14:paraId="07D10A21" w14:textId="77777777" w:rsidR="006C06C5" w:rsidRPr="00413366" w:rsidRDefault="006C06C5">
      <w:pPr>
        <w:jc w:val="center"/>
        <w:rPr>
          <w:rFonts w:ascii="Times New Roman" w:eastAsia="Times New Roman" w:hAnsi="Times New Roman" w:cs="Times New Roman"/>
          <w:b/>
        </w:rPr>
      </w:pPr>
    </w:p>
    <w:p w14:paraId="07D10A22"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t>Results/Findings</w:t>
      </w:r>
    </w:p>
    <w:p w14:paraId="07D10A23" w14:textId="77777777" w:rsidR="006C06C5" w:rsidRPr="00413366" w:rsidRDefault="006C06C5">
      <w:pPr>
        <w:rPr>
          <w:rFonts w:ascii="Times New Roman" w:eastAsia="Times New Roman" w:hAnsi="Times New Roman" w:cs="Times New Roman"/>
        </w:rPr>
      </w:pPr>
    </w:p>
    <w:p w14:paraId="07D10A24" w14:textId="4AA4C8C7" w:rsidR="006C06C5" w:rsidRPr="00413366" w:rsidRDefault="00000000">
      <w:pPr>
        <w:ind w:firstLine="720"/>
        <w:rPr>
          <w:rFonts w:ascii="Times New Roman" w:eastAsia="Times New Roman" w:hAnsi="Times New Roman" w:cs="Times New Roman"/>
          <w:color w:val="000000"/>
        </w:rPr>
      </w:pPr>
      <w:r w:rsidRPr="00413366">
        <w:rPr>
          <w:rFonts w:ascii="Times New Roman" w:eastAsia="Times New Roman" w:hAnsi="Times New Roman" w:cs="Times New Roman"/>
        </w:rPr>
        <w:t xml:space="preserve">Objective one was to describe the change in respondents’ self-reported level of knowledge about their critical thinking style and key concepts in the case study. Paired samples t-tests showed that changes in mean for each of the seven statements related to knowledge gain in Table 2 are significant at the &lt;0.001 level, and Cohen’s d values show a large effect size (1.09 to 1.65) for each change in mean. </w:t>
      </w:r>
      <w:r w:rsidRPr="00413366">
        <w:rPr>
          <w:rFonts w:ascii="Times New Roman" w:eastAsia="Times New Roman" w:hAnsi="Times New Roman" w:cs="Times New Roman"/>
          <w:color w:val="000000"/>
        </w:rPr>
        <w:t>On average, students fe</w:t>
      </w:r>
      <w:r w:rsidRPr="00413366">
        <w:rPr>
          <w:rFonts w:ascii="Times New Roman" w:eastAsia="Times New Roman" w:hAnsi="Times New Roman" w:cs="Times New Roman"/>
        </w:rPr>
        <w:t>lt</w:t>
      </w:r>
      <w:r w:rsidRPr="00413366">
        <w:rPr>
          <w:rFonts w:ascii="Times New Roman" w:eastAsia="Times New Roman" w:hAnsi="Times New Roman" w:cs="Times New Roman"/>
          <w:color w:val="000000"/>
        </w:rPr>
        <w:t xml:space="preserve"> they </w:t>
      </w:r>
      <w:r w:rsidRPr="00413366">
        <w:rPr>
          <w:rFonts w:ascii="Times New Roman" w:eastAsia="Times New Roman" w:hAnsi="Times New Roman" w:cs="Times New Roman"/>
        </w:rPr>
        <w:t>were</w:t>
      </w:r>
      <w:r w:rsidRPr="00413366">
        <w:rPr>
          <w:rFonts w:ascii="Times New Roman" w:eastAsia="Times New Roman" w:hAnsi="Times New Roman" w:cs="Times New Roman"/>
          <w:color w:val="000000"/>
        </w:rPr>
        <w:t xml:space="preserve"> more able to use their critical thinking style after the </w:t>
      </w:r>
      <w:r w:rsidRPr="00413366">
        <w:rPr>
          <w:rFonts w:ascii="Times New Roman" w:eastAsia="Times New Roman" w:hAnsi="Times New Roman" w:cs="Times New Roman"/>
        </w:rPr>
        <w:t>two</w:t>
      </w:r>
      <w:r w:rsidRPr="00413366">
        <w:rPr>
          <w:rFonts w:ascii="Times New Roman" w:eastAsia="Times New Roman" w:hAnsi="Times New Roman" w:cs="Times New Roman"/>
          <w:color w:val="000000"/>
        </w:rPr>
        <w:t xml:space="preserve">-day lecture </w:t>
      </w:r>
      <w:proofErr w:type="gramStart"/>
      <w:r w:rsidRPr="00413366">
        <w:rPr>
          <w:rFonts w:ascii="Times New Roman" w:eastAsia="Times New Roman" w:hAnsi="Times New Roman" w:cs="Times New Roman"/>
          <w:color w:val="000000"/>
        </w:rPr>
        <w:t>series, and</w:t>
      </w:r>
      <w:proofErr w:type="gramEnd"/>
      <w:r w:rsidRPr="00413366">
        <w:rPr>
          <w:rFonts w:ascii="Times New Roman" w:eastAsia="Times New Roman" w:hAnsi="Times New Roman" w:cs="Times New Roman"/>
          <w:color w:val="000000"/>
        </w:rPr>
        <w:t xml:space="preserve"> using a case study helped them learn about both critical thinking and community-based social marketing. </w:t>
      </w:r>
    </w:p>
    <w:p w14:paraId="07D10A25" w14:textId="77777777" w:rsidR="006C06C5" w:rsidRPr="00413366" w:rsidRDefault="006C06C5">
      <w:pPr>
        <w:rPr>
          <w:rFonts w:ascii="Times New Roman" w:eastAsia="Times New Roman" w:hAnsi="Times New Roman" w:cs="Times New Roman"/>
        </w:rPr>
      </w:pPr>
    </w:p>
    <w:p w14:paraId="07D10A26"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Table 2.</w:t>
      </w:r>
    </w:p>
    <w:p w14:paraId="07D10A27" w14:textId="77777777" w:rsidR="006C06C5" w:rsidRPr="00413366" w:rsidRDefault="006C06C5">
      <w:pPr>
        <w:rPr>
          <w:rFonts w:ascii="Times New Roman" w:eastAsia="Times New Roman" w:hAnsi="Times New Roman" w:cs="Times New Roman"/>
        </w:rPr>
      </w:pPr>
    </w:p>
    <w:p w14:paraId="07D10A28" w14:textId="77777777" w:rsidR="006C06C5" w:rsidRPr="00413366" w:rsidRDefault="00000000">
      <w:pPr>
        <w:rPr>
          <w:rFonts w:ascii="Times New Roman" w:eastAsia="Times New Roman" w:hAnsi="Times New Roman" w:cs="Times New Roman"/>
          <w:i/>
        </w:rPr>
      </w:pPr>
      <w:r w:rsidRPr="00413366">
        <w:rPr>
          <w:rFonts w:ascii="Times New Roman" w:eastAsia="Times New Roman" w:hAnsi="Times New Roman" w:cs="Times New Roman"/>
          <w:i/>
        </w:rPr>
        <w:t>Changes in Student Self-Reported Knowledge Based on Retrospective Pretest-Posttest Statements (n = 110)</w:t>
      </w:r>
    </w:p>
    <w:p w14:paraId="07D10A29" w14:textId="77777777" w:rsidR="006C06C5" w:rsidRPr="00413366" w:rsidRDefault="006C06C5">
      <w:pPr>
        <w:rPr>
          <w:rFonts w:ascii="Times New Roman" w:eastAsia="Times New Roman" w:hAnsi="Times New Roman" w:cs="Times New Roman"/>
        </w:rPr>
      </w:pPr>
    </w:p>
    <w:tbl>
      <w:tblPr>
        <w:tblStyle w:val="a5"/>
        <w:tblW w:w="9450" w:type="dxa"/>
        <w:tblBorders>
          <w:top w:val="nil"/>
          <w:left w:val="nil"/>
          <w:bottom w:val="nil"/>
          <w:right w:val="nil"/>
          <w:insideH w:val="nil"/>
          <w:insideV w:val="nil"/>
        </w:tblBorders>
        <w:tblLayout w:type="fixed"/>
        <w:tblLook w:val="0400" w:firstRow="0" w:lastRow="0" w:firstColumn="0" w:lastColumn="0" w:noHBand="0" w:noVBand="1"/>
      </w:tblPr>
      <w:tblGrid>
        <w:gridCol w:w="3450"/>
        <w:gridCol w:w="870"/>
        <w:gridCol w:w="675"/>
        <w:gridCol w:w="675"/>
        <w:gridCol w:w="720"/>
        <w:gridCol w:w="810"/>
        <w:gridCol w:w="900"/>
        <w:gridCol w:w="1095"/>
        <w:gridCol w:w="255"/>
      </w:tblGrid>
      <w:tr w:rsidR="006C06C5" w:rsidRPr="00413366" w14:paraId="07D10A31" w14:textId="77777777" w:rsidTr="0078167D">
        <w:trPr>
          <w:trHeight w:val="320"/>
        </w:trPr>
        <w:tc>
          <w:tcPr>
            <w:tcW w:w="3450" w:type="dxa"/>
            <w:tcBorders>
              <w:top w:val="single" w:sz="4" w:space="0" w:color="000000"/>
            </w:tcBorders>
          </w:tcPr>
          <w:p w14:paraId="07D10A2A" w14:textId="77777777" w:rsidR="006C06C5" w:rsidRPr="00413366" w:rsidRDefault="006C06C5">
            <w:pPr>
              <w:rPr>
                <w:rFonts w:ascii="Times New Roman" w:eastAsia="Times New Roman" w:hAnsi="Times New Roman" w:cs="Times New Roman"/>
                <w:b/>
              </w:rPr>
            </w:pPr>
          </w:p>
        </w:tc>
        <w:tc>
          <w:tcPr>
            <w:tcW w:w="1545" w:type="dxa"/>
            <w:gridSpan w:val="2"/>
            <w:tcBorders>
              <w:top w:val="single" w:sz="4" w:space="0" w:color="000000"/>
            </w:tcBorders>
          </w:tcPr>
          <w:p w14:paraId="07D10A2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Before</w:t>
            </w:r>
          </w:p>
        </w:tc>
        <w:tc>
          <w:tcPr>
            <w:tcW w:w="1395" w:type="dxa"/>
            <w:gridSpan w:val="2"/>
            <w:tcBorders>
              <w:top w:val="single" w:sz="4" w:space="0" w:color="000000"/>
            </w:tcBorders>
          </w:tcPr>
          <w:p w14:paraId="07D10A2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After</w:t>
            </w:r>
          </w:p>
        </w:tc>
        <w:tc>
          <w:tcPr>
            <w:tcW w:w="810" w:type="dxa"/>
            <w:tcBorders>
              <w:top w:val="single" w:sz="4" w:space="0" w:color="000000"/>
            </w:tcBorders>
          </w:tcPr>
          <w:p w14:paraId="07D10A2D" w14:textId="77777777" w:rsidR="006C06C5" w:rsidRPr="00413366" w:rsidRDefault="006C06C5">
            <w:pPr>
              <w:rPr>
                <w:rFonts w:ascii="Times New Roman" w:eastAsia="Times New Roman" w:hAnsi="Times New Roman" w:cs="Times New Roman"/>
              </w:rPr>
            </w:pPr>
          </w:p>
        </w:tc>
        <w:tc>
          <w:tcPr>
            <w:tcW w:w="900" w:type="dxa"/>
            <w:tcBorders>
              <w:top w:val="single" w:sz="4" w:space="0" w:color="000000"/>
            </w:tcBorders>
          </w:tcPr>
          <w:p w14:paraId="07D10A2E" w14:textId="77777777" w:rsidR="006C06C5" w:rsidRPr="00413366" w:rsidRDefault="006C06C5">
            <w:pPr>
              <w:rPr>
                <w:rFonts w:ascii="Times New Roman" w:eastAsia="Times New Roman" w:hAnsi="Times New Roman" w:cs="Times New Roman"/>
              </w:rPr>
            </w:pPr>
          </w:p>
        </w:tc>
        <w:tc>
          <w:tcPr>
            <w:tcW w:w="1095" w:type="dxa"/>
            <w:tcBorders>
              <w:top w:val="single" w:sz="4" w:space="0" w:color="000000"/>
            </w:tcBorders>
          </w:tcPr>
          <w:p w14:paraId="07D10A2F" w14:textId="77777777" w:rsidR="006C06C5" w:rsidRPr="00413366" w:rsidRDefault="006C06C5">
            <w:pPr>
              <w:rPr>
                <w:rFonts w:ascii="Times New Roman" w:eastAsia="Times New Roman" w:hAnsi="Times New Roman" w:cs="Times New Roman"/>
              </w:rPr>
            </w:pPr>
          </w:p>
        </w:tc>
        <w:tc>
          <w:tcPr>
            <w:tcW w:w="255" w:type="dxa"/>
            <w:tcBorders>
              <w:top w:val="single" w:sz="4" w:space="0" w:color="000000"/>
            </w:tcBorders>
          </w:tcPr>
          <w:p w14:paraId="07D10A30" w14:textId="77777777" w:rsidR="006C06C5" w:rsidRPr="00413366" w:rsidRDefault="006C06C5">
            <w:pPr>
              <w:rPr>
                <w:rFonts w:ascii="Times New Roman" w:eastAsia="Times New Roman" w:hAnsi="Times New Roman" w:cs="Times New Roman"/>
              </w:rPr>
            </w:pPr>
          </w:p>
        </w:tc>
      </w:tr>
      <w:tr w:rsidR="006C06C5" w:rsidRPr="00413366" w14:paraId="07D10A3B" w14:textId="77777777" w:rsidTr="0078167D">
        <w:trPr>
          <w:trHeight w:val="320"/>
        </w:trPr>
        <w:tc>
          <w:tcPr>
            <w:tcW w:w="3450" w:type="dxa"/>
            <w:tcBorders>
              <w:bottom w:val="single" w:sz="4" w:space="0" w:color="000000"/>
            </w:tcBorders>
          </w:tcPr>
          <w:p w14:paraId="07D10A32" w14:textId="77777777" w:rsidR="006C06C5" w:rsidRPr="00413366" w:rsidRDefault="006C06C5">
            <w:pPr>
              <w:rPr>
                <w:rFonts w:ascii="Times New Roman" w:eastAsia="Times New Roman" w:hAnsi="Times New Roman" w:cs="Times New Roman"/>
                <w:b/>
              </w:rPr>
            </w:pPr>
          </w:p>
        </w:tc>
        <w:tc>
          <w:tcPr>
            <w:tcW w:w="870" w:type="dxa"/>
            <w:tcBorders>
              <w:bottom w:val="single" w:sz="4" w:space="0" w:color="000000"/>
            </w:tcBorders>
          </w:tcPr>
          <w:p w14:paraId="07D10A3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M</w:t>
            </w:r>
          </w:p>
        </w:tc>
        <w:tc>
          <w:tcPr>
            <w:tcW w:w="675" w:type="dxa"/>
            <w:tcBorders>
              <w:bottom w:val="single" w:sz="4" w:space="0" w:color="000000"/>
            </w:tcBorders>
          </w:tcPr>
          <w:p w14:paraId="07D10A3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SD</w:t>
            </w:r>
          </w:p>
        </w:tc>
        <w:tc>
          <w:tcPr>
            <w:tcW w:w="675" w:type="dxa"/>
            <w:tcBorders>
              <w:bottom w:val="single" w:sz="4" w:space="0" w:color="000000"/>
            </w:tcBorders>
          </w:tcPr>
          <w:p w14:paraId="07D10A3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M</w:t>
            </w:r>
          </w:p>
        </w:tc>
        <w:tc>
          <w:tcPr>
            <w:tcW w:w="720" w:type="dxa"/>
            <w:tcBorders>
              <w:bottom w:val="single" w:sz="4" w:space="0" w:color="000000"/>
            </w:tcBorders>
          </w:tcPr>
          <w:p w14:paraId="07D10A3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SD</w:t>
            </w:r>
          </w:p>
        </w:tc>
        <w:tc>
          <w:tcPr>
            <w:tcW w:w="810" w:type="dxa"/>
            <w:tcBorders>
              <w:bottom w:val="single" w:sz="4" w:space="0" w:color="000000"/>
            </w:tcBorders>
            <w:vAlign w:val="bottom"/>
          </w:tcPr>
          <w:p w14:paraId="07D10A37" w14:textId="77777777" w:rsidR="006C06C5" w:rsidRPr="00413366" w:rsidRDefault="00000000">
            <w:pPr>
              <w:jc w:val="center"/>
              <w:rPr>
                <w:rFonts w:ascii="Times New Roman" w:eastAsia="Times New Roman" w:hAnsi="Times New Roman" w:cs="Times New Roman"/>
              </w:rPr>
            </w:pPr>
            <w:proofErr w:type="gramStart"/>
            <w:r w:rsidRPr="00413366">
              <w:rPr>
                <w:rFonts w:ascii="Times New Roman" w:eastAsia="Times New Roman" w:hAnsi="Times New Roman" w:cs="Times New Roman"/>
              </w:rPr>
              <w:t>t(</w:t>
            </w:r>
            <w:proofErr w:type="gramEnd"/>
            <w:r w:rsidRPr="00413366">
              <w:rPr>
                <w:rFonts w:ascii="Times New Roman" w:eastAsia="Times New Roman" w:hAnsi="Times New Roman" w:cs="Times New Roman"/>
              </w:rPr>
              <w:t>109)</w:t>
            </w:r>
          </w:p>
        </w:tc>
        <w:tc>
          <w:tcPr>
            <w:tcW w:w="900" w:type="dxa"/>
            <w:tcBorders>
              <w:bottom w:val="single" w:sz="4" w:space="0" w:color="000000"/>
            </w:tcBorders>
            <w:vAlign w:val="bottom"/>
          </w:tcPr>
          <w:p w14:paraId="07D10A3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p</w:t>
            </w:r>
          </w:p>
        </w:tc>
        <w:tc>
          <w:tcPr>
            <w:tcW w:w="1095" w:type="dxa"/>
            <w:tcBorders>
              <w:bottom w:val="single" w:sz="4" w:space="0" w:color="000000"/>
            </w:tcBorders>
            <w:vAlign w:val="bottom"/>
          </w:tcPr>
          <w:p w14:paraId="07D10A3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Cohen’s d</w:t>
            </w:r>
          </w:p>
        </w:tc>
        <w:tc>
          <w:tcPr>
            <w:tcW w:w="255" w:type="dxa"/>
            <w:tcBorders>
              <w:bottom w:val="single" w:sz="4" w:space="0" w:color="000000"/>
            </w:tcBorders>
          </w:tcPr>
          <w:p w14:paraId="07D10A3A" w14:textId="77777777" w:rsidR="006C06C5" w:rsidRPr="00413366" w:rsidRDefault="006C06C5">
            <w:pPr>
              <w:rPr>
                <w:rFonts w:ascii="Times New Roman" w:eastAsia="Times New Roman" w:hAnsi="Times New Roman" w:cs="Times New Roman"/>
              </w:rPr>
            </w:pPr>
          </w:p>
        </w:tc>
      </w:tr>
      <w:tr w:rsidR="006C06C5" w:rsidRPr="00413366" w14:paraId="07D10A45" w14:textId="77777777" w:rsidTr="0078167D">
        <w:trPr>
          <w:trHeight w:val="320"/>
        </w:trPr>
        <w:tc>
          <w:tcPr>
            <w:tcW w:w="3450" w:type="dxa"/>
            <w:tcBorders>
              <w:top w:val="single" w:sz="4" w:space="0" w:color="000000"/>
            </w:tcBorders>
          </w:tcPr>
          <w:p w14:paraId="07D10A3C"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Critical thinking styles (engagers and seekers)</w:t>
            </w:r>
          </w:p>
        </w:tc>
        <w:tc>
          <w:tcPr>
            <w:tcW w:w="870" w:type="dxa"/>
            <w:tcBorders>
              <w:top w:val="single" w:sz="4" w:space="0" w:color="000000"/>
            </w:tcBorders>
          </w:tcPr>
          <w:p w14:paraId="07D10A3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2.19</w:t>
            </w:r>
          </w:p>
        </w:tc>
        <w:tc>
          <w:tcPr>
            <w:tcW w:w="675" w:type="dxa"/>
            <w:tcBorders>
              <w:top w:val="single" w:sz="4" w:space="0" w:color="000000"/>
            </w:tcBorders>
          </w:tcPr>
          <w:p w14:paraId="07D10A3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1.05</w:t>
            </w:r>
          </w:p>
        </w:tc>
        <w:tc>
          <w:tcPr>
            <w:tcW w:w="675" w:type="dxa"/>
            <w:tcBorders>
              <w:top w:val="single" w:sz="4" w:space="0" w:color="000000"/>
            </w:tcBorders>
          </w:tcPr>
          <w:p w14:paraId="07D10A3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3.98</w:t>
            </w:r>
          </w:p>
        </w:tc>
        <w:tc>
          <w:tcPr>
            <w:tcW w:w="720" w:type="dxa"/>
            <w:tcBorders>
              <w:top w:val="single" w:sz="4" w:space="0" w:color="000000"/>
            </w:tcBorders>
          </w:tcPr>
          <w:p w14:paraId="07D10A4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0.62</w:t>
            </w:r>
          </w:p>
        </w:tc>
        <w:tc>
          <w:tcPr>
            <w:tcW w:w="810" w:type="dxa"/>
            <w:tcBorders>
              <w:top w:val="single" w:sz="4" w:space="0" w:color="000000"/>
            </w:tcBorders>
          </w:tcPr>
          <w:p w14:paraId="07D10A4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16.9</w:t>
            </w:r>
          </w:p>
        </w:tc>
        <w:tc>
          <w:tcPr>
            <w:tcW w:w="900" w:type="dxa"/>
            <w:tcBorders>
              <w:top w:val="single" w:sz="4" w:space="0" w:color="000000"/>
            </w:tcBorders>
          </w:tcPr>
          <w:p w14:paraId="07D10A4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Borders>
              <w:top w:val="single" w:sz="4" w:space="0" w:color="000000"/>
            </w:tcBorders>
          </w:tcPr>
          <w:p w14:paraId="07D10A4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1.61</w:t>
            </w:r>
          </w:p>
        </w:tc>
        <w:tc>
          <w:tcPr>
            <w:tcW w:w="255" w:type="dxa"/>
            <w:tcBorders>
              <w:top w:val="single" w:sz="4" w:space="0" w:color="000000"/>
            </w:tcBorders>
          </w:tcPr>
          <w:p w14:paraId="07D10A44" w14:textId="77777777" w:rsidR="006C06C5" w:rsidRPr="00413366" w:rsidRDefault="006C06C5">
            <w:pPr>
              <w:jc w:val="center"/>
              <w:rPr>
                <w:rFonts w:ascii="Times New Roman" w:eastAsia="Times New Roman" w:hAnsi="Times New Roman" w:cs="Times New Roman"/>
              </w:rPr>
            </w:pPr>
          </w:p>
        </w:tc>
      </w:tr>
      <w:tr w:rsidR="006C06C5" w:rsidRPr="00413366" w14:paraId="07D10A4F" w14:textId="77777777" w:rsidTr="0078167D">
        <w:trPr>
          <w:trHeight w:val="320"/>
        </w:trPr>
        <w:tc>
          <w:tcPr>
            <w:tcW w:w="3450" w:type="dxa"/>
          </w:tcPr>
          <w:p w14:paraId="07D10A46"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SNAP and food assistance programs</w:t>
            </w:r>
          </w:p>
        </w:tc>
        <w:tc>
          <w:tcPr>
            <w:tcW w:w="870" w:type="dxa"/>
          </w:tcPr>
          <w:p w14:paraId="07D10A4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2.03</w:t>
            </w:r>
          </w:p>
        </w:tc>
        <w:tc>
          <w:tcPr>
            <w:tcW w:w="675" w:type="dxa"/>
          </w:tcPr>
          <w:p w14:paraId="07D10A4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1.10</w:t>
            </w:r>
          </w:p>
        </w:tc>
        <w:tc>
          <w:tcPr>
            <w:tcW w:w="675" w:type="dxa"/>
          </w:tcPr>
          <w:p w14:paraId="07D10A4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3.67</w:t>
            </w:r>
          </w:p>
        </w:tc>
        <w:tc>
          <w:tcPr>
            <w:tcW w:w="720" w:type="dxa"/>
          </w:tcPr>
          <w:p w14:paraId="07D10A4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0.78</w:t>
            </w:r>
          </w:p>
        </w:tc>
        <w:tc>
          <w:tcPr>
            <w:tcW w:w="810" w:type="dxa"/>
          </w:tcPr>
          <w:p w14:paraId="07D10A4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16.5</w:t>
            </w:r>
          </w:p>
        </w:tc>
        <w:tc>
          <w:tcPr>
            <w:tcW w:w="900" w:type="dxa"/>
          </w:tcPr>
          <w:p w14:paraId="07D10A4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Pr>
          <w:p w14:paraId="07D10A4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1.57</w:t>
            </w:r>
          </w:p>
        </w:tc>
        <w:tc>
          <w:tcPr>
            <w:tcW w:w="255" w:type="dxa"/>
          </w:tcPr>
          <w:p w14:paraId="07D10A4E" w14:textId="77777777" w:rsidR="006C06C5" w:rsidRPr="00413366" w:rsidRDefault="006C06C5">
            <w:pPr>
              <w:jc w:val="center"/>
              <w:rPr>
                <w:rFonts w:ascii="Times New Roman" w:eastAsia="Times New Roman" w:hAnsi="Times New Roman" w:cs="Times New Roman"/>
              </w:rPr>
            </w:pPr>
          </w:p>
        </w:tc>
      </w:tr>
      <w:tr w:rsidR="006C06C5" w:rsidRPr="00413366" w14:paraId="07D10A59" w14:textId="77777777" w:rsidTr="0078167D">
        <w:trPr>
          <w:trHeight w:val="320"/>
        </w:trPr>
        <w:tc>
          <w:tcPr>
            <w:tcW w:w="3450" w:type="dxa"/>
          </w:tcPr>
          <w:p w14:paraId="07D10A50"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Community-based social marketing</w:t>
            </w:r>
          </w:p>
        </w:tc>
        <w:tc>
          <w:tcPr>
            <w:tcW w:w="870" w:type="dxa"/>
          </w:tcPr>
          <w:p w14:paraId="07D10A5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2.30</w:t>
            </w:r>
          </w:p>
        </w:tc>
        <w:tc>
          <w:tcPr>
            <w:tcW w:w="675" w:type="dxa"/>
          </w:tcPr>
          <w:p w14:paraId="07D10A5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0.94</w:t>
            </w:r>
          </w:p>
        </w:tc>
        <w:tc>
          <w:tcPr>
            <w:tcW w:w="675" w:type="dxa"/>
          </w:tcPr>
          <w:p w14:paraId="07D10A5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3.88</w:t>
            </w:r>
          </w:p>
        </w:tc>
        <w:tc>
          <w:tcPr>
            <w:tcW w:w="720" w:type="dxa"/>
          </w:tcPr>
          <w:p w14:paraId="07D10A5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0.63</w:t>
            </w:r>
          </w:p>
        </w:tc>
        <w:tc>
          <w:tcPr>
            <w:tcW w:w="810" w:type="dxa"/>
          </w:tcPr>
          <w:p w14:paraId="07D10A5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17.3</w:t>
            </w:r>
          </w:p>
        </w:tc>
        <w:tc>
          <w:tcPr>
            <w:tcW w:w="900" w:type="dxa"/>
          </w:tcPr>
          <w:p w14:paraId="07D10A5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Pr>
          <w:p w14:paraId="07D10A5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1.65</w:t>
            </w:r>
          </w:p>
        </w:tc>
        <w:tc>
          <w:tcPr>
            <w:tcW w:w="255" w:type="dxa"/>
          </w:tcPr>
          <w:p w14:paraId="07D10A58" w14:textId="77777777" w:rsidR="006C06C5" w:rsidRPr="00413366" w:rsidRDefault="006C06C5">
            <w:pPr>
              <w:jc w:val="center"/>
              <w:rPr>
                <w:rFonts w:ascii="Times New Roman" w:eastAsia="Times New Roman" w:hAnsi="Times New Roman" w:cs="Times New Roman"/>
              </w:rPr>
            </w:pPr>
          </w:p>
        </w:tc>
      </w:tr>
      <w:tr w:rsidR="006C06C5" w:rsidRPr="00413366" w14:paraId="07D10A63" w14:textId="77777777" w:rsidTr="0078167D">
        <w:trPr>
          <w:trHeight w:val="320"/>
        </w:trPr>
        <w:tc>
          <w:tcPr>
            <w:tcW w:w="3450" w:type="dxa"/>
          </w:tcPr>
          <w:p w14:paraId="07D10A5A"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Local food movements</w:t>
            </w:r>
          </w:p>
        </w:tc>
        <w:tc>
          <w:tcPr>
            <w:tcW w:w="870" w:type="dxa"/>
          </w:tcPr>
          <w:p w14:paraId="07D10A5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2.46</w:t>
            </w:r>
          </w:p>
        </w:tc>
        <w:tc>
          <w:tcPr>
            <w:tcW w:w="675" w:type="dxa"/>
          </w:tcPr>
          <w:p w14:paraId="07D10A5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0.94</w:t>
            </w:r>
          </w:p>
        </w:tc>
        <w:tc>
          <w:tcPr>
            <w:tcW w:w="675" w:type="dxa"/>
          </w:tcPr>
          <w:p w14:paraId="07D10A5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3.80</w:t>
            </w:r>
          </w:p>
        </w:tc>
        <w:tc>
          <w:tcPr>
            <w:tcW w:w="720" w:type="dxa"/>
          </w:tcPr>
          <w:p w14:paraId="07D10A5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0.68</w:t>
            </w:r>
          </w:p>
        </w:tc>
        <w:tc>
          <w:tcPr>
            <w:tcW w:w="810" w:type="dxa"/>
          </w:tcPr>
          <w:p w14:paraId="07D10A5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15.0</w:t>
            </w:r>
          </w:p>
        </w:tc>
        <w:tc>
          <w:tcPr>
            <w:tcW w:w="900" w:type="dxa"/>
          </w:tcPr>
          <w:p w14:paraId="07D10A6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Pr>
          <w:p w14:paraId="07D10A6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1.44</w:t>
            </w:r>
          </w:p>
        </w:tc>
        <w:tc>
          <w:tcPr>
            <w:tcW w:w="255" w:type="dxa"/>
          </w:tcPr>
          <w:p w14:paraId="07D10A62" w14:textId="77777777" w:rsidR="006C06C5" w:rsidRPr="00413366" w:rsidRDefault="006C06C5">
            <w:pPr>
              <w:jc w:val="center"/>
              <w:rPr>
                <w:rFonts w:ascii="Times New Roman" w:eastAsia="Times New Roman" w:hAnsi="Times New Roman" w:cs="Times New Roman"/>
              </w:rPr>
            </w:pPr>
          </w:p>
        </w:tc>
      </w:tr>
      <w:tr w:rsidR="006C06C5" w:rsidRPr="00413366" w14:paraId="07D10A6D" w14:textId="77777777" w:rsidTr="0078167D">
        <w:trPr>
          <w:trHeight w:val="320"/>
        </w:trPr>
        <w:tc>
          <w:tcPr>
            <w:tcW w:w="3450" w:type="dxa"/>
          </w:tcPr>
          <w:p w14:paraId="07D10A64"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Overcoming barriers when trying to influence behavior change</w:t>
            </w:r>
          </w:p>
        </w:tc>
        <w:tc>
          <w:tcPr>
            <w:tcW w:w="870" w:type="dxa"/>
          </w:tcPr>
          <w:p w14:paraId="07D10A6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2.80</w:t>
            </w:r>
          </w:p>
        </w:tc>
        <w:tc>
          <w:tcPr>
            <w:tcW w:w="675" w:type="dxa"/>
          </w:tcPr>
          <w:p w14:paraId="07D10A6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0.89</w:t>
            </w:r>
          </w:p>
        </w:tc>
        <w:tc>
          <w:tcPr>
            <w:tcW w:w="675" w:type="dxa"/>
          </w:tcPr>
          <w:p w14:paraId="07D10A6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3.98</w:t>
            </w:r>
          </w:p>
        </w:tc>
        <w:tc>
          <w:tcPr>
            <w:tcW w:w="720" w:type="dxa"/>
          </w:tcPr>
          <w:p w14:paraId="07D10A6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0.65</w:t>
            </w:r>
          </w:p>
        </w:tc>
        <w:tc>
          <w:tcPr>
            <w:tcW w:w="810" w:type="dxa"/>
          </w:tcPr>
          <w:p w14:paraId="07D10A6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13.6</w:t>
            </w:r>
          </w:p>
        </w:tc>
        <w:tc>
          <w:tcPr>
            <w:tcW w:w="900" w:type="dxa"/>
          </w:tcPr>
          <w:p w14:paraId="07D10A6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Pr>
          <w:p w14:paraId="07D10A6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1.30</w:t>
            </w:r>
          </w:p>
        </w:tc>
        <w:tc>
          <w:tcPr>
            <w:tcW w:w="255" w:type="dxa"/>
          </w:tcPr>
          <w:p w14:paraId="07D10A6C" w14:textId="77777777" w:rsidR="006C06C5" w:rsidRPr="00413366" w:rsidRDefault="006C06C5">
            <w:pPr>
              <w:jc w:val="center"/>
              <w:rPr>
                <w:rFonts w:ascii="Times New Roman" w:eastAsia="Times New Roman" w:hAnsi="Times New Roman" w:cs="Times New Roman"/>
              </w:rPr>
            </w:pPr>
          </w:p>
        </w:tc>
      </w:tr>
      <w:tr w:rsidR="006C06C5" w:rsidRPr="00413366" w14:paraId="07D10A77" w14:textId="77777777" w:rsidTr="0078167D">
        <w:trPr>
          <w:trHeight w:val="320"/>
        </w:trPr>
        <w:tc>
          <w:tcPr>
            <w:tcW w:w="3450" w:type="dxa"/>
          </w:tcPr>
          <w:p w14:paraId="07D10A6E"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Influencing behavior change</w:t>
            </w:r>
          </w:p>
        </w:tc>
        <w:tc>
          <w:tcPr>
            <w:tcW w:w="870" w:type="dxa"/>
          </w:tcPr>
          <w:p w14:paraId="07D10A6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2.72</w:t>
            </w:r>
          </w:p>
        </w:tc>
        <w:tc>
          <w:tcPr>
            <w:tcW w:w="675" w:type="dxa"/>
          </w:tcPr>
          <w:p w14:paraId="07D10A7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0.89</w:t>
            </w:r>
          </w:p>
        </w:tc>
        <w:tc>
          <w:tcPr>
            <w:tcW w:w="675" w:type="dxa"/>
          </w:tcPr>
          <w:p w14:paraId="07D10A7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3.75</w:t>
            </w:r>
          </w:p>
        </w:tc>
        <w:tc>
          <w:tcPr>
            <w:tcW w:w="720" w:type="dxa"/>
          </w:tcPr>
          <w:p w14:paraId="07D10A7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0.64</w:t>
            </w:r>
          </w:p>
        </w:tc>
        <w:tc>
          <w:tcPr>
            <w:tcW w:w="810" w:type="dxa"/>
          </w:tcPr>
          <w:p w14:paraId="07D10A7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11.4</w:t>
            </w:r>
          </w:p>
        </w:tc>
        <w:tc>
          <w:tcPr>
            <w:tcW w:w="900" w:type="dxa"/>
          </w:tcPr>
          <w:p w14:paraId="07D10A7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Pr>
          <w:p w14:paraId="07D10A7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1.09</w:t>
            </w:r>
          </w:p>
        </w:tc>
        <w:tc>
          <w:tcPr>
            <w:tcW w:w="255" w:type="dxa"/>
          </w:tcPr>
          <w:p w14:paraId="07D10A76" w14:textId="77777777" w:rsidR="006C06C5" w:rsidRPr="00413366" w:rsidRDefault="006C06C5">
            <w:pPr>
              <w:jc w:val="center"/>
              <w:rPr>
                <w:rFonts w:ascii="Times New Roman" w:eastAsia="Times New Roman" w:hAnsi="Times New Roman" w:cs="Times New Roman"/>
              </w:rPr>
            </w:pPr>
          </w:p>
        </w:tc>
      </w:tr>
      <w:tr w:rsidR="006C06C5" w:rsidRPr="00413366" w14:paraId="07D10A81" w14:textId="77777777" w:rsidTr="0078167D">
        <w:trPr>
          <w:trHeight w:val="320"/>
        </w:trPr>
        <w:tc>
          <w:tcPr>
            <w:tcW w:w="3450" w:type="dxa"/>
            <w:tcBorders>
              <w:bottom w:val="single" w:sz="4" w:space="0" w:color="000000"/>
            </w:tcBorders>
          </w:tcPr>
          <w:p w14:paraId="07D10A78"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The value of considering diverse perspectives when thinking deeply about a topic</w:t>
            </w:r>
          </w:p>
        </w:tc>
        <w:tc>
          <w:tcPr>
            <w:tcW w:w="870" w:type="dxa"/>
            <w:tcBorders>
              <w:bottom w:val="single" w:sz="4" w:space="0" w:color="000000"/>
            </w:tcBorders>
          </w:tcPr>
          <w:p w14:paraId="07D10A7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3.22</w:t>
            </w:r>
          </w:p>
        </w:tc>
        <w:tc>
          <w:tcPr>
            <w:tcW w:w="675" w:type="dxa"/>
            <w:tcBorders>
              <w:bottom w:val="single" w:sz="4" w:space="0" w:color="000000"/>
            </w:tcBorders>
          </w:tcPr>
          <w:p w14:paraId="07D10A7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0.91</w:t>
            </w:r>
          </w:p>
        </w:tc>
        <w:tc>
          <w:tcPr>
            <w:tcW w:w="675" w:type="dxa"/>
            <w:tcBorders>
              <w:bottom w:val="single" w:sz="4" w:space="0" w:color="000000"/>
            </w:tcBorders>
          </w:tcPr>
          <w:p w14:paraId="07D10A7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4.13</w:t>
            </w:r>
          </w:p>
        </w:tc>
        <w:tc>
          <w:tcPr>
            <w:tcW w:w="720" w:type="dxa"/>
            <w:tcBorders>
              <w:bottom w:val="single" w:sz="4" w:space="0" w:color="000000"/>
            </w:tcBorders>
          </w:tcPr>
          <w:p w14:paraId="07D10A7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0.67</w:t>
            </w:r>
          </w:p>
        </w:tc>
        <w:tc>
          <w:tcPr>
            <w:tcW w:w="810" w:type="dxa"/>
            <w:tcBorders>
              <w:bottom w:val="single" w:sz="4" w:space="0" w:color="000000"/>
            </w:tcBorders>
          </w:tcPr>
          <w:p w14:paraId="07D10A7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12.2</w:t>
            </w:r>
          </w:p>
        </w:tc>
        <w:tc>
          <w:tcPr>
            <w:tcW w:w="900" w:type="dxa"/>
            <w:tcBorders>
              <w:bottom w:val="single" w:sz="4" w:space="0" w:color="000000"/>
            </w:tcBorders>
          </w:tcPr>
          <w:p w14:paraId="07D10A7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095" w:type="dxa"/>
            <w:tcBorders>
              <w:bottom w:val="single" w:sz="4" w:space="0" w:color="000000"/>
            </w:tcBorders>
          </w:tcPr>
          <w:p w14:paraId="07D10A7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1.16</w:t>
            </w:r>
          </w:p>
        </w:tc>
        <w:tc>
          <w:tcPr>
            <w:tcW w:w="255" w:type="dxa"/>
            <w:tcBorders>
              <w:bottom w:val="single" w:sz="4" w:space="0" w:color="000000"/>
            </w:tcBorders>
          </w:tcPr>
          <w:p w14:paraId="07D10A80" w14:textId="77777777" w:rsidR="006C06C5" w:rsidRPr="00413366" w:rsidRDefault="006C06C5">
            <w:pPr>
              <w:jc w:val="center"/>
              <w:rPr>
                <w:rFonts w:ascii="Times New Roman" w:eastAsia="Times New Roman" w:hAnsi="Times New Roman" w:cs="Times New Roman"/>
              </w:rPr>
            </w:pPr>
          </w:p>
        </w:tc>
      </w:tr>
    </w:tbl>
    <w:p w14:paraId="07D10A83" w14:textId="12B6669B" w:rsidR="006C06C5" w:rsidRDefault="00000000">
      <w:pPr>
        <w:rPr>
          <w:rFonts w:ascii="Times New Roman" w:eastAsia="Times New Roman" w:hAnsi="Times New Roman" w:cs="Times New Roman"/>
        </w:rPr>
      </w:pPr>
      <w:r w:rsidRPr="00413366">
        <w:rPr>
          <w:rFonts w:ascii="Times New Roman" w:eastAsia="Times New Roman" w:hAnsi="Times New Roman" w:cs="Times New Roman"/>
          <w:i/>
        </w:rPr>
        <w:t>Note.</w:t>
      </w:r>
      <w:r w:rsidRPr="00413366">
        <w:rPr>
          <w:rFonts w:ascii="Times New Roman" w:eastAsia="Times New Roman" w:hAnsi="Times New Roman" w:cs="Times New Roman"/>
        </w:rPr>
        <w:t xml:space="preserve"> Real limits: 1.0-1.49 = very low; 1.5-2.49 = low; 2.5-3.49 = moderate; 3.5-4.49 = high; 4.5-5.0 = very high.</w:t>
      </w:r>
    </w:p>
    <w:p w14:paraId="7A8B0299" w14:textId="77777777" w:rsidR="00DA4CEE" w:rsidRPr="00413366" w:rsidRDefault="00DA4CEE">
      <w:pPr>
        <w:rPr>
          <w:rFonts w:ascii="Times New Roman" w:eastAsia="Times New Roman" w:hAnsi="Times New Roman" w:cs="Times New Roman"/>
        </w:rPr>
      </w:pPr>
    </w:p>
    <w:p w14:paraId="07D10A84" w14:textId="77777777" w:rsidR="006C06C5" w:rsidRPr="00413366" w:rsidRDefault="00000000">
      <w:pPr>
        <w:ind w:firstLine="720"/>
        <w:rPr>
          <w:rFonts w:ascii="Times New Roman" w:eastAsia="Times New Roman" w:hAnsi="Times New Roman" w:cs="Times New Roman"/>
        </w:rPr>
      </w:pPr>
      <w:r w:rsidRPr="00413366">
        <w:rPr>
          <w:rFonts w:ascii="Times New Roman" w:eastAsia="Times New Roman" w:hAnsi="Times New Roman" w:cs="Times New Roman"/>
        </w:rPr>
        <w:lastRenderedPageBreak/>
        <w:t>For perceived ability and learning related to objective one, Table 3 shows mean responses falling into the “quite a bit” range, with the respondents reporting that the real-world case study helped them learn quite a bit about community-based social marketing (</w:t>
      </w:r>
      <w:r w:rsidRPr="00413366">
        <w:rPr>
          <w:rFonts w:ascii="Times New Roman" w:eastAsia="Times New Roman" w:hAnsi="Times New Roman" w:cs="Times New Roman"/>
          <w:i/>
        </w:rPr>
        <w:t>M =</w:t>
      </w:r>
      <w:r w:rsidRPr="00413366">
        <w:rPr>
          <w:rFonts w:ascii="Times New Roman" w:eastAsia="Times New Roman" w:hAnsi="Times New Roman" w:cs="Times New Roman"/>
        </w:rPr>
        <w:t xml:space="preserve"> 4.12, </w:t>
      </w:r>
      <w:r w:rsidRPr="00413366">
        <w:rPr>
          <w:rFonts w:ascii="Times New Roman" w:eastAsia="Times New Roman" w:hAnsi="Times New Roman" w:cs="Times New Roman"/>
          <w:i/>
        </w:rPr>
        <w:t>SD =</w:t>
      </w:r>
      <w:r w:rsidRPr="00413366">
        <w:rPr>
          <w:rFonts w:ascii="Times New Roman" w:eastAsia="Times New Roman" w:hAnsi="Times New Roman" w:cs="Times New Roman"/>
        </w:rPr>
        <w:t xml:space="preserve"> 0.67).</w:t>
      </w:r>
    </w:p>
    <w:p w14:paraId="07D10A85" w14:textId="77777777" w:rsidR="006C06C5" w:rsidRPr="00413366" w:rsidRDefault="006C06C5">
      <w:pPr>
        <w:rPr>
          <w:rFonts w:ascii="Times New Roman" w:eastAsia="Times New Roman" w:hAnsi="Times New Roman" w:cs="Times New Roman"/>
        </w:rPr>
      </w:pPr>
    </w:p>
    <w:p w14:paraId="07D10A86" w14:textId="77777777" w:rsidR="006C06C5" w:rsidRPr="00413366" w:rsidRDefault="00000000">
      <w:pPr>
        <w:rPr>
          <w:rFonts w:ascii="Times New Roman" w:eastAsia="Times New Roman" w:hAnsi="Times New Roman" w:cs="Times New Roman"/>
          <w:color w:val="000000"/>
        </w:rPr>
      </w:pPr>
      <w:r w:rsidRPr="00413366">
        <w:rPr>
          <w:rFonts w:ascii="Times New Roman" w:eastAsia="Times New Roman" w:hAnsi="Times New Roman" w:cs="Times New Roman"/>
          <w:color w:val="000000"/>
        </w:rPr>
        <w:t xml:space="preserve">Table </w:t>
      </w:r>
      <w:r w:rsidRPr="00413366">
        <w:rPr>
          <w:rFonts w:ascii="Times New Roman" w:eastAsia="Times New Roman" w:hAnsi="Times New Roman" w:cs="Times New Roman"/>
        </w:rPr>
        <w:t>3.</w:t>
      </w:r>
    </w:p>
    <w:p w14:paraId="07D10A87" w14:textId="77777777" w:rsidR="006C06C5" w:rsidRPr="00413366" w:rsidRDefault="006C06C5">
      <w:pPr>
        <w:rPr>
          <w:rFonts w:ascii="Times New Roman" w:eastAsia="Times New Roman" w:hAnsi="Times New Roman" w:cs="Times New Roman"/>
          <w:color w:val="000000"/>
        </w:rPr>
      </w:pPr>
    </w:p>
    <w:p w14:paraId="07D10A88" w14:textId="0DC76CA8" w:rsidR="006C06C5" w:rsidRPr="00413366" w:rsidRDefault="00000000">
      <w:pPr>
        <w:rPr>
          <w:rFonts w:ascii="Times New Roman" w:eastAsia="Times New Roman" w:hAnsi="Times New Roman" w:cs="Times New Roman"/>
          <w:i/>
          <w:color w:val="000000"/>
        </w:rPr>
      </w:pPr>
      <w:r w:rsidRPr="00413366">
        <w:rPr>
          <w:rFonts w:ascii="Times New Roman" w:eastAsia="Times New Roman" w:hAnsi="Times New Roman" w:cs="Times New Roman"/>
          <w:i/>
          <w:color w:val="000000"/>
        </w:rPr>
        <w:t xml:space="preserve">Students’ </w:t>
      </w:r>
      <w:r w:rsidRPr="00413366">
        <w:rPr>
          <w:rFonts w:ascii="Times New Roman" w:eastAsia="Times New Roman" w:hAnsi="Times New Roman" w:cs="Times New Roman"/>
          <w:i/>
        </w:rPr>
        <w:t>S</w:t>
      </w:r>
      <w:r w:rsidRPr="00413366">
        <w:rPr>
          <w:rFonts w:ascii="Times New Roman" w:eastAsia="Times New Roman" w:hAnsi="Times New Roman" w:cs="Times New Roman"/>
          <w:i/>
          <w:color w:val="000000"/>
        </w:rPr>
        <w:t>elf-</w:t>
      </w:r>
      <w:r w:rsidRPr="00413366">
        <w:rPr>
          <w:rFonts w:ascii="Times New Roman" w:eastAsia="Times New Roman" w:hAnsi="Times New Roman" w:cs="Times New Roman"/>
          <w:i/>
        </w:rPr>
        <w:t>R</w:t>
      </w:r>
      <w:r w:rsidRPr="00413366">
        <w:rPr>
          <w:rFonts w:ascii="Times New Roman" w:eastAsia="Times New Roman" w:hAnsi="Times New Roman" w:cs="Times New Roman"/>
          <w:i/>
          <w:color w:val="000000"/>
        </w:rPr>
        <w:t xml:space="preserve">eported </w:t>
      </w:r>
      <w:r w:rsidRPr="00413366">
        <w:rPr>
          <w:rFonts w:ascii="Times New Roman" w:eastAsia="Times New Roman" w:hAnsi="Times New Roman" w:cs="Times New Roman"/>
          <w:i/>
        </w:rPr>
        <w:t>A</w:t>
      </w:r>
      <w:r w:rsidRPr="00413366">
        <w:rPr>
          <w:rFonts w:ascii="Times New Roman" w:eastAsia="Times New Roman" w:hAnsi="Times New Roman" w:cs="Times New Roman"/>
          <w:i/>
          <w:color w:val="000000"/>
        </w:rPr>
        <w:t xml:space="preserve">bility and </w:t>
      </w:r>
      <w:r w:rsidRPr="00413366">
        <w:rPr>
          <w:rFonts w:ascii="Times New Roman" w:eastAsia="Times New Roman" w:hAnsi="Times New Roman" w:cs="Times New Roman"/>
          <w:i/>
        </w:rPr>
        <w:t>L</w:t>
      </w:r>
      <w:r w:rsidRPr="00413366">
        <w:rPr>
          <w:rFonts w:ascii="Times New Roman" w:eastAsia="Times New Roman" w:hAnsi="Times New Roman" w:cs="Times New Roman"/>
          <w:i/>
          <w:color w:val="000000"/>
        </w:rPr>
        <w:t xml:space="preserve">earning as a </w:t>
      </w:r>
      <w:r w:rsidRPr="00413366">
        <w:rPr>
          <w:rFonts w:ascii="Times New Roman" w:eastAsia="Times New Roman" w:hAnsi="Times New Roman" w:cs="Times New Roman"/>
          <w:i/>
        </w:rPr>
        <w:t>R</w:t>
      </w:r>
      <w:r w:rsidRPr="00413366">
        <w:rPr>
          <w:rFonts w:ascii="Times New Roman" w:eastAsia="Times New Roman" w:hAnsi="Times New Roman" w:cs="Times New Roman"/>
          <w:i/>
          <w:color w:val="000000"/>
        </w:rPr>
        <w:t xml:space="preserve">esult of the </w:t>
      </w:r>
      <w:r w:rsidRPr="00413366">
        <w:rPr>
          <w:rFonts w:ascii="Times New Roman" w:eastAsia="Times New Roman" w:hAnsi="Times New Roman" w:cs="Times New Roman"/>
          <w:i/>
        </w:rPr>
        <w:t>S</w:t>
      </w:r>
      <w:r w:rsidRPr="00413366">
        <w:rPr>
          <w:rFonts w:ascii="Times New Roman" w:eastAsia="Times New Roman" w:hAnsi="Times New Roman" w:cs="Times New Roman"/>
          <w:i/>
          <w:color w:val="000000"/>
        </w:rPr>
        <w:t>eminar</w:t>
      </w:r>
      <w:r w:rsidR="0008110E" w:rsidRPr="00413366">
        <w:rPr>
          <w:rFonts w:ascii="Times New Roman" w:eastAsia="Times New Roman" w:hAnsi="Times New Roman" w:cs="Times New Roman"/>
          <w:i/>
          <w:color w:val="000000"/>
        </w:rPr>
        <w:t xml:space="preserve"> Series</w:t>
      </w:r>
      <w:r w:rsidRPr="00413366">
        <w:rPr>
          <w:rFonts w:ascii="Times New Roman" w:eastAsia="Times New Roman" w:hAnsi="Times New Roman" w:cs="Times New Roman"/>
          <w:i/>
          <w:color w:val="000000"/>
        </w:rPr>
        <w:t xml:space="preserve"> (n = 110)</w:t>
      </w:r>
    </w:p>
    <w:p w14:paraId="07D10A89" w14:textId="77777777" w:rsidR="006C06C5" w:rsidRPr="00413366" w:rsidRDefault="006C06C5">
      <w:pPr>
        <w:rPr>
          <w:rFonts w:ascii="Times New Roman" w:eastAsia="Times New Roman" w:hAnsi="Times New Roman" w:cs="Times New Roman"/>
          <w:color w:val="000000"/>
        </w:rPr>
      </w:pPr>
    </w:p>
    <w:tbl>
      <w:tblPr>
        <w:tblStyle w:val="a6"/>
        <w:tblW w:w="9468"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5678"/>
        <w:gridCol w:w="1969"/>
        <w:gridCol w:w="1585"/>
        <w:gridCol w:w="236"/>
      </w:tblGrid>
      <w:tr w:rsidR="006C06C5" w:rsidRPr="00413366" w14:paraId="07D10A8E" w14:textId="77777777">
        <w:trPr>
          <w:trHeight w:val="320"/>
        </w:trPr>
        <w:tc>
          <w:tcPr>
            <w:tcW w:w="5678" w:type="dxa"/>
            <w:tcBorders>
              <w:top w:val="single" w:sz="4" w:space="0" w:color="000000"/>
              <w:bottom w:val="single" w:sz="4" w:space="0" w:color="000000"/>
            </w:tcBorders>
          </w:tcPr>
          <w:p w14:paraId="07D10A8A"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rPr>
              <w:t>Statement</w:t>
            </w:r>
          </w:p>
        </w:tc>
        <w:tc>
          <w:tcPr>
            <w:tcW w:w="1969" w:type="dxa"/>
            <w:tcBorders>
              <w:top w:val="single" w:sz="4" w:space="0" w:color="000000"/>
              <w:bottom w:val="single" w:sz="4" w:space="0" w:color="000000"/>
            </w:tcBorders>
          </w:tcPr>
          <w:p w14:paraId="07D10A8B"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color w:val="000000"/>
              </w:rPr>
              <w:t>M</w:t>
            </w:r>
          </w:p>
        </w:tc>
        <w:tc>
          <w:tcPr>
            <w:tcW w:w="1585" w:type="dxa"/>
            <w:tcBorders>
              <w:top w:val="single" w:sz="4" w:space="0" w:color="000000"/>
              <w:bottom w:val="single" w:sz="4" w:space="0" w:color="000000"/>
            </w:tcBorders>
          </w:tcPr>
          <w:p w14:paraId="07D10A8C"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rPr>
              <w:t>SD</w:t>
            </w:r>
          </w:p>
        </w:tc>
        <w:tc>
          <w:tcPr>
            <w:tcW w:w="236" w:type="dxa"/>
            <w:tcBorders>
              <w:top w:val="single" w:sz="4" w:space="0" w:color="000000"/>
              <w:bottom w:val="single" w:sz="4" w:space="0" w:color="000000"/>
            </w:tcBorders>
          </w:tcPr>
          <w:p w14:paraId="07D10A8D" w14:textId="77777777" w:rsidR="006C06C5" w:rsidRPr="00413366" w:rsidRDefault="006C06C5">
            <w:pPr>
              <w:rPr>
                <w:rFonts w:ascii="Times New Roman" w:eastAsia="Times New Roman" w:hAnsi="Times New Roman" w:cs="Times New Roman"/>
                <w:color w:val="000000"/>
              </w:rPr>
            </w:pPr>
          </w:p>
        </w:tc>
      </w:tr>
      <w:tr w:rsidR="006C06C5" w:rsidRPr="00413366" w14:paraId="07D10A93" w14:textId="77777777">
        <w:trPr>
          <w:trHeight w:val="320"/>
        </w:trPr>
        <w:tc>
          <w:tcPr>
            <w:tcW w:w="5678" w:type="dxa"/>
            <w:tcBorders>
              <w:top w:val="single" w:sz="4" w:space="0" w:color="000000"/>
            </w:tcBorders>
          </w:tcPr>
          <w:p w14:paraId="07D10A8F" w14:textId="77777777" w:rsidR="006C06C5" w:rsidRPr="00413366" w:rsidRDefault="00000000">
            <w:pPr>
              <w:rPr>
                <w:rFonts w:ascii="Times New Roman" w:eastAsia="Times New Roman" w:hAnsi="Times New Roman" w:cs="Times New Roman"/>
                <w:color w:val="000000"/>
              </w:rPr>
            </w:pPr>
            <w:r w:rsidRPr="00413366">
              <w:rPr>
                <w:rFonts w:ascii="Times New Roman" w:eastAsia="Times New Roman" w:hAnsi="Times New Roman" w:cs="Times New Roman"/>
                <w:color w:val="000000"/>
              </w:rPr>
              <w:t>To what extent do you feel you are more able to use your critical thinking style because of this training?</w:t>
            </w:r>
          </w:p>
        </w:tc>
        <w:tc>
          <w:tcPr>
            <w:tcW w:w="1969" w:type="dxa"/>
            <w:tcBorders>
              <w:top w:val="single" w:sz="4" w:space="0" w:color="000000"/>
            </w:tcBorders>
          </w:tcPr>
          <w:p w14:paraId="07D10A90"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color w:val="000000"/>
              </w:rPr>
              <w:t>3.66</w:t>
            </w:r>
          </w:p>
        </w:tc>
        <w:tc>
          <w:tcPr>
            <w:tcW w:w="1585" w:type="dxa"/>
            <w:tcBorders>
              <w:top w:val="single" w:sz="4" w:space="0" w:color="000000"/>
            </w:tcBorders>
          </w:tcPr>
          <w:p w14:paraId="07D10A91"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rPr>
              <w:t>0.73</w:t>
            </w:r>
          </w:p>
        </w:tc>
        <w:tc>
          <w:tcPr>
            <w:tcW w:w="236" w:type="dxa"/>
            <w:tcBorders>
              <w:top w:val="single" w:sz="4" w:space="0" w:color="000000"/>
            </w:tcBorders>
          </w:tcPr>
          <w:p w14:paraId="07D10A92" w14:textId="77777777" w:rsidR="006C06C5" w:rsidRPr="00413366" w:rsidRDefault="006C06C5">
            <w:pPr>
              <w:rPr>
                <w:rFonts w:ascii="Times New Roman" w:eastAsia="Times New Roman" w:hAnsi="Times New Roman" w:cs="Times New Roman"/>
                <w:color w:val="000000"/>
              </w:rPr>
            </w:pPr>
          </w:p>
        </w:tc>
      </w:tr>
      <w:tr w:rsidR="006C06C5" w:rsidRPr="00413366" w14:paraId="07D10A98" w14:textId="77777777">
        <w:trPr>
          <w:trHeight w:val="320"/>
        </w:trPr>
        <w:tc>
          <w:tcPr>
            <w:tcW w:w="5678" w:type="dxa"/>
          </w:tcPr>
          <w:p w14:paraId="07D10A94" w14:textId="77777777" w:rsidR="006C06C5" w:rsidRPr="00413366" w:rsidRDefault="00000000">
            <w:pPr>
              <w:rPr>
                <w:rFonts w:ascii="Times New Roman" w:eastAsia="Times New Roman" w:hAnsi="Times New Roman" w:cs="Times New Roman"/>
                <w:color w:val="000000"/>
              </w:rPr>
            </w:pPr>
            <w:r w:rsidRPr="00413366">
              <w:rPr>
                <w:rFonts w:ascii="Times New Roman" w:eastAsia="Times New Roman" w:hAnsi="Times New Roman" w:cs="Times New Roman"/>
                <w:color w:val="000000"/>
              </w:rPr>
              <w:t>To what extent did using a real-world case study help you learn about critical thinking?</w:t>
            </w:r>
          </w:p>
        </w:tc>
        <w:tc>
          <w:tcPr>
            <w:tcW w:w="1969" w:type="dxa"/>
          </w:tcPr>
          <w:p w14:paraId="07D10A95"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color w:val="000000"/>
              </w:rPr>
              <w:t>3.86</w:t>
            </w:r>
          </w:p>
        </w:tc>
        <w:tc>
          <w:tcPr>
            <w:tcW w:w="1585" w:type="dxa"/>
          </w:tcPr>
          <w:p w14:paraId="07D10A96"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rPr>
              <w:t>0.88</w:t>
            </w:r>
          </w:p>
        </w:tc>
        <w:tc>
          <w:tcPr>
            <w:tcW w:w="236" w:type="dxa"/>
          </w:tcPr>
          <w:p w14:paraId="07D10A97" w14:textId="77777777" w:rsidR="006C06C5" w:rsidRPr="00413366" w:rsidRDefault="006C06C5">
            <w:pPr>
              <w:rPr>
                <w:rFonts w:ascii="Times New Roman" w:eastAsia="Times New Roman" w:hAnsi="Times New Roman" w:cs="Times New Roman"/>
                <w:color w:val="000000"/>
              </w:rPr>
            </w:pPr>
          </w:p>
        </w:tc>
      </w:tr>
      <w:tr w:rsidR="006C06C5" w:rsidRPr="00413366" w14:paraId="07D10A9D" w14:textId="77777777">
        <w:trPr>
          <w:trHeight w:val="320"/>
        </w:trPr>
        <w:tc>
          <w:tcPr>
            <w:tcW w:w="5678" w:type="dxa"/>
          </w:tcPr>
          <w:p w14:paraId="07D10A99" w14:textId="77777777" w:rsidR="006C06C5" w:rsidRPr="00413366" w:rsidRDefault="00000000">
            <w:pPr>
              <w:rPr>
                <w:rFonts w:ascii="Times New Roman" w:eastAsia="Times New Roman" w:hAnsi="Times New Roman" w:cs="Times New Roman"/>
                <w:color w:val="000000"/>
              </w:rPr>
            </w:pPr>
            <w:r w:rsidRPr="00413366">
              <w:rPr>
                <w:rFonts w:ascii="Times New Roman" w:eastAsia="Times New Roman" w:hAnsi="Times New Roman" w:cs="Times New Roman"/>
                <w:color w:val="000000"/>
              </w:rPr>
              <w:t>To what extent did using this real-world case study help you learn about community-based social marketing?</w:t>
            </w:r>
          </w:p>
        </w:tc>
        <w:tc>
          <w:tcPr>
            <w:tcW w:w="1969" w:type="dxa"/>
          </w:tcPr>
          <w:p w14:paraId="07D10A9A"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color w:val="000000"/>
              </w:rPr>
              <w:t>4.12</w:t>
            </w:r>
          </w:p>
        </w:tc>
        <w:tc>
          <w:tcPr>
            <w:tcW w:w="1585" w:type="dxa"/>
          </w:tcPr>
          <w:p w14:paraId="07D10A9B" w14:textId="77777777" w:rsidR="006C06C5" w:rsidRPr="00413366" w:rsidRDefault="00000000">
            <w:pPr>
              <w:jc w:val="center"/>
              <w:rPr>
                <w:rFonts w:ascii="Times New Roman" w:eastAsia="Times New Roman" w:hAnsi="Times New Roman" w:cs="Times New Roman"/>
                <w:color w:val="000000"/>
              </w:rPr>
            </w:pPr>
            <w:r w:rsidRPr="00413366">
              <w:rPr>
                <w:rFonts w:ascii="Times New Roman" w:eastAsia="Times New Roman" w:hAnsi="Times New Roman" w:cs="Times New Roman"/>
              </w:rPr>
              <w:t>0.67</w:t>
            </w:r>
          </w:p>
        </w:tc>
        <w:tc>
          <w:tcPr>
            <w:tcW w:w="236" w:type="dxa"/>
          </w:tcPr>
          <w:p w14:paraId="07D10A9C" w14:textId="77777777" w:rsidR="006C06C5" w:rsidRPr="00413366" w:rsidRDefault="006C06C5">
            <w:pPr>
              <w:rPr>
                <w:rFonts w:ascii="Times New Roman" w:eastAsia="Times New Roman" w:hAnsi="Times New Roman" w:cs="Times New Roman"/>
                <w:color w:val="000000"/>
              </w:rPr>
            </w:pPr>
          </w:p>
        </w:tc>
      </w:tr>
    </w:tbl>
    <w:p w14:paraId="07D10A9E"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i/>
        </w:rPr>
        <w:t>Note.</w:t>
      </w:r>
      <w:r w:rsidRPr="00413366">
        <w:rPr>
          <w:rFonts w:ascii="Times New Roman" w:eastAsia="Times New Roman" w:hAnsi="Times New Roman" w:cs="Times New Roman"/>
        </w:rPr>
        <w:t xml:space="preserve"> Real limits: </w:t>
      </w:r>
      <w:r w:rsidRPr="00413366">
        <w:rPr>
          <w:rFonts w:ascii="Times New Roman" w:eastAsia="Times New Roman" w:hAnsi="Times New Roman" w:cs="Times New Roman"/>
          <w:color w:val="000000"/>
        </w:rPr>
        <w:t xml:space="preserve">1.0-1.49 = </w:t>
      </w:r>
      <w:r w:rsidRPr="00413366">
        <w:rPr>
          <w:rFonts w:ascii="Times New Roman" w:eastAsia="Times New Roman" w:hAnsi="Times New Roman" w:cs="Times New Roman"/>
        </w:rPr>
        <w:t>n</w:t>
      </w:r>
      <w:r w:rsidRPr="00413366">
        <w:rPr>
          <w:rFonts w:ascii="Times New Roman" w:eastAsia="Times New Roman" w:hAnsi="Times New Roman" w:cs="Times New Roman"/>
          <w:color w:val="000000"/>
        </w:rPr>
        <w:t xml:space="preserve">ot at all; 1.5-2.49 = </w:t>
      </w:r>
      <w:r w:rsidRPr="00413366">
        <w:rPr>
          <w:rFonts w:ascii="Times New Roman" w:eastAsia="Times New Roman" w:hAnsi="Times New Roman" w:cs="Times New Roman"/>
        </w:rPr>
        <w:t>v</w:t>
      </w:r>
      <w:r w:rsidRPr="00413366">
        <w:rPr>
          <w:rFonts w:ascii="Times New Roman" w:eastAsia="Times New Roman" w:hAnsi="Times New Roman" w:cs="Times New Roman"/>
          <w:color w:val="000000"/>
        </w:rPr>
        <w:t xml:space="preserve">ery little; 2.5-3.49 =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omewhat; 3.5-4.49 = </w:t>
      </w:r>
      <w:r w:rsidRPr="00413366">
        <w:rPr>
          <w:rFonts w:ascii="Times New Roman" w:eastAsia="Times New Roman" w:hAnsi="Times New Roman" w:cs="Times New Roman"/>
        </w:rPr>
        <w:t>q</w:t>
      </w:r>
      <w:r w:rsidRPr="00413366">
        <w:rPr>
          <w:rFonts w:ascii="Times New Roman" w:eastAsia="Times New Roman" w:hAnsi="Times New Roman" w:cs="Times New Roman"/>
          <w:color w:val="000000"/>
        </w:rPr>
        <w:t xml:space="preserve">uite a bit; 4.5-5.0 = </w:t>
      </w:r>
      <w:r w:rsidRPr="00413366">
        <w:rPr>
          <w:rFonts w:ascii="Times New Roman" w:eastAsia="Times New Roman" w:hAnsi="Times New Roman" w:cs="Times New Roman"/>
        </w:rPr>
        <w:t>a</w:t>
      </w:r>
      <w:r w:rsidRPr="00413366">
        <w:rPr>
          <w:rFonts w:ascii="Times New Roman" w:eastAsia="Times New Roman" w:hAnsi="Times New Roman" w:cs="Times New Roman"/>
          <w:color w:val="000000"/>
        </w:rPr>
        <w:t xml:space="preserve"> great deal.</w:t>
      </w:r>
    </w:p>
    <w:p w14:paraId="07D10A9F" w14:textId="77777777" w:rsidR="006C06C5" w:rsidRPr="00413366" w:rsidRDefault="006C06C5">
      <w:pPr>
        <w:rPr>
          <w:rFonts w:ascii="Times New Roman" w:eastAsia="Times New Roman" w:hAnsi="Times New Roman" w:cs="Times New Roman"/>
        </w:rPr>
      </w:pPr>
    </w:p>
    <w:p w14:paraId="07D10AA0" w14:textId="77777777" w:rsidR="006C06C5" w:rsidRPr="00413366" w:rsidRDefault="00000000">
      <w:pPr>
        <w:ind w:firstLine="720"/>
        <w:rPr>
          <w:rFonts w:ascii="Times New Roman" w:eastAsia="Times New Roman" w:hAnsi="Times New Roman" w:cs="Times New Roman"/>
        </w:rPr>
      </w:pPr>
      <w:r w:rsidRPr="00413366">
        <w:rPr>
          <w:rFonts w:ascii="Times New Roman" w:eastAsia="Times New Roman" w:hAnsi="Times New Roman" w:cs="Times New Roman"/>
        </w:rPr>
        <w:t xml:space="preserve">Objective two was to describe the change in respondents’ thinking about agricultural communications, marketing tools, and influencing behavior change. Paired samples t-tests showed that changes in mean for each of the three statements related to change in perspective in Table 4 are significant at the &lt;0.001 level. Cohen’s d values showed a medium effect size ranging from 0.55 to 0.77. Variations in n were due to elimination of “cannot judge” responses in the “before” response.   </w:t>
      </w:r>
    </w:p>
    <w:p w14:paraId="07D10AA1" w14:textId="77777777" w:rsidR="006C06C5" w:rsidRPr="00413366" w:rsidRDefault="006C06C5">
      <w:pPr>
        <w:rPr>
          <w:rFonts w:ascii="Times New Roman" w:eastAsia="Times New Roman" w:hAnsi="Times New Roman" w:cs="Times New Roman"/>
        </w:rPr>
      </w:pPr>
    </w:p>
    <w:p w14:paraId="07D10AA2"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Table 4.</w:t>
      </w:r>
    </w:p>
    <w:p w14:paraId="07D10AA3" w14:textId="77777777" w:rsidR="006C06C5" w:rsidRPr="00413366" w:rsidRDefault="006C06C5">
      <w:pPr>
        <w:rPr>
          <w:rFonts w:ascii="Times New Roman" w:eastAsia="Times New Roman" w:hAnsi="Times New Roman" w:cs="Times New Roman"/>
        </w:rPr>
      </w:pPr>
    </w:p>
    <w:p w14:paraId="07D10AA4" w14:textId="77777777" w:rsidR="006C06C5" w:rsidRPr="00413366" w:rsidRDefault="00000000">
      <w:pPr>
        <w:rPr>
          <w:rFonts w:ascii="Times New Roman" w:eastAsia="Times New Roman" w:hAnsi="Times New Roman" w:cs="Times New Roman"/>
          <w:i/>
        </w:rPr>
      </w:pPr>
      <w:r w:rsidRPr="00413366">
        <w:rPr>
          <w:rFonts w:ascii="Times New Roman" w:eastAsia="Times New Roman" w:hAnsi="Times New Roman" w:cs="Times New Roman"/>
          <w:i/>
        </w:rPr>
        <w:t>Changes in Student Perspective Based on Retrospective Pretest-Posttest Statements</w:t>
      </w:r>
    </w:p>
    <w:p w14:paraId="07D10AA5" w14:textId="77777777" w:rsidR="006C06C5" w:rsidRPr="00413366" w:rsidRDefault="006C06C5">
      <w:pPr>
        <w:rPr>
          <w:rFonts w:ascii="Times New Roman" w:eastAsia="Times New Roman" w:hAnsi="Times New Roman" w:cs="Times New Roman"/>
        </w:rPr>
      </w:pPr>
    </w:p>
    <w:tbl>
      <w:tblPr>
        <w:tblStyle w:val="a7"/>
        <w:tblW w:w="954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3315"/>
        <w:gridCol w:w="660"/>
        <w:gridCol w:w="690"/>
        <w:gridCol w:w="660"/>
        <w:gridCol w:w="735"/>
        <w:gridCol w:w="645"/>
        <w:gridCol w:w="675"/>
        <w:gridCol w:w="915"/>
        <w:gridCol w:w="1245"/>
      </w:tblGrid>
      <w:tr w:rsidR="006C06C5" w:rsidRPr="00413366" w14:paraId="07D10AAD" w14:textId="77777777" w:rsidTr="00E57F3A">
        <w:trPr>
          <w:trHeight w:val="320"/>
        </w:trPr>
        <w:tc>
          <w:tcPr>
            <w:tcW w:w="3315" w:type="dxa"/>
            <w:tcBorders>
              <w:top w:val="single" w:sz="4" w:space="0" w:color="000000"/>
            </w:tcBorders>
            <w:vAlign w:val="bottom"/>
          </w:tcPr>
          <w:p w14:paraId="07D10AA6" w14:textId="77777777" w:rsidR="006C06C5" w:rsidRPr="00413366" w:rsidRDefault="006C06C5">
            <w:pPr>
              <w:rPr>
                <w:rFonts w:ascii="Times New Roman" w:eastAsia="Times New Roman" w:hAnsi="Times New Roman" w:cs="Times New Roman"/>
              </w:rPr>
            </w:pPr>
          </w:p>
        </w:tc>
        <w:tc>
          <w:tcPr>
            <w:tcW w:w="1350" w:type="dxa"/>
            <w:gridSpan w:val="2"/>
            <w:tcBorders>
              <w:top w:val="single" w:sz="4" w:space="0" w:color="000000"/>
            </w:tcBorders>
            <w:vAlign w:val="bottom"/>
          </w:tcPr>
          <w:p w14:paraId="07D10AA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Before</w:t>
            </w:r>
          </w:p>
        </w:tc>
        <w:tc>
          <w:tcPr>
            <w:tcW w:w="1395" w:type="dxa"/>
            <w:gridSpan w:val="2"/>
            <w:tcBorders>
              <w:top w:val="single" w:sz="4" w:space="0" w:color="000000"/>
            </w:tcBorders>
            <w:vAlign w:val="bottom"/>
          </w:tcPr>
          <w:p w14:paraId="07D10AA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After</w:t>
            </w:r>
          </w:p>
        </w:tc>
        <w:tc>
          <w:tcPr>
            <w:tcW w:w="645" w:type="dxa"/>
            <w:tcBorders>
              <w:top w:val="single" w:sz="4" w:space="0" w:color="000000"/>
            </w:tcBorders>
            <w:vAlign w:val="bottom"/>
          </w:tcPr>
          <w:p w14:paraId="07D10AA9" w14:textId="77777777" w:rsidR="006C06C5" w:rsidRPr="00413366" w:rsidRDefault="006C06C5">
            <w:pPr>
              <w:rPr>
                <w:rFonts w:ascii="Times New Roman" w:eastAsia="Times New Roman" w:hAnsi="Times New Roman" w:cs="Times New Roman"/>
              </w:rPr>
            </w:pPr>
          </w:p>
        </w:tc>
        <w:tc>
          <w:tcPr>
            <w:tcW w:w="675" w:type="dxa"/>
            <w:tcBorders>
              <w:top w:val="single" w:sz="4" w:space="0" w:color="000000"/>
            </w:tcBorders>
            <w:vAlign w:val="bottom"/>
          </w:tcPr>
          <w:p w14:paraId="07D10AAA" w14:textId="77777777" w:rsidR="006C06C5" w:rsidRPr="00413366" w:rsidRDefault="006C06C5">
            <w:pPr>
              <w:rPr>
                <w:rFonts w:ascii="Times New Roman" w:eastAsia="Times New Roman" w:hAnsi="Times New Roman" w:cs="Times New Roman"/>
              </w:rPr>
            </w:pPr>
          </w:p>
        </w:tc>
        <w:tc>
          <w:tcPr>
            <w:tcW w:w="915" w:type="dxa"/>
            <w:tcBorders>
              <w:top w:val="single" w:sz="4" w:space="0" w:color="000000"/>
            </w:tcBorders>
            <w:vAlign w:val="bottom"/>
          </w:tcPr>
          <w:p w14:paraId="07D10AAB" w14:textId="77777777" w:rsidR="006C06C5" w:rsidRPr="00413366" w:rsidRDefault="006C06C5">
            <w:pPr>
              <w:rPr>
                <w:rFonts w:ascii="Times New Roman" w:eastAsia="Times New Roman" w:hAnsi="Times New Roman" w:cs="Times New Roman"/>
              </w:rPr>
            </w:pPr>
          </w:p>
        </w:tc>
        <w:tc>
          <w:tcPr>
            <w:tcW w:w="1245" w:type="dxa"/>
            <w:tcBorders>
              <w:top w:val="single" w:sz="4" w:space="0" w:color="000000"/>
            </w:tcBorders>
            <w:vAlign w:val="bottom"/>
          </w:tcPr>
          <w:p w14:paraId="07D10AAC" w14:textId="77777777" w:rsidR="006C06C5" w:rsidRPr="00413366" w:rsidRDefault="006C06C5">
            <w:pPr>
              <w:rPr>
                <w:rFonts w:ascii="Times New Roman" w:eastAsia="Times New Roman" w:hAnsi="Times New Roman" w:cs="Times New Roman"/>
              </w:rPr>
            </w:pPr>
          </w:p>
        </w:tc>
      </w:tr>
      <w:tr w:rsidR="006C06C5" w:rsidRPr="00413366" w14:paraId="07D10AB7" w14:textId="77777777" w:rsidTr="00E57F3A">
        <w:trPr>
          <w:trHeight w:val="320"/>
        </w:trPr>
        <w:tc>
          <w:tcPr>
            <w:tcW w:w="3315" w:type="dxa"/>
            <w:tcBorders>
              <w:bottom w:val="single" w:sz="4" w:space="0" w:color="000000"/>
            </w:tcBorders>
            <w:vAlign w:val="bottom"/>
          </w:tcPr>
          <w:p w14:paraId="07D10AA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Statement</w:t>
            </w:r>
          </w:p>
        </w:tc>
        <w:tc>
          <w:tcPr>
            <w:tcW w:w="660" w:type="dxa"/>
            <w:tcBorders>
              <w:bottom w:val="single" w:sz="4" w:space="0" w:color="000000"/>
            </w:tcBorders>
            <w:vAlign w:val="bottom"/>
          </w:tcPr>
          <w:p w14:paraId="07D10AA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M</w:t>
            </w:r>
          </w:p>
        </w:tc>
        <w:tc>
          <w:tcPr>
            <w:tcW w:w="690" w:type="dxa"/>
            <w:tcBorders>
              <w:bottom w:val="single" w:sz="4" w:space="0" w:color="000000"/>
            </w:tcBorders>
            <w:vAlign w:val="bottom"/>
          </w:tcPr>
          <w:p w14:paraId="07D10AB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SD</w:t>
            </w:r>
          </w:p>
        </w:tc>
        <w:tc>
          <w:tcPr>
            <w:tcW w:w="660" w:type="dxa"/>
            <w:tcBorders>
              <w:bottom w:val="single" w:sz="4" w:space="0" w:color="000000"/>
            </w:tcBorders>
            <w:vAlign w:val="bottom"/>
          </w:tcPr>
          <w:p w14:paraId="07D10AB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M</w:t>
            </w:r>
          </w:p>
        </w:tc>
        <w:tc>
          <w:tcPr>
            <w:tcW w:w="735" w:type="dxa"/>
            <w:tcBorders>
              <w:bottom w:val="single" w:sz="4" w:space="0" w:color="000000"/>
            </w:tcBorders>
            <w:vAlign w:val="bottom"/>
          </w:tcPr>
          <w:p w14:paraId="07D10AB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SD</w:t>
            </w:r>
          </w:p>
        </w:tc>
        <w:tc>
          <w:tcPr>
            <w:tcW w:w="645" w:type="dxa"/>
            <w:tcBorders>
              <w:bottom w:val="single" w:sz="4" w:space="0" w:color="000000"/>
            </w:tcBorders>
            <w:vAlign w:val="bottom"/>
          </w:tcPr>
          <w:p w14:paraId="07D10AB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t</w:t>
            </w:r>
          </w:p>
        </w:tc>
        <w:tc>
          <w:tcPr>
            <w:tcW w:w="675" w:type="dxa"/>
            <w:tcBorders>
              <w:bottom w:val="single" w:sz="4" w:space="0" w:color="000000"/>
            </w:tcBorders>
            <w:vAlign w:val="bottom"/>
          </w:tcPr>
          <w:p w14:paraId="07D10AB4" w14:textId="77777777" w:rsidR="006C06C5" w:rsidRPr="00413366" w:rsidRDefault="00000000">
            <w:pPr>
              <w:jc w:val="center"/>
              <w:rPr>
                <w:rFonts w:ascii="Times New Roman" w:eastAsia="Times New Roman" w:hAnsi="Times New Roman" w:cs="Times New Roman"/>
              </w:rPr>
            </w:pPr>
            <w:proofErr w:type="spellStart"/>
            <w:r w:rsidRPr="00413366">
              <w:rPr>
                <w:rFonts w:ascii="Times New Roman" w:eastAsia="Times New Roman" w:hAnsi="Times New Roman" w:cs="Times New Roman"/>
              </w:rPr>
              <w:t>df</w:t>
            </w:r>
            <w:proofErr w:type="spellEnd"/>
          </w:p>
        </w:tc>
        <w:tc>
          <w:tcPr>
            <w:tcW w:w="915" w:type="dxa"/>
            <w:tcBorders>
              <w:bottom w:val="single" w:sz="4" w:space="0" w:color="000000"/>
            </w:tcBorders>
            <w:vAlign w:val="bottom"/>
          </w:tcPr>
          <w:p w14:paraId="07D10AB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p</w:t>
            </w:r>
          </w:p>
        </w:tc>
        <w:tc>
          <w:tcPr>
            <w:tcW w:w="1245" w:type="dxa"/>
            <w:tcBorders>
              <w:bottom w:val="single" w:sz="4" w:space="0" w:color="000000"/>
            </w:tcBorders>
            <w:vAlign w:val="bottom"/>
          </w:tcPr>
          <w:p w14:paraId="07D10AB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Cohen’s d</w:t>
            </w:r>
          </w:p>
        </w:tc>
      </w:tr>
      <w:tr w:rsidR="006C06C5" w:rsidRPr="00413366" w14:paraId="07D10AC1" w14:textId="77777777" w:rsidTr="00E57F3A">
        <w:trPr>
          <w:trHeight w:val="320"/>
        </w:trPr>
        <w:tc>
          <w:tcPr>
            <w:tcW w:w="3315" w:type="dxa"/>
            <w:tcBorders>
              <w:top w:val="single" w:sz="4" w:space="0" w:color="000000"/>
            </w:tcBorders>
          </w:tcPr>
          <w:p w14:paraId="07D10AB8"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I think that Community-based social marketing is a useful outreach tool (</w:t>
            </w:r>
            <w:r w:rsidRPr="00413366">
              <w:rPr>
                <w:rFonts w:ascii="Times New Roman" w:eastAsia="Times New Roman" w:hAnsi="Times New Roman" w:cs="Times New Roman"/>
                <w:i/>
              </w:rPr>
              <w:t>n =</w:t>
            </w:r>
            <w:r w:rsidRPr="00413366">
              <w:rPr>
                <w:rFonts w:ascii="Times New Roman" w:eastAsia="Times New Roman" w:hAnsi="Times New Roman" w:cs="Times New Roman"/>
              </w:rPr>
              <w:t xml:space="preserve"> 84)</w:t>
            </w:r>
          </w:p>
        </w:tc>
        <w:tc>
          <w:tcPr>
            <w:tcW w:w="660" w:type="dxa"/>
            <w:tcBorders>
              <w:top w:val="single" w:sz="4" w:space="0" w:color="000000"/>
            </w:tcBorders>
          </w:tcPr>
          <w:p w14:paraId="07D10AB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2.99</w:t>
            </w:r>
          </w:p>
        </w:tc>
        <w:tc>
          <w:tcPr>
            <w:tcW w:w="690" w:type="dxa"/>
            <w:tcBorders>
              <w:top w:val="single" w:sz="4" w:space="0" w:color="000000"/>
            </w:tcBorders>
          </w:tcPr>
          <w:p w14:paraId="07D10AB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0.67</w:t>
            </w:r>
          </w:p>
        </w:tc>
        <w:tc>
          <w:tcPr>
            <w:tcW w:w="660" w:type="dxa"/>
            <w:tcBorders>
              <w:top w:val="single" w:sz="4" w:space="0" w:color="000000"/>
            </w:tcBorders>
          </w:tcPr>
          <w:p w14:paraId="07D10AB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3.44</w:t>
            </w:r>
          </w:p>
        </w:tc>
        <w:tc>
          <w:tcPr>
            <w:tcW w:w="735" w:type="dxa"/>
            <w:tcBorders>
              <w:top w:val="single" w:sz="4" w:space="0" w:color="000000"/>
            </w:tcBorders>
          </w:tcPr>
          <w:p w14:paraId="07D10AB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0.52</w:t>
            </w:r>
          </w:p>
        </w:tc>
        <w:tc>
          <w:tcPr>
            <w:tcW w:w="645" w:type="dxa"/>
            <w:tcBorders>
              <w:top w:val="single" w:sz="4" w:space="0" w:color="000000"/>
            </w:tcBorders>
          </w:tcPr>
          <w:p w14:paraId="07D10AB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6.40</w:t>
            </w:r>
          </w:p>
        </w:tc>
        <w:tc>
          <w:tcPr>
            <w:tcW w:w="675" w:type="dxa"/>
            <w:tcBorders>
              <w:top w:val="single" w:sz="4" w:space="0" w:color="000000"/>
            </w:tcBorders>
          </w:tcPr>
          <w:p w14:paraId="07D10AB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83</w:t>
            </w:r>
          </w:p>
        </w:tc>
        <w:tc>
          <w:tcPr>
            <w:tcW w:w="915" w:type="dxa"/>
            <w:tcBorders>
              <w:top w:val="single" w:sz="4" w:space="0" w:color="000000"/>
            </w:tcBorders>
          </w:tcPr>
          <w:p w14:paraId="07D10AB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245" w:type="dxa"/>
            <w:tcBorders>
              <w:top w:val="single" w:sz="4" w:space="0" w:color="000000"/>
            </w:tcBorders>
          </w:tcPr>
          <w:p w14:paraId="07D10AC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0.70</w:t>
            </w:r>
          </w:p>
        </w:tc>
      </w:tr>
      <w:tr w:rsidR="006C06C5" w:rsidRPr="00413366" w14:paraId="07D10ACB" w14:textId="77777777" w:rsidTr="00E57F3A">
        <w:trPr>
          <w:trHeight w:val="320"/>
        </w:trPr>
        <w:tc>
          <w:tcPr>
            <w:tcW w:w="3315" w:type="dxa"/>
          </w:tcPr>
          <w:p w14:paraId="07D10AC2"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Influencing behavior change is something I'm interested in as part of my career (</w:t>
            </w:r>
            <w:r w:rsidRPr="00413366">
              <w:rPr>
                <w:rFonts w:ascii="Times New Roman" w:eastAsia="Times New Roman" w:hAnsi="Times New Roman" w:cs="Times New Roman"/>
                <w:i/>
              </w:rPr>
              <w:t>n =</w:t>
            </w:r>
            <w:r w:rsidRPr="00413366">
              <w:rPr>
                <w:rFonts w:ascii="Times New Roman" w:eastAsia="Times New Roman" w:hAnsi="Times New Roman" w:cs="Times New Roman"/>
              </w:rPr>
              <w:t xml:space="preserve"> 93)</w:t>
            </w:r>
          </w:p>
        </w:tc>
        <w:tc>
          <w:tcPr>
            <w:tcW w:w="660" w:type="dxa"/>
          </w:tcPr>
          <w:p w14:paraId="07D10AC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2.57</w:t>
            </w:r>
          </w:p>
        </w:tc>
        <w:tc>
          <w:tcPr>
            <w:tcW w:w="690" w:type="dxa"/>
          </w:tcPr>
          <w:p w14:paraId="07D10AC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0.76</w:t>
            </w:r>
          </w:p>
        </w:tc>
        <w:tc>
          <w:tcPr>
            <w:tcW w:w="660" w:type="dxa"/>
          </w:tcPr>
          <w:p w14:paraId="07D10AC5"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3.00</w:t>
            </w:r>
          </w:p>
        </w:tc>
        <w:tc>
          <w:tcPr>
            <w:tcW w:w="735" w:type="dxa"/>
          </w:tcPr>
          <w:p w14:paraId="07D10AC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0.61</w:t>
            </w:r>
          </w:p>
        </w:tc>
        <w:tc>
          <w:tcPr>
            <w:tcW w:w="645" w:type="dxa"/>
          </w:tcPr>
          <w:p w14:paraId="07D10AC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7.41</w:t>
            </w:r>
          </w:p>
        </w:tc>
        <w:tc>
          <w:tcPr>
            <w:tcW w:w="675" w:type="dxa"/>
          </w:tcPr>
          <w:p w14:paraId="07D10AC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92</w:t>
            </w:r>
          </w:p>
        </w:tc>
        <w:tc>
          <w:tcPr>
            <w:tcW w:w="915" w:type="dxa"/>
          </w:tcPr>
          <w:p w14:paraId="07D10AC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245" w:type="dxa"/>
          </w:tcPr>
          <w:p w14:paraId="07D10ACA"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0.77</w:t>
            </w:r>
          </w:p>
        </w:tc>
      </w:tr>
      <w:tr w:rsidR="006C06C5" w:rsidRPr="00413366" w14:paraId="07D10AD5" w14:textId="77777777" w:rsidTr="00E57F3A">
        <w:trPr>
          <w:trHeight w:val="320"/>
        </w:trPr>
        <w:tc>
          <w:tcPr>
            <w:tcW w:w="3315" w:type="dxa"/>
          </w:tcPr>
          <w:p w14:paraId="07D10ACC"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Communicating about agriculture, food and natural resource issues is important to me (</w:t>
            </w:r>
            <w:r w:rsidRPr="00413366">
              <w:rPr>
                <w:rFonts w:ascii="Times New Roman" w:eastAsia="Times New Roman" w:hAnsi="Times New Roman" w:cs="Times New Roman"/>
                <w:i/>
              </w:rPr>
              <w:t>n =</w:t>
            </w:r>
            <w:r w:rsidRPr="00413366">
              <w:rPr>
                <w:rFonts w:ascii="Times New Roman" w:eastAsia="Times New Roman" w:hAnsi="Times New Roman" w:cs="Times New Roman"/>
              </w:rPr>
              <w:t xml:space="preserve"> 102)</w:t>
            </w:r>
          </w:p>
        </w:tc>
        <w:tc>
          <w:tcPr>
            <w:tcW w:w="660" w:type="dxa"/>
          </w:tcPr>
          <w:p w14:paraId="07D10AC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3.23</w:t>
            </w:r>
          </w:p>
        </w:tc>
        <w:tc>
          <w:tcPr>
            <w:tcW w:w="690" w:type="dxa"/>
          </w:tcPr>
          <w:p w14:paraId="07D10AC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0.60</w:t>
            </w:r>
          </w:p>
        </w:tc>
        <w:tc>
          <w:tcPr>
            <w:tcW w:w="660" w:type="dxa"/>
          </w:tcPr>
          <w:p w14:paraId="07D10AC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3.49</w:t>
            </w:r>
          </w:p>
        </w:tc>
        <w:tc>
          <w:tcPr>
            <w:tcW w:w="735" w:type="dxa"/>
          </w:tcPr>
          <w:p w14:paraId="07D10AD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0.52</w:t>
            </w:r>
          </w:p>
        </w:tc>
        <w:tc>
          <w:tcPr>
            <w:tcW w:w="645" w:type="dxa"/>
          </w:tcPr>
          <w:p w14:paraId="07D10AD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5.50</w:t>
            </w:r>
          </w:p>
        </w:tc>
        <w:tc>
          <w:tcPr>
            <w:tcW w:w="675" w:type="dxa"/>
          </w:tcPr>
          <w:p w14:paraId="07D10AD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101</w:t>
            </w:r>
          </w:p>
        </w:tc>
        <w:tc>
          <w:tcPr>
            <w:tcW w:w="915" w:type="dxa"/>
          </w:tcPr>
          <w:p w14:paraId="07D10AD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&lt;0.001</w:t>
            </w:r>
          </w:p>
        </w:tc>
        <w:tc>
          <w:tcPr>
            <w:tcW w:w="1245" w:type="dxa"/>
          </w:tcPr>
          <w:p w14:paraId="07D10AD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0.55</w:t>
            </w:r>
          </w:p>
        </w:tc>
      </w:tr>
    </w:tbl>
    <w:p w14:paraId="07D10AD6"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i/>
        </w:rPr>
        <w:t>Note:</w:t>
      </w:r>
      <w:r w:rsidRPr="00413366">
        <w:rPr>
          <w:rFonts w:ascii="Times New Roman" w:eastAsia="Times New Roman" w:hAnsi="Times New Roman" w:cs="Times New Roman"/>
        </w:rPr>
        <w:t xml:space="preserve"> Real limits: 1.0-1.49 = strongly disagree; 1.5-2.49 = disagree; 2.5-3.49 = agree; 3.5-4.0 = strongly agree.</w:t>
      </w:r>
    </w:p>
    <w:p w14:paraId="07D10AD7" w14:textId="77777777" w:rsidR="006C06C5" w:rsidRPr="00413366" w:rsidRDefault="006C06C5">
      <w:pPr>
        <w:rPr>
          <w:rFonts w:ascii="Times New Roman" w:eastAsia="Times New Roman" w:hAnsi="Times New Roman" w:cs="Times New Roman"/>
        </w:rPr>
      </w:pPr>
    </w:p>
    <w:p w14:paraId="07D10AD8" w14:textId="3536A1B7" w:rsidR="006C06C5" w:rsidRPr="00413366" w:rsidRDefault="00000000">
      <w:pPr>
        <w:ind w:firstLine="720"/>
        <w:rPr>
          <w:rFonts w:ascii="Times New Roman" w:eastAsia="Times New Roman" w:hAnsi="Times New Roman" w:cs="Times New Roman"/>
        </w:rPr>
      </w:pPr>
      <w:r w:rsidRPr="00413366">
        <w:rPr>
          <w:rFonts w:ascii="Times New Roman" w:eastAsia="Times New Roman" w:hAnsi="Times New Roman" w:cs="Times New Roman"/>
        </w:rPr>
        <w:t>Objective three was to describe respondents</w:t>
      </w:r>
      <w:r w:rsidR="00FE1083" w:rsidRPr="00413366">
        <w:rPr>
          <w:rFonts w:ascii="Times New Roman" w:eastAsia="Times New Roman" w:hAnsi="Times New Roman" w:cs="Times New Roman"/>
        </w:rPr>
        <w:t>’</w:t>
      </w:r>
      <w:r w:rsidRPr="00413366">
        <w:rPr>
          <w:rFonts w:ascii="Times New Roman" w:eastAsia="Times New Roman" w:hAnsi="Times New Roman" w:cs="Times New Roman"/>
        </w:rPr>
        <w:t xml:space="preserve"> self-perceived learning about critical thinking style inside and outside of the classroom. With choices between “no,” “maybe,” and </w:t>
      </w:r>
      <w:r w:rsidRPr="00413366">
        <w:rPr>
          <w:rFonts w:ascii="Times New Roman" w:eastAsia="Times New Roman" w:hAnsi="Times New Roman" w:cs="Times New Roman"/>
        </w:rPr>
        <w:lastRenderedPageBreak/>
        <w:t>“yes,” 78% (</w:t>
      </w:r>
      <w:r w:rsidRPr="00413366">
        <w:rPr>
          <w:rFonts w:ascii="Times New Roman" w:eastAsia="Times New Roman" w:hAnsi="Times New Roman" w:cs="Times New Roman"/>
          <w:i/>
        </w:rPr>
        <w:t>n =</w:t>
      </w:r>
      <w:r w:rsidRPr="00413366">
        <w:rPr>
          <w:rFonts w:ascii="Times New Roman" w:eastAsia="Times New Roman" w:hAnsi="Times New Roman" w:cs="Times New Roman"/>
        </w:rPr>
        <w:t xml:space="preserve"> 86) answered “yes” to the following prompts: as a result of the critical thinking and local food activity, do you intend to: (1) use my critical thinking style in the future during this class, (2) use my critical thinking style to examine problems in other classes, (3) use my critical thinking style to examine problems outside of class. Out of 110 responses, 67% (</w:t>
      </w:r>
      <w:r w:rsidRPr="00413366">
        <w:rPr>
          <w:rFonts w:ascii="Times New Roman" w:eastAsia="Times New Roman" w:hAnsi="Times New Roman" w:cs="Times New Roman"/>
          <w:i/>
        </w:rPr>
        <w:t>n =</w:t>
      </w:r>
      <w:r w:rsidRPr="00413366">
        <w:rPr>
          <w:rFonts w:ascii="Times New Roman" w:eastAsia="Times New Roman" w:hAnsi="Times New Roman" w:cs="Times New Roman"/>
        </w:rPr>
        <w:t xml:space="preserve"> 74) answered “yes” to “as a result of the critical thinking and local food activity, do you intend to: develop skills in the critical thinking style that I am not as strong in.” Table 5 summarizes students’ motivation to learn </w:t>
      </w:r>
      <w:proofErr w:type="gramStart"/>
      <w:r w:rsidRPr="00413366">
        <w:rPr>
          <w:rFonts w:ascii="Times New Roman" w:eastAsia="Times New Roman" w:hAnsi="Times New Roman" w:cs="Times New Roman"/>
        </w:rPr>
        <w:t>as a result of</w:t>
      </w:r>
      <w:proofErr w:type="gramEnd"/>
      <w:r w:rsidRPr="00413366">
        <w:rPr>
          <w:rFonts w:ascii="Times New Roman" w:eastAsia="Times New Roman" w:hAnsi="Times New Roman" w:cs="Times New Roman"/>
        </w:rPr>
        <w:t xml:space="preserve"> the activities. </w:t>
      </w:r>
    </w:p>
    <w:p w14:paraId="07D10AD9" w14:textId="77777777" w:rsidR="006C06C5" w:rsidRPr="00413366" w:rsidRDefault="006C06C5">
      <w:pPr>
        <w:rPr>
          <w:rFonts w:ascii="Times New Roman" w:eastAsia="Times New Roman" w:hAnsi="Times New Roman" w:cs="Times New Roman"/>
        </w:rPr>
      </w:pPr>
    </w:p>
    <w:p w14:paraId="07D10ADA"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 xml:space="preserve">Table 5. </w:t>
      </w:r>
    </w:p>
    <w:p w14:paraId="07D10ADB" w14:textId="77777777" w:rsidR="006C06C5" w:rsidRPr="00413366" w:rsidRDefault="006C06C5">
      <w:pPr>
        <w:rPr>
          <w:rFonts w:ascii="Times New Roman" w:eastAsia="Times New Roman" w:hAnsi="Times New Roman" w:cs="Times New Roman"/>
        </w:rPr>
      </w:pPr>
    </w:p>
    <w:p w14:paraId="07D10ADC" w14:textId="77777777" w:rsidR="006C06C5" w:rsidRPr="00413366" w:rsidRDefault="00000000">
      <w:pPr>
        <w:rPr>
          <w:rFonts w:ascii="Times New Roman" w:eastAsia="Times New Roman" w:hAnsi="Times New Roman" w:cs="Times New Roman"/>
          <w:i/>
        </w:rPr>
      </w:pPr>
      <w:r w:rsidRPr="00413366">
        <w:rPr>
          <w:rFonts w:ascii="Times New Roman" w:eastAsia="Times New Roman" w:hAnsi="Times New Roman" w:cs="Times New Roman"/>
          <w:i/>
        </w:rPr>
        <w:t>Student Self-Reported Motivation to Learn as a Result of the Two-Day Seminar Series (n = 110)</w:t>
      </w:r>
    </w:p>
    <w:p w14:paraId="07D10ADD" w14:textId="77777777" w:rsidR="006C06C5" w:rsidRPr="00413366" w:rsidRDefault="006C06C5">
      <w:pPr>
        <w:rPr>
          <w:rFonts w:ascii="Times New Roman" w:eastAsia="Times New Roman" w:hAnsi="Times New Roman" w:cs="Times New Roman"/>
          <w:color w:val="FF0000"/>
        </w:rPr>
      </w:pPr>
    </w:p>
    <w:tbl>
      <w:tblPr>
        <w:tblStyle w:val="a8"/>
        <w:tblW w:w="9350"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4225"/>
        <w:gridCol w:w="1710"/>
        <w:gridCol w:w="1800"/>
        <w:gridCol w:w="1615"/>
      </w:tblGrid>
      <w:tr w:rsidR="006C06C5" w:rsidRPr="00413366" w14:paraId="07D10AE5" w14:textId="77777777">
        <w:trPr>
          <w:trHeight w:val="320"/>
        </w:trPr>
        <w:tc>
          <w:tcPr>
            <w:tcW w:w="4225" w:type="dxa"/>
            <w:tcBorders>
              <w:top w:val="single" w:sz="4" w:space="0" w:color="000000"/>
              <w:bottom w:val="single" w:sz="4" w:space="0" w:color="000000"/>
            </w:tcBorders>
          </w:tcPr>
          <w:p w14:paraId="07D10ADE" w14:textId="77777777" w:rsidR="006C06C5" w:rsidRPr="00413366" w:rsidRDefault="006C06C5">
            <w:pPr>
              <w:rPr>
                <w:rFonts w:ascii="Times New Roman" w:eastAsia="Times New Roman" w:hAnsi="Times New Roman" w:cs="Times New Roman"/>
              </w:rPr>
            </w:pPr>
          </w:p>
        </w:tc>
        <w:tc>
          <w:tcPr>
            <w:tcW w:w="1710" w:type="dxa"/>
            <w:tcBorders>
              <w:top w:val="single" w:sz="4" w:space="0" w:color="000000"/>
              <w:bottom w:val="single" w:sz="4" w:space="0" w:color="000000"/>
            </w:tcBorders>
          </w:tcPr>
          <w:p w14:paraId="07D10ADF"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No </w:t>
            </w:r>
          </w:p>
          <w:p w14:paraId="07D10AE0"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f (%)</w:t>
            </w:r>
          </w:p>
        </w:tc>
        <w:tc>
          <w:tcPr>
            <w:tcW w:w="1800" w:type="dxa"/>
            <w:tcBorders>
              <w:top w:val="single" w:sz="4" w:space="0" w:color="000000"/>
              <w:bottom w:val="single" w:sz="4" w:space="0" w:color="000000"/>
            </w:tcBorders>
          </w:tcPr>
          <w:p w14:paraId="07D10AE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Maybe</w:t>
            </w:r>
          </w:p>
          <w:p w14:paraId="07D10AE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f (%) </w:t>
            </w:r>
          </w:p>
        </w:tc>
        <w:tc>
          <w:tcPr>
            <w:tcW w:w="1615" w:type="dxa"/>
            <w:tcBorders>
              <w:top w:val="single" w:sz="4" w:space="0" w:color="000000"/>
              <w:bottom w:val="single" w:sz="4" w:space="0" w:color="000000"/>
            </w:tcBorders>
          </w:tcPr>
          <w:p w14:paraId="07D10AE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Yes</w:t>
            </w:r>
          </w:p>
          <w:p w14:paraId="07D10AE4"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f (%)</w:t>
            </w:r>
          </w:p>
        </w:tc>
      </w:tr>
      <w:tr w:rsidR="006C06C5" w:rsidRPr="00413366" w14:paraId="07D10AEA" w14:textId="77777777">
        <w:trPr>
          <w:trHeight w:val="320"/>
        </w:trPr>
        <w:tc>
          <w:tcPr>
            <w:tcW w:w="4225" w:type="dxa"/>
            <w:tcBorders>
              <w:top w:val="single" w:sz="4" w:space="0" w:color="000000"/>
            </w:tcBorders>
          </w:tcPr>
          <w:p w14:paraId="07D10AE6"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Stimulated me to think</w:t>
            </w:r>
          </w:p>
        </w:tc>
        <w:tc>
          <w:tcPr>
            <w:tcW w:w="1710" w:type="dxa"/>
            <w:tcBorders>
              <w:top w:val="single" w:sz="4" w:space="0" w:color="000000"/>
            </w:tcBorders>
          </w:tcPr>
          <w:p w14:paraId="07D10AE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3 (2.7%)</w:t>
            </w:r>
          </w:p>
        </w:tc>
        <w:tc>
          <w:tcPr>
            <w:tcW w:w="1800" w:type="dxa"/>
            <w:tcBorders>
              <w:top w:val="single" w:sz="4" w:space="0" w:color="000000"/>
            </w:tcBorders>
          </w:tcPr>
          <w:p w14:paraId="07D10AE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22 (20.0%)</w:t>
            </w:r>
          </w:p>
        </w:tc>
        <w:tc>
          <w:tcPr>
            <w:tcW w:w="1615" w:type="dxa"/>
            <w:tcBorders>
              <w:top w:val="single" w:sz="4" w:space="0" w:color="000000"/>
            </w:tcBorders>
          </w:tcPr>
          <w:p w14:paraId="07D10AE9"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85 (77.3%)</w:t>
            </w:r>
          </w:p>
        </w:tc>
      </w:tr>
      <w:tr w:rsidR="006C06C5" w:rsidRPr="00413366" w14:paraId="07D10AEF" w14:textId="77777777">
        <w:trPr>
          <w:trHeight w:val="320"/>
        </w:trPr>
        <w:tc>
          <w:tcPr>
            <w:tcW w:w="4225" w:type="dxa"/>
          </w:tcPr>
          <w:p w14:paraId="07D10AEB"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Motivated me to want to learn more about influencing behavior change</w:t>
            </w:r>
          </w:p>
        </w:tc>
        <w:tc>
          <w:tcPr>
            <w:tcW w:w="1710" w:type="dxa"/>
          </w:tcPr>
          <w:p w14:paraId="07D10AE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3 (2.7%)</w:t>
            </w:r>
          </w:p>
        </w:tc>
        <w:tc>
          <w:tcPr>
            <w:tcW w:w="1800" w:type="dxa"/>
          </w:tcPr>
          <w:p w14:paraId="07D10AE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34 (30.9%)</w:t>
            </w:r>
          </w:p>
        </w:tc>
        <w:tc>
          <w:tcPr>
            <w:tcW w:w="1615" w:type="dxa"/>
          </w:tcPr>
          <w:p w14:paraId="07D10AEE"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73 (66.4%)</w:t>
            </w:r>
          </w:p>
        </w:tc>
      </w:tr>
      <w:tr w:rsidR="006C06C5" w:rsidRPr="00413366" w14:paraId="07D10AF4" w14:textId="77777777">
        <w:trPr>
          <w:trHeight w:val="320"/>
        </w:trPr>
        <w:tc>
          <w:tcPr>
            <w:tcW w:w="4225" w:type="dxa"/>
          </w:tcPr>
          <w:p w14:paraId="07D10AF0"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Motivated me to want to learn more about community-based social marketing</w:t>
            </w:r>
          </w:p>
        </w:tc>
        <w:tc>
          <w:tcPr>
            <w:tcW w:w="1710" w:type="dxa"/>
          </w:tcPr>
          <w:p w14:paraId="07D10AF1"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7 (6.4%)</w:t>
            </w:r>
          </w:p>
        </w:tc>
        <w:tc>
          <w:tcPr>
            <w:tcW w:w="1800" w:type="dxa"/>
          </w:tcPr>
          <w:p w14:paraId="07D10AF2"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34 (30.9%)</w:t>
            </w:r>
          </w:p>
        </w:tc>
        <w:tc>
          <w:tcPr>
            <w:tcW w:w="1615" w:type="dxa"/>
          </w:tcPr>
          <w:p w14:paraId="07D10AF3"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69 (62.7%)</w:t>
            </w:r>
          </w:p>
        </w:tc>
      </w:tr>
      <w:tr w:rsidR="006C06C5" w:rsidRPr="00413366" w14:paraId="07D10AF9" w14:textId="77777777">
        <w:trPr>
          <w:trHeight w:val="320"/>
        </w:trPr>
        <w:tc>
          <w:tcPr>
            <w:tcW w:w="4225" w:type="dxa"/>
          </w:tcPr>
          <w:p w14:paraId="07D10AF5"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Motivated me to want to learn more about local food</w:t>
            </w:r>
          </w:p>
        </w:tc>
        <w:tc>
          <w:tcPr>
            <w:tcW w:w="1710" w:type="dxa"/>
          </w:tcPr>
          <w:p w14:paraId="07D10AF6"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 xml:space="preserve"> 7 (6.4%)</w:t>
            </w:r>
          </w:p>
        </w:tc>
        <w:tc>
          <w:tcPr>
            <w:tcW w:w="1800" w:type="dxa"/>
          </w:tcPr>
          <w:p w14:paraId="07D10AF7"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42 (38.2%)</w:t>
            </w:r>
          </w:p>
        </w:tc>
        <w:tc>
          <w:tcPr>
            <w:tcW w:w="1615" w:type="dxa"/>
          </w:tcPr>
          <w:p w14:paraId="07D10AF8"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61 (55.5%)</w:t>
            </w:r>
          </w:p>
        </w:tc>
      </w:tr>
      <w:tr w:rsidR="006C06C5" w:rsidRPr="00413366" w14:paraId="07D10AFE" w14:textId="77777777">
        <w:trPr>
          <w:trHeight w:val="320"/>
        </w:trPr>
        <w:tc>
          <w:tcPr>
            <w:tcW w:w="4225" w:type="dxa"/>
          </w:tcPr>
          <w:p w14:paraId="07D10AFA" w14:textId="77777777" w:rsidR="006C06C5" w:rsidRPr="00413366" w:rsidRDefault="00000000">
            <w:pPr>
              <w:rPr>
                <w:rFonts w:ascii="Times New Roman" w:eastAsia="Times New Roman" w:hAnsi="Times New Roman" w:cs="Times New Roman"/>
              </w:rPr>
            </w:pPr>
            <w:r w:rsidRPr="00413366">
              <w:rPr>
                <w:rFonts w:ascii="Times New Roman" w:eastAsia="Times New Roman" w:hAnsi="Times New Roman" w:cs="Times New Roman"/>
              </w:rPr>
              <w:t>Motivated me to want to learn more about food assistance programs</w:t>
            </w:r>
          </w:p>
        </w:tc>
        <w:tc>
          <w:tcPr>
            <w:tcW w:w="1710" w:type="dxa"/>
          </w:tcPr>
          <w:p w14:paraId="07D10AFB"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14 (12.7%)</w:t>
            </w:r>
          </w:p>
        </w:tc>
        <w:tc>
          <w:tcPr>
            <w:tcW w:w="1800" w:type="dxa"/>
          </w:tcPr>
          <w:p w14:paraId="07D10AFC"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52 (47.3%)</w:t>
            </w:r>
          </w:p>
        </w:tc>
        <w:tc>
          <w:tcPr>
            <w:tcW w:w="1615" w:type="dxa"/>
          </w:tcPr>
          <w:p w14:paraId="07D10AFD" w14:textId="77777777" w:rsidR="006C06C5" w:rsidRPr="00413366" w:rsidRDefault="00000000">
            <w:pPr>
              <w:jc w:val="center"/>
              <w:rPr>
                <w:rFonts w:ascii="Times New Roman" w:eastAsia="Times New Roman" w:hAnsi="Times New Roman" w:cs="Times New Roman"/>
              </w:rPr>
            </w:pPr>
            <w:r w:rsidRPr="00413366">
              <w:rPr>
                <w:rFonts w:ascii="Times New Roman" w:eastAsia="Times New Roman" w:hAnsi="Times New Roman" w:cs="Times New Roman"/>
              </w:rPr>
              <w:t>44 (40.0%)</w:t>
            </w:r>
          </w:p>
        </w:tc>
      </w:tr>
    </w:tbl>
    <w:p w14:paraId="07D10AFF" w14:textId="77777777" w:rsidR="006C06C5" w:rsidRPr="00413366" w:rsidRDefault="006C06C5">
      <w:pPr>
        <w:rPr>
          <w:rFonts w:ascii="Times New Roman" w:eastAsia="Times New Roman" w:hAnsi="Times New Roman" w:cs="Times New Roman"/>
        </w:rPr>
      </w:pPr>
    </w:p>
    <w:p w14:paraId="07D10B00"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t>Conclusions/Discussion/Implications</w:t>
      </w:r>
    </w:p>
    <w:p w14:paraId="07D10B01" w14:textId="77777777" w:rsidR="006C06C5" w:rsidRPr="00413366" w:rsidRDefault="006C06C5">
      <w:pPr>
        <w:rPr>
          <w:rFonts w:ascii="Times New Roman" w:eastAsia="Times New Roman" w:hAnsi="Times New Roman" w:cs="Times New Roman"/>
        </w:rPr>
      </w:pPr>
    </w:p>
    <w:p w14:paraId="07D10B02" w14:textId="54DDF152" w:rsidR="006C06C5" w:rsidRPr="00413366" w:rsidRDefault="000C68C3">
      <w:pPr>
        <w:ind w:firstLine="720"/>
        <w:rPr>
          <w:rFonts w:ascii="Times New Roman" w:eastAsia="Times New Roman" w:hAnsi="Times New Roman" w:cs="Times New Roman"/>
          <w:color w:val="000000"/>
        </w:rPr>
      </w:pPr>
      <w:r w:rsidRPr="00413366">
        <w:rPr>
          <w:rFonts w:ascii="Times New Roman" w:eastAsia="Times New Roman" w:hAnsi="Times New Roman" w:cs="Times New Roman"/>
        </w:rPr>
        <w:t xml:space="preserve">The two-day seminar series </w:t>
      </w:r>
      <w:r w:rsidR="00CA6114" w:rsidRPr="00413366">
        <w:rPr>
          <w:rFonts w:ascii="Times New Roman" w:eastAsia="Times New Roman" w:hAnsi="Times New Roman" w:cs="Times New Roman"/>
        </w:rPr>
        <w:t xml:space="preserve">that </w:t>
      </w:r>
      <w:r w:rsidRPr="00413366">
        <w:rPr>
          <w:rFonts w:ascii="Times New Roman" w:eastAsia="Times New Roman" w:hAnsi="Times New Roman" w:cs="Times New Roman"/>
        </w:rPr>
        <w:t xml:space="preserve">included administering the UFCTI (Day 1) and delivering the </w:t>
      </w:r>
      <w:r w:rsidRPr="00413366">
        <w:rPr>
          <w:rFonts w:ascii="Times New Roman" w:eastAsia="Times New Roman" w:hAnsi="Times New Roman" w:cs="Times New Roman"/>
          <w:color w:val="000000"/>
        </w:rPr>
        <w:t xml:space="preserve">interrupted case study about community-based social marketing of local food in </w:t>
      </w:r>
      <w:r w:rsidRPr="00413366">
        <w:rPr>
          <w:rFonts w:ascii="Times New Roman" w:eastAsia="Times New Roman" w:hAnsi="Times New Roman" w:cs="Times New Roman"/>
        </w:rPr>
        <w:t>Utah</w:t>
      </w:r>
      <w:r w:rsidRPr="00413366">
        <w:rPr>
          <w:rFonts w:ascii="Times New Roman" w:eastAsia="Times New Roman" w:hAnsi="Times New Roman" w:cs="Times New Roman"/>
          <w:color w:val="000000"/>
        </w:rPr>
        <w:t xml:space="preserve"> (Day 2) had positive, practical and statistically significant increases in students</w:t>
      </w:r>
      <w:r w:rsidRPr="00413366">
        <w:rPr>
          <w:rFonts w:ascii="Times New Roman" w:eastAsia="Times New Roman" w:hAnsi="Times New Roman" w:cs="Times New Roman"/>
        </w:rPr>
        <w:t>’ self-reported</w:t>
      </w:r>
      <w:r w:rsidRPr="00413366">
        <w:rPr>
          <w:rFonts w:ascii="Times New Roman" w:eastAsia="Times New Roman" w:hAnsi="Times New Roman" w:cs="Times New Roman"/>
          <w:color w:val="000000"/>
        </w:rPr>
        <w:t xml:space="preserve"> knowledge about critical thinking style, community-based social marketing, local food movements, SNAP and food assistance programs, the value of considering diverse perspectives, and barriers in influencing behavior change. Most</w:t>
      </w:r>
      <w:r w:rsidRPr="00413366">
        <w:rPr>
          <w:rFonts w:ascii="Times New Roman" w:eastAsia="Times New Roman" w:hAnsi="Times New Roman" w:cs="Times New Roman"/>
        </w:rPr>
        <w:t xml:space="preserve"> respondents</w:t>
      </w:r>
      <w:r w:rsidRPr="00413366">
        <w:rPr>
          <w:rFonts w:ascii="Times New Roman" w:eastAsia="Times New Roman" w:hAnsi="Times New Roman" w:cs="Times New Roman"/>
          <w:color w:val="000000"/>
        </w:rPr>
        <w:t xml:space="preserve"> (78%) indicated that they plan to use their </w:t>
      </w:r>
      <w:proofErr w:type="gramStart"/>
      <w:r w:rsidRPr="00413366">
        <w:rPr>
          <w:rFonts w:ascii="Times New Roman" w:eastAsia="Times New Roman" w:hAnsi="Times New Roman" w:cs="Times New Roman"/>
          <w:color w:val="000000"/>
        </w:rPr>
        <w:t>newly-discovered</w:t>
      </w:r>
      <w:proofErr w:type="gramEnd"/>
      <w:r w:rsidRPr="00413366">
        <w:rPr>
          <w:rFonts w:ascii="Times New Roman" w:eastAsia="Times New Roman" w:hAnsi="Times New Roman" w:cs="Times New Roman"/>
          <w:color w:val="000000"/>
        </w:rPr>
        <w:t xml:space="preserve"> critical thinking style in the future, and the seminar series stimulated most </w:t>
      </w:r>
      <w:r w:rsidRPr="00413366">
        <w:rPr>
          <w:rFonts w:ascii="Times New Roman" w:eastAsia="Times New Roman" w:hAnsi="Times New Roman" w:cs="Times New Roman"/>
        </w:rPr>
        <w:t xml:space="preserve">respondents </w:t>
      </w:r>
      <w:r w:rsidRPr="00413366">
        <w:rPr>
          <w:rFonts w:ascii="Times New Roman" w:eastAsia="Times New Roman" w:hAnsi="Times New Roman" w:cs="Times New Roman"/>
          <w:color w:val="000000"/>
        </w:rPr>
        <w:t>to think (77.3%), motivating many of them to learn more about influencing behavior change (66.4%), community-based social marketing, (62.7%) local food (55.5%)</w:t>
      </w:r>
      <w:r w:rsidR="00404C86" w:rsidRPr="00413366">
        <w:rPr>
          <w:rFonts w:ascii="Times New Roman" w:eastAsia="Times New Roman" w:hAnsi="Times New Roman" w:cs="Times New Roman"/>
          <w:color w:val="000000"/>
        </w:rPr>
        <w:t>,</w:t>
      </w:r>
      <w:r w:rsidRPr="00413366">
        <w:rPr>
          <w:rFonts w:ascii="Times New Roman" w:eastAsia="Times New Roman" w:hAnsi="Times New Roman" w:cs="Times New Roman"/>
          <w:color w:val="000000"/>
        </w:rPr>
        <w:t xml:space="preserve"> and food assistance programs (40.0%). </w:t>
      </w:r>
    </w:p>
    <w:p w14:paraId="07D10B03" w14:textId="77777777" w:rsidR="006C06C5" w:rsidRPr="00413366" w:rsidRDefault="006C06C5">
      <w:pPr>
        <w:rPr>
          <w:rFonts w:ascii="Times New Roman" w:eastAsia="Times New Roman" w:hAnsi="Times New Roman" w:cs="Times New Roman"/>
          <w:color w:val="000000"/>
        </w:rPr>
      </w:pPr>
    </w:p>
    <w:p w14:paraId="07D10B05" w14:textId="2D436090" w:rsidR="006C06C5" w:rsidRPr="00413366" w:rsidRDefault="00000000" w:rsidP="00524FB1">
      <w:pPr>
        <w:ind w:firstLine="720"/>
        <w:rPr>
          <w:rFonts w:ascii="Times New Roman" w:eastAsia="Times New Roman" w:hAnsi="Times New Roman" w:cs="Times New Roman"/>
          <w:color w:val="FF0000"/>
        </w:rPr>
      </w:pPr>
      <w:r w:rsidRPr="00413366">
        <w:rPr>
          <w:rFonts w:ascii="Times New Roman" w:eastAsia="Times New Roman" w:hAnsi="Times New Roman" w:cs="Times New Roman"/>
        </w:rPr>
        <w:t>Results indicate that the combination of teaching critical thinking style and the real-world application of an interrupted case study in a short, two-day format can positively affect learning, motivation to learn, and intention to use critical thinking style. This study supports conclusions that the use of case studies can help students think critically about complex agricultural issues (Akins et al., 2019). The UFCTI is a versatile tool used to assess critical thinking style across many different groups (Barrick &amp; DiBenedetto, 2019; Leal et al., 2017; Putnam et al., 2017). Pairing the UFCTI with interrupted case studies requires at least two 50-minute class periods but could last an entire semester or longer. We suggest presenting multiple case studies in the same course, or over multiple courses, to assess changes in learning through time.</w:t>
      </w:r>
      <w:r w:rsidRPr="00413366">
        <w:rPr>
          <w:rFonts w:ascii="Times New Roman" w:eastAsia="Times New Roman" w:hAnsi="Times New Roman" w:cs="Times New Roman"/>
          <w:color w:val="FF0000"/>
        </w:rPr>
        <w:t xml:space="preserve"> </w:t>
      </w:r>
    </w:p>
    <w:p w14:paraId="07D10B06" w14:textId="77777777" w:rsidR="006C06C5" w:rsidRPr="00413366" w:rsidRDefault="00000000">
      <w:pPr>
        <w:jc w:val="center"/>
        <w:rPr>
          <w:rFonts w:ascii="Times New Roman" w:eastAsia="Times New Roman" w:hAnsi="Times New Roman" w:cs="Times New Roman"/>
          <w:b/>
        </w:rPr>
      </w:pPr>
      <w:r w:rsidRPr="00413366">
        <w:rPr>
          <w:rFonts w:ascii="Times New Roman" w:eastAsia="Times New Roman" w:hAnsi="Times New Roman" w:cs="Times New Roman"/>
          <w:b/>
        </w:rPr>
        <w:lastRenderedPageBreak/>
        <w:t>References</w:t>
      </w:r>
    </w:p>
    <w:p w14:paraId="07D10B07" w14:textId="77777777" w:rsidR="006C06C5" w:rsidRPr="00413366" w:rsidRDefault="006C06C5">
      <w:pPr>
        <w:jc w:val="center"/>
        <w:rPr>
          <w:rFonts w:ascii="Times New Roman" w:eastAsia="Times New Roman" w:hAnsi="Times New Roman" w:cs="Times New Roman"/>
          <w:b/>
        </w:rPr>
      </w:pPr>
    </w:p>
    <w:p w14:paraId="07D10B08"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r w:rsidRPr="00413366">
        <w:rPr>
          <w:rFonts w:ascii="Times New Roman" w:eastAsia="Times New Roman" w:hAnsi="Times New Roman" w:cs="Times New Roman"/>
          <w:color w:val="000000"/>
        </w:rPr>
        <w:t xml:space="preserve">Akins, J., </w:t>
      </w:r>
      <w:proofErr w:type="spellStart"/>
      <w:r w:rsidRPr="00413366">
        <w:rPr>
          <w:rFonts w:ascii="Times New Roman" w:eastAsia="Times New Roman" w:hAnsi="Times New Roman" w:cs="Times New Roman"/>
          <w:color w:val="000000"/>
        </w:rPr>
        <w:t>Lamm</w:t>
      </w:r>
      <w:proofErr w:type="spellEnd"/>
      <w:r w:rsidRPr="00413366">
        <w:rPr>
          <w:rFonts w:ascii="Times New Roman" w:eastAsia="Times New Roman" w:hAnsi="Times New Roman" w:cs="Times New Roman"/>
          <w:color w:val="000000"/>
        </w:rPr>
        <w:t xml:space="preserve">, A., </w:t>
      </w:r>
      <w:proofErr w:type="spellStart"/>
      <w:r w:rsidRPr="00413366">
        <w:rPr>
          <w:rFonts w:ascii="Times New Roman" w:eastAsia="Times New Roman" w:hAnsi="Times New Roman" w:cs="Times New Roman"/>
          <w:color w:val="000000"/>
        </w:rPr>
        <w:t>Telg</w:t>
      </w:r>
      <w:proofErr w:type="spellEnd"/>
      <w:r w:rsidRPr="00413366">
        <w:rPr>
          <w:rFonts w:ascii="Times New Roman" w:eastAsia="Times New Roman" w:hAnsi="Times New Roman" w:cs="Times New Roman"/>
          <w:color w:val="000000"/>
        </w:rPr>
        <w:t xml:space="preserve">, R., Abrams, K., Meyers, C., &amp; Raulerson, B. (2019). Seeking and engaging: Case study integration to enhance critical thinking about agricultural issues. </w:t>
      </w:r>
      <w:r w:rsidRPr="00413366">
        <w:rPr>
          <w:rFonts w:ascii="Times New Roman" w:eastAsia="Times New Roman" w:hAnsi="Times New Roman" w:cs="Times New Roman"/>
          <w:i/>
          <w:color w:val="000000"/>
        </w:rPr>
        <w:t>Journal of Agricultural Education</w:t>
      </w:r>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i/>
          <w:color w:val="000000"/>
        </w:rPr>
        <w:t>60</w:t>
      </w:r>
      <w:r w:rsidRPr="00413366">
        <w:rPr>
          <w:rFonts w:ascii="Times New Roman" w:eastAsia="Times New Roman" w:hAnsi="Times New Roman" w:cs="Times New Roman"/>
          <w:color w:val="000000"/>
        </w:rPr>
        <w:t>(3)</w:t>
      </w:r>
      <w:r w:rsidRPr="00413366">
        <w:rPr>
          <w:rFonts w:ascii="Times New Roman" w:eastAsia="Times New Roman" w:hAnsi="Times New Roman" w:cs="Times New Roman"/>
        </w:rPr>
        <w:t>,</w:t>
      </w:r>
      <w:r w:rsidRPr="00413366">
        <w:rPr>
          <w:rFonts w:ascii="Times New Roman" w:eastAsia="Times New Roman" w:hAnsi="Times New Roman" w:cs="Times New Roman"/>
          <w:color w:val="000000"/>
        </w:rPr>
        <w:t xml:space="preserve"> 97-108. </w:t>
      </w:r>
      <w:hyperlink r:id="rId7">
        <w:r w:rsidRPr="00413366">
          <w:rPr>
            <w:rFonts w:ascii="Times New Roman" w:eastAsia="Times New Roman" w:hAnsi="Times New Roman" w:cs="Times New Roman"/>
            <w:color w:val="1155CC"/>
            <w:u w:val="single"/>
          </w:rPr>
          <w:t>https://doi.org/10.5032/jae.2019.03097</w:t>
        </w:r>
      </w:hyperlink>
      <w:r w:rsidRPr="00413366">
        <w:rPr>
          <w:rFonts w:ascii="Times New Roman" w:eastAsia="Times New Roman" w:hAnsi="Times New Roman" w:cs="Times New Roman"/>
          <w:color w:val="000000"/>
        </w:rPr>
        <w:t xml:space="preserve"> </w:t>
      </w:r>
    </w:p>
    <w:p w14:paraId="07D10B09"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0A" w14:textId="77777777" w:rsidR="006C06C5" w:rsidRPr="00413366" w:rsidRDefault="00000000">
      <w:pPr>
        <w:ind w:left="720" w:hanging="720"/>
        <w:rPr>
          <w:rFonts w:ascii="Times New Roman" w:eastAsia="Times New Roman" w:hAnsi="Times New Roman" w:cs="Times New Roman"/>
        </w:rPr>
      </w:pPr>
      <w:r w:rsidRPr="00413366">
        <w:rPr>
          <w:rFonts w:ascii="Times New Roman" w:eastAsia="Times New Roman" w:hAnsi="Times New Roman" w:cs="Times New Roman"/>
        </w:rPr>
        <w:t xml:space="preserve">Barrick, R. K., &amp; DiBenedetto, C. A. (2019). </w:t>
      </w:r>
      <w:r w:rsidRPr="00413366">
        <w:rPr>
          <w:rFonts w:ascii="Times New Roman" w:eastAsia="Times New Roman" w:hAnsi="Times New Roman" w:cs="Times New Roman"/>
          <w:i/>
        </w:rPr>
        <w:t>Assessing the Critical Thinking Styles of International Faculty</w:t>
      </w:r>
      <w:r w:rsidRPr="00413366">
        <w:rPr>
          <w:rFonts w:ascii="Times New Roman" w:eastAsia="Times New Roman" w:hAnsi="Times New Roman" w:cs="Times New Roman"/>
        </w:rPr>
        <w:t>. 5.</w:t>
      </w:r>
    </w:p>
    <w:p w14:paraId="07D10B0B"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0C" w14:textId="77777777" w:rsidR="006C06C5" w:rsidRPr="00413366" w:rsidRDefault="00000000">
      <w:pPr>
        <w:ind w:left="720" w:hanging="720"/>
        <w:rPr>
          <w:rFonts w:ascii="Times New Roman" w:hAnsi="Times New Roman" w:cs="Times New Roman"/>
        </w:rPr>
      </w:pPr>
      <w:r w:rsidRPr="00413366">
        <w:rPr>
          <w:rFonts w:ascii="Times New Roman" w:hAnsi="Times New Roman" w:cs="Times New Roman"/>
        </w:rPr>
        <w:t xml:space="preserve">Block, D. R., Chávez, N., Allen, E., &amp; Ramirez, D. (2012). Food sovereignty, urban food access, and food activism: Contemplating the connections through examples from Chicago. </w:t>
      </w:r>
      <w:r w:rsidRPr="00413366">
        <w:rPr>
          <w:rFonts w:ascii="Times New Roman" w:hAnsi="Times New Roman" w:cs="Times New Roman"/>
          <w:i/>
        </w:rPr>
        <w:t>Agriculture and Human Values</w:t>
      </w:r>
      <w:r w:rsidRPr="00413366">
        <w:rPr>
          <w:rFonts w:ascii="Times New Roman" w:hAnsi="Times New Roman" w:cs="Times New Roman"/>
        </w:rPr>
        <w:t xml:space="preserve">, </w:t>
      </w:r>
      <w:r w:rsidRPr="00413366">
        <w:rPr>
          <w:rFonts w:ascii="Times New Roman" w:hAnsi="Times New Roman" w:cs="Times New Roman"/>
          <w:i/>
        </w:rPr>
        <w:t>29</w:t>
      </w:r>
      <w:r w:rsidRPr="00413366">
        <w:rPr>
          <w:rFonts w:ascii="Times New Roman" w:hAnsi="Times New Roman" w:cs="Times New Roman"/>
        </w:rPr>
        <w:t xml:space="preserve">(2), 203–215. </w:t>
      </w:r>
      <w:hyperlink r:id="rId8">
        <w:r w:rsidRPr="00413366">
          <w:rPr>
            <w:rFonts w:ascii="Times New Roman" w:hAnsi="Times New Roman" w:cs="Times New Roman"/>
            <w:color w:val="1155CC"/>
            <w:u w:val="single"/>
          </w:rPr>
          <w:t>https://doi.org/10.1007/s10460-011-9336-8</w:t>
        </w:r>
      </w:hyperlink>
    </w:p>
    <w:p w14:paraId="07D10B0D" w14:textId="77777777" w:rsidR="006C06C5" w:rsidRPr="00413366" w:rsidRDefault="006C06C5">
      <w:pPr>
        <w:rPr>
          <w:rFonts w:ascii="Times New Roman" w:hAnsi="Times New Roman" w:cs="Times New Roman"/>
        </w:rPr>
      </w:pPr>
    </w:p>
    <w:p w14:paraId="07D10B0E" w14:textId="77777777" w:rsidR="006C06C5" w:rsidRPr="00413366" w:rsidRDefault="00000000">
      <w:pPr>
        <w:pBdr>
          <w:top w:val="nil"/>
          <w:left w:val="nil"/>
          <w:bottom w:val="nil"/>
          <w:right w:val="nil"/>
          <w:between w:val="nil"/>
        </w:pBdr>
        <w:ind w:left="720" w:hanging="720"/>
        <w:rPr>
          <w:rFonts w:ascii="Times New Roman" w:hAnsi="Times New Roman" w:cs="Times New Roman"/>
        </w:rPr>
      </w:pPr>
      <w:r w:rsidRPr="00413366">
        <w:rPr>
          <w:rFonts w:ascii="Times New Roman" w:hAnsi="Times New Roman" w:cs="Times New Roman"/>
        </w:rPr>
        <w:t>Breyer, B., &amp; Voss-</w:t>
      </w:r>
      <w:proofErr w:type="spellStart"/>
      <w:r w:rsidRPr="00413366">
        <w:rPr>
          <w:rFonts w:ascii="Times New Roman" w:hAnsi="Times New Roman" w:cs="Times New Roman"/>
        </w:rPr>
        <w:t>Andreae</w:t>
      </w:r>
      <w:proofErr w:type="spellEnd"/>
      <w:r w:rsidRPr="00413366">
        <w:rPr>
          <w:rFonts w:ascii="Times New Roman" w:hAnsi="Times New Roman" w:cs="Times New Roman"/>
        </w:rPr>
        <w:t xml:space="preserve">, A. (2013). Food mirages: Geographic and economic barriers to healthful food access in Portland, Oregon. </w:t>
      </w:r>
      <w:r w:rsidRPr="00413366">
        <w:rPr>
          <w:rFonts w:ascii="Times New Roman" w:hAnsi="Times New Roman" w:cs="Times New Roman"/>
          <w:i/>
        </w:rPr>
        <w:t>Health &amp; Place</w:t>
      </w:r>
      <w:r w:rsidRPr="00413366">
        <w:rPr>
          <w:rFonts w:ascii="Times New Roman" w:hAnsi="Times New Roman" w:cs="Times New Roman"/>
        </w:rPr>
        <w:t xml:space="preserve">, </w:t>
      </w:r>
      <w:r w:rsidRPr="00413366">
        <w:rPr>
          <w:rFonts w:ascii="Times New Roman" w:hAnsi="Times New Roman" w:cs="Times New Roman"/>
          <w:i/>
        </w:rPr>
        <w:t>24</w:t>
      </w:r>
      <w:r w:rsidRPr="00413366">
        <w:rPr>
          <w:rFonts w:ascii="Times New Roman" w:hAnsi="Times New Roman" w:cs="Times New Roman"/>
        </w:rPr>
        <w:t xml:space="preserve">, 131–139. </w:t>
      </w:r>
      <w:hyperlink r:id="rId9">
        <w:r w:rsidRPr="00413366">
          <w:rPr>
            <w:rFonts w:ascii="Times New Roman" w:hAnsi="Times New Roman" w:cs="Times New Roman"/>
            <w:color w:val="1155CC"/>
            <w:u w:val="single"/>
          </w:rPr>
          <w:t>https://doi.org/10.1016/j.healthplace.2013.07.008</w:t>
        </w:r>
      </w:hyperlink>
    </w:p>
    <w:p w14:paraId="07D10B0F"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0"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r w:rsidRPr="00413366">
        <w:rPr>
          <w:rFonts w:ascii="Times New Roman" w:eastAsia="Times New Roman" w:hAnsi="Times New Roman" w:cs="Times New Roman"/>
          <w:color w:val="000000"/>
        </w:rPr>
        <w:t xml:space="preserve">Gay, K. D., Owens, C. T., </w:t>
      </w:r>
      <w:proofErr w:type="spellStart"/>
      <w:r w:rsidRPr="00413366">
        <w:rPr>
          <w:rFonts w:ascii="Times New Roman" w:eastAsia="Times New Roman" w:hAnsi="Times New Roman" w:cs="Times New Roman"/>
          <w:color w:val="000000"/>
        </w:rPr>
        <w:t>Lamm</w:t>
      </w:r>
      <w:proofErr w:type="spellEnd"/>
      <w:r w:rsidRPr="00413366">
        <w:rPr>
          <w:rFonts w:ascii="Times New Roman" w:eastAsia="Times New Roman" w:hAnsi="Times New Roman" w:cs="Times New Roman"/>
          <w:color w:val="000000"/>
        </w:rPr>
        <w:t xml:space="preserve">, A. J., &amp; Rumble, J. N. (2016). </w:t>
      </w:r>
      <w:r w:rsidRPr="00413366">
        <w:rPr>
          <w:rFonts w:ascii="Times New Roman" w:eastAsia="Times New Roman" w:hAnsi="Times New Roman" w:cs="Times New Roman"/>
          <w:highlight w:val="white"/>
        </w:rPr>
        <w:t xml:space="preserve">Assessing public issues knowledge and needs of Extension agents in Florida. </w:t>
      </w:r>
      <w:r w:rsidRPr="00413366">
        <w:rPr>
          <w:rFonts w:ascii="Times New Roman" w:eastAsia="Times New Roman" w:hAnsi="Times New Roman" w:cs="Times New Roman"/>
          <w:i/>
          <w:highlight w:val="white"/>
        </w:rPr>
        <w:t>The Journal of Extension, 55</w:t>
      </w:r>
      <w:r w:rsidRPr="00413366">
        <w:rPr>
          <w:rFonts w:ascii="Times New Roman" w:eastAsia="Times New Roman" w:hAnsi="Times New Roman" w:cs="Times New Roman"/>
          <w:highlight w:val="white"/>
        </w:rPr>
        <w:t xml:space="preserve">(1), Article 24. </w:t>
      </w:r>
      <w:hyperlink r:id="rId10">
        <w:r w:rsidRPr="00413366">
          <w:rPr>
            <w:rFonts w:ascii="Times New Roman" w:eastAsia="Times New Roman" w:hAnsi="Times New Roman" w:cs="Times New Roman"/>
            <w:color w:val="1155CC"/>
            <w:highlight w:val="white"/>
            <w:u w:val="single"/>
          </w:rPr>
          <w:t>https://tigerprints.clemson.edu/joe/vol55/iss1/24</w:t>
        </w:r>
      </w:hyperlink>
      <w:r w:rsidRPr="00413366">
        <w:rPr>
          <w:rFonts w:ascii="Times New Roman" w:eastAsia="Times New Roman" w:hAnsi="Times New Roman" w:cs="Times New Roman"/>
          <w:highlight w:val="white"/>
        </w:rPr>
        <w:t xml:space="preserve"> </w:t>
      </w:r>
    </w:p>
    <w:p w14:paraId="07D10B11"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2"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r w:rsidRPr="00413366">
        <w:rPr>
          <w:rFonts w:ascii="Times New Roman" w:eastAsia="Times New Roman" w:hAnsi="Times New Roman" w:cs="Times New Roman"/>
          <w:color w:val="000000"/>
        </w:rPr>
        <w:t>Herreid, C. F. (</w:t>
      </w:r>
      <w:r w:rsidRPr="00413366">
        <w:rPr>
          <w:rFonts w:ascii="Times New Roman" w:eastAsia="Times New Roman" w:hAnsi="Times New Roman" w:cs="Times New Roman"/>
        </w:rPr>
        <w:t>2004</w:t>
      </w:r>
      <w:r w:rsidRPr="00413366">
        <w:rPr>
          <w:rFonts w:ascii="Times New Roman" w:eastAsia="Times New Roman" w:hAnsi="Times New Roman" w:cs="Times New Roman"/>
          <w:color w:val="000000"/>
        </w:rPr>
        <w:t xml:space="preserve">). Can </w:t>
      </w:r>
      <w:r w:rsidRPr="00413366">
        <w:rPr>
          <w:rFonts w:ascii="Times New Roman" w:eastAsia="Times New Roman" w:hAnsi="Times New Roman" w:cs="Times New Roman"/>
        </w:rPr>
        <w:t>c</w:t>
      </w:r>
      <w:r w:rsidRPr="00413366">
        <w:rPr>
          <w:rFonts w:ascii="Times New Roman" w:eastAsia="Times New Roman" w:hAnsi="Times New Roman" w:cs="Times New Roman"/>
          <w:color w:val="000000"/>
        </w:rPr>
        <w:t xml:space="preserve">ase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tudies </w:t>
      </w:r>
      <w:r w:rsidRPr="00413366">
        <w:rPr>
          <w:rFonts w:ascii="Times New Roman" w:eastAsia="Times New Roman" w:hAnsi="Times New Roman" w:cs="Times New Roman"/>
        </w:rPr>
        <w:t>b</w:t>
      </w:r>
      <w:r w:rsidRPr="00413366">
        <w:rPr>
          <w:rFonts w:ascii="Times New Roman" w:eastAsia="Times New Roman" w:hAnsi="Times New Roman" w:cs="Times New Roman"/>
          <w:color w:val="000000"/>
        </w:rPr>
        <w:t xml:space="preserve">e </w:t>
      </w:r>
      <w:r w:rsidRPr="00413366">
        <w:rPr>
          <w:rFonts w:ascii="Times New Roman" w:eastAsia="Times New Roman" w:hAnsi="Times New Roman" w:cs="Times New Roman"/>
        </w:rPr>
        <w:t>u</w:t>
      </w:r>
      <w:r w:rsidRPr="00413366">
        <w:rPr>
          <w:rFonts w:ascii="Times New Roman" w:eastAsia="Times New Roman" w:hAnsi="Times New Roman" w:cs="Times New Roman"/>
          <w:color w:val="000000"/>
        </w:rPr>
        <w:t xml:space="preserve">sed to </w:t>
      </w:r>
      <w:r w:rsidRPr="00413366">
        <w:rPr>
          <w:rFonts w:ascii="Times New Roman" w:eastAsia="Times New Roman" w:hAnsi="Times New Roman" w:cs="Times New Roman"/>
        </w:rPr>
        <w:t>t</w:t>
      </w:r>
      <w:r w:rsidRPr="00413366">
        <w:rPr>
          <w:rFonts w:ascii="Times New Roman" w:eastAsia="Times New Roman" w:hAnsi="Times New Roman" w:cs="Times New Roman"/>
          <w:color w:val="000000"/>
        </w:rPr>
        <w:t xml:space="preserve">each </w:t>
      </w:r>
      <w:r w:rsidRPr="00413366">
        <w:rPr>
          <w:rFonts w:ascii="Times New Roman" w:eastAsia="Times New Roman" w:hAnsi="Times New Roman" w:cs="Times New Roman"/>
        </w:rPr>
        <w:t>c</w:t>
      </w:r>
      <w:r w:rsidRPr="00413366">
        <w:rPr>
          <w:rFonts w:ascii="Times New Roman" w:eastAsia="Times New Roman" w:hAnsi="Times New Roman" w:cs="Times New Roman"/>
          <w:color w:val="000000"/>
        </w:rPr>
        <w:t xml:space="preserve">ritical </w:t>
      </w:r>
      <w:r w:rsidRPr="00413366">
        <w:rPr>
          <w:rFonts w:ascii="Times New Roman" w:eastAsia="Times New Roman" w:hAnsi="Times New Roman" w:cs="Times New Roman"/>
        </w:rPr>
        <w:t>t</w:t>
      </w:r>
      <w:r w:rsidRPr="00413366">
        <w:rPr>
          <w:rFonts w:ascii="Times New Roman" w:eastAsia="Times New Roman" w:hAnsi="Times New Roman" w:cs="Times New Roman"/>
          <w:color w:val="000000"/>
        </w:rPr>
        <w:t xml:space="preserve">hinking? </w:t>
      </w:r>
      <w:r w:rsidRPr="00413366">
        <w:rPr>
          <w:rFonts w:ascii="Times New Roman" w:eastAsia="Times New Roman" w:hAnsi="Times New Roman" w:cs="Times New Roman"/>
          <w:i/>
          <w:color w:val="000000"/>
        </w:rPr>
        <w:t>Journal of College Science Teaching, 33</w:t>
      </w:r>
      <w:r w:rsidRPr="00413366">
        <w:rPr>
          <w:rFonts w:ascii="Times New Roman" w:eastAsia="Times New Roman" w:hAnsi="Times New Roman" w:cs="Times New Roman"/>
          <w:color w:val="000000"/>
        </w:rPr>
        <w:t xml:space="preserve">(6), 12-14. </w:t>
      </w:r>
      <w:hyperlink r:id="rId11">
        <w:r w:rsidRPr="00413366">
          <w:rPr>
            <w:rFonts w:ascii="Times New Roman" w:eastAsia="Times New Roman" w:hAnsi="Times New Roman" w:cs="Times New Roman"/>
            <w:color w:val="1155CC"/>
            <w:u w:val="single"/>
          </w:rPr>
          <w:t>https://www.jstor.org/stable/10.2307/26491296</w:t>
        </w:r>
      </w:hyperlink>
      <w:r w:rsidRPr="00413366">
        <w:rPr>
          <w:rFonts w:ascii="Times New Roman" w:eastAsia="Times New Roman" w:hAnsi="Times New Roman" w:cs="Times New Roman"/>
          <w:color w:val="000000"/>
        </w:rPr>
        <w:t xml:space="preserve"> </w:t>
      </w:r>
    </w:p>
    <w:p w14:paraId="07D10B13"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4"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proofErr w:type="spellStart"/>
      <w:r w:rsidRPr="00413366">
        <w:rPr>
          <w:rFonts w:ascii="Times New Roman" w:eastAsia="Times New Roman" w:hAnsi="Times New Roman" w:cs="Times New Roman"/>
          <w:color w:val="000000"/>
        </w:rPr>
        <w:t>Lamm</w:t>
      </w:r>
      <w:proofErr w:type="spellEnd"/>
      <w:r w:rsidRPr="00413366">
        <w:rPr>
          <w:rFonts w:ascii="Times New Roman" w:eastAsia="Times New Roman" w:hAnsi="Times New Roman" w:cs="Times New Roman"/>
          <w:color w:val="000000"/>
        </w:rPr>
        <w:t xml:space="preserve">, A., Harsh, J., Meyers, C., &amp; </w:t>
      </w:r>
      <w:proofErr w:type="spellStart"/>
      <w:r w:rsidRPr="00413366">
        <w:rPr>
          <w:rFonts w:ascii="Times New Roman" w:eastAsia="Times New Roman" w:hAnsi="Times New Roman" w:cs="Times New Roman"/>
          <w:color w:val="000000"/>
        </w:rPr>
        <w:t>Telg</w:t>
      </w:r>
      <w:proofErr w:type="spellEnd"/>
      <w:r w:rsidRPr="00413366">
        <w:rPr>
          <w:rFonts w:ascii="Times New Roman" w:eastAsia="Times New Roman" w:hAnsi="Times New Roman" w:cs="Times New Roman"/>
          <w:color w:val="000000"/>
        </w:rPr>
        <w:t xml:space="preserve">, R. (2018). Can they </w:t>
      </w:r>
      <w:r w:rsidRPr="00413366">
        <w:rPr>
          <w:rFonts w:ascii="Times New Roman" w:eastAsia="Times New Roman" w:hAnsi="Times New Roman" w:cs="Times New Roman"/>
        </w:rPr>
        <w:t>r</w:t>
      </w:r>
      <w:r w:rsidRPr="00413366">
        <w:rPr>
          <w:rFonts w:ascii="Times New Roman" w:eastAsia="Times New Roman" w:hAnsi="Times New Roman" w:cs="Times New Roman"/>
          <w:color w:val="000000"/>
        </w:rPr>
        <w:t xml:space="preserve">elate? Teaching </w:t>
      </w:r>
      <w:r w:rsidRPr="00413366">
        <w:rPr>
          <w:rFonts w:ascii="Times New Roman" w:eastAsia="Times New Roman" w:hAnsi="Times New Roman" w:cs="Times New Roman"/>
        </w:rPr>
        <w:t>u</w:t>
      </w:r>
      <w:r w:rsidRPr="00413366">
        <w:rPr>
          <w:rFonts w:ascii="Times New Roman" w:eastAsia="Times New Roman" w:hAnsi="Times New Roman" w:cs="Times New Roman"/>
          <w:color w:val="000000"/>
        </w:rPr>
        <w:t xml:space="preserve">ndergraduate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tudents about </w:t>
      </w:r>
      <w:r w:rsidRPr="00413366">
        <w:rPr>
          <w:rFonts w:ascii="Times New Roman" w:eastAsia="Times New Roman" w:hAnsi="Times New Roman" w:cs="Times New Roman"/>
        </w:rPr>
        <w:t>a</w:t>
      </w:r>
      <w:r w:rsidRPr="00413366">
        <w:rPr>
          <w:rFonts w:ascii="Times New Roman" w:eastAsia="Times New Roman" w:hAnsi="Times New Roman" w:cs="Times New Roman"/>
          <w:color w:val="000000"/>
        </w:rPr>
        <w:t xml:space="preserve">gricultural and </w:t>
      </w:r>
      <w:r w:rsidRPr="00413366">
        <w:rPr>
          <w:rFonts w:ascii="Times New Roman" w:eastAsia="Times New Roman" w:hAnsi="Times New Roman" w:cs="Times New Roman"/>
        </w:rPr>
        <w:t>n</w:t>
      </w:r>
      <w:r w:rsidRPr="00413366">
        <w:rPr>
          <w:rFonts w:ascii="Times New Roman" w:eastAsia="Times New Roman" w:hAnsi="Times New Roman" w:cs="Times New Roman"/>
          <w:color w:val="000000"/>
        </w:rPr>
        <w:t xml:space="preserve">atural </w:t>
      </w:r>
      <w:r w:rsidRPr="00413366">
        <w:rPr>
          <w:rFonts w:ascii="Times New Roman" w:eastAsia="Times New Roman" w:hAnsi="Times New Roman" w:cs="Times New Roman"/>
        </w:rPr>
        <w:t>r</w:t>
      </w:r>
      <w:r w:rsidRPr="00413366">
        <w:rPr>
          <w:rFonts w:ascii="Times New Roman" w:eastAsia="Times New Roman" w:hAnsi="Times New Roman" w:cs="Times New Roman"/>
          <w:color w:val="000000"/>
        </w:rPr>
        <w:t xml:space="preserve">esource </w:t>
      </w:r>
      <w:r w:rsidRPr="00413366">
        <w:rPr>
          <w:rFonts w:ascii="Times New Roman" w:eastAsia="Times New Roman" w:hAnsi="Times New Roman" w:cs="Times New Roman"/>
        </w:rPr>
        <w:t>i</w:t>
      </w:r>
      <w:r w:rsidRPr="00413366">
        <w:rPr>
          <w:rFonts w:ascii="Times New Roman" w:eastAsia="Times New Roman" w:hAnsi="Times New Roman" w:cs="Times New Roman"/>
          <w:color w:val="000000"/>
        </w:rPr>
        <w:t xml:space="preserve">ssues. </w:t>
      </w:r>
      <w:r w:rsidRPr="00413366">
        <w:rPr>
          <w:rFonts w:ascii="Times New Roman" w:eastAsia="Times New Roman" w:hAnsi="Times New Roman" w:cs="Times New Roman"/>
          <w:i/>
          <w:color w:val="000000"/>
        </w:rPr>
        <w:t>Journal of Agricultural Education</w:t>
      </w:r>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i/>
          <w:color w:val="000000"/>
        </w:rPr>
        <w:t>59</w:t>
      </w:r>
      <w:r w:rsidRPr="00413366">
        <w:rPr>
          <w:rFonts w:ascii="Times New Roman" w:eastAsia="Times New Roman" w:hAnsi="Times New Roman" w:cs="Times New Roman"/>
          <w:color w:val="000000"/>
        </w:rPr>
        <w:t xml:space="preserve">(4), 211–223. </w:t>
      </w:r>
      <w:hyperlink r:id="rId12">
        <w:r w:rsidRPr="00413366">
          <w:rPr>
            <w:rFonts w:ascii="Times New Roman" w:eastAsia="Times New Roman" w:hAnsi="Times New Roman" w:cs="Times New Roman"/>
            <w:color w:val="1155CC"/>
            <w:u w:val="single"/>
          </w:rPr>
          <w:t>https://doi.org/10.5032/jae.2018.04211</w:t>
        </w:r>
      </w:hyperlink>
      <w:r w:rsidRPr="00413366">
        <w:rPr>
          <w:rFonts w:ascii="Times New Roman" w:eastAsia="Times New Roman" w:hAnsi="Times New Roman" w:cs="Times New Roman"/>
          <w:color w:val="000000"/>
        </w:rPr>
        <w:t xml:space="preserve"> </w:t>
      </w:r>
    </w:p>
    <w:p w14:paraId="07D10B15"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6"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rPr>
      </w:pP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A. J., &amp; Irani, T. (2011). UFCTI manual. Gainesville, FL: University of Florida.</w:t>
      </w:r>
    </w:p>
    <w:p w14:paraId="07D10B17"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8"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proofErr w:type="spellStart"/>
      <w:r w:rsidRPr="00413366">
        <w:rPr>
          <w:rFonts w:ascii="Times New Roman" w:eastAsia="Times New Roman" w:hAnsi="Times New Roman" w:cs="Times New Roman"/>
          <w:color w:val="000000"/>
        </w:rPr>
        <w:t>Lamm</w:t>
      </w:r>
      <w:proofErr w:type="spellEnd"/>
      <w:r w:rsidRPr="00413366">
        <w:rPr>
          <w:rFonts w:ascii="Times New Roman" w:eastAsia="Times New Roman" w:hAnsi="Times New Roman" w:cs="Times New Roman"/>
          <w:color w:val="000000"/>
        </w:rPr>
        <w:t xml:space="preserve">, A. J. (2016). </w:t>
      </w:r>
      <w:r w:rsidRPr="00413366">
        <w:rPr>
          <w:rFonts w:ascii="Times New Roman" w:eastAsia="Times New Roman" w:hAnsi="Times New Roman" w:cs="Times New Roman"/>
          <w:i/>
          <w:color w:val="000000"/>
        </w:rPr>
        <w:t xml:space="preserve">Integrating </w:t>
      </w:r>
      <w:r w:rsidRPr="00413366">
        <w:rPr>
          <w:rFonts w:ascii="Times New Roman" w:eastAsia="Times New Roman" w:hAnsi="Times New Roman" w:cs="Times New Roman"/>
          <w:i/>
        </w:rPr>
        <w:t>c</w:t>
      </w:r>
      <w:r w:rsidRPr="00413366">
        <w:rPr>
          <w:rFonts w:ascii="Times New Roman" w:eastAsia="Times New Roman" w:hAnsi="Times New Roman" w:cs="Times New Roman"/>
          <w:i/>
          <w:color w:val="000000"/>
        </w:rPr>
        <w:t xml:space="preserve">ritical </w:t>
      </w:r>
      <w:r w:rsidRPr="00413366">
        <w:rPr>
          <w:rFonts w:ascii="Times New Roman" w:eastAsia="Times New Roman" w:hAnsi="Times New Roman" w:cs="Times New Roman"/>
          <w:i/>
        </w:rPr>
        <w:t>t</w:t>
      </w:r>
      <w:r w:rsidRPr="00413366">
        <w:rPr>
          <w:rFonts w:ascii="Times New Roman" w:eastAsia="Times New Roman" w:hAnsi="Times New Roman" w:cs="Times New Roman"/>
          <w:i/>
          <w:color w:val="000000"/>
        </w:rPr>
        <w:t xml:space="preserve">hinking into Extension </w:t>
      </w:r>
      <w:r w:rsidRPr="00413366">
        <w:rPr>
          <w:rFonts w:ascii="Times New Roman" w:eastAsia="Times New Roman" w:hAnsi="Times New Roman" w:cs="Times New Roman"/>
          <w:i/>
        </w:rPr>
        <w:t>p</w:t>
      </w:r>
      <w:r w:rsidRPr="00413366">
        <w:rPr>
          <w:rFonts w:ascii="Times New Roman" w:eastAsia="Times New Roman" w:hAnsi="Times New Roman" w:cs="Times New Roman"/>
          <w:i/>
          <w:color w:val="000000"/>
        </w:rPr>
        <w:t xml:space="preserve">rogramming #4: Measuring </w:t>
      </w:r>
      <w:r w:rsidRPr="00413366">
        <w:rPr>
          <w:rFonts w:ascii="Times New Roman" w:eastAsia="Times New Roman" w:hAnsi="Times New Roman" w:cs="Times New Roman"/>
          <w:i/>
        </w:rPr>
        <w:t>c</w:t>
      </w:r>
      <w:r w:rsidRPr="00413366">
        <w:rPr>
          <w:rFonts w:ascii="Times New Roman" w:eastAsia="Times New Roman" w:hAnsi="Times New Roman" w:cs="Times New Roman"/>
          <w:i/>
          <w:color w:val="000000"/>
        </w:rPr>
        <w:t xml:space="preserve">ritical </w:t>
      </w:r>
      <w:r w:rsidRPr="00413366">
        <w:rPr>
          <w:rFonts w:ascii="Times New Roman" w:eastAsia="Times New Roman" w:hAnsi="Times New Roman" w:cs="Times New Roman"/>
          <w:i/>
        </w:rPr>
        <w:t>t</w:t>
      </w:r>
      <w:r w:rsidRPr="00413366">
        <w:rPr>
          <w:rFonts w:ascii="Times New Roman" w:eastAsia="Times New Roman" w:hAnsi="Times New Roman" w:cs="Times New Roman"/>
          <w:i/>
          <w:color w:val="000000"/>
        </w:rPr>
        <w:t xml:space="preserve">hinking </w:t>
      </w:r>
      <w:r w:rsidRPr="00413366">
        <w:rPr>
          <w:rFonts w:ascii="Times New Roman" w:eastAsia="Times New Roman" w:hAnsi="Times New Roman" w:cs="Times New Roman"/>
          <w:i/>
        </w:rPr>
        <w:t>s</w:t>
      </w:r>
      <w:r w:rsidRPr="00413366">
        <w:rPr>
          <w:rFonts w:ascii="Times New Roman" w:eastAsia="Times New Roman" w:hAnsi="Times New Roman" w:cs="Times New Roman"/>
          <w:i/>
          <w:color w:val="000000"/>
        </w:rPr>
        <w:t xml:space="preserve">tyles </w:t>
      </w:r>
      <w:r w:rsidRPr="00413366">
        <w:rPr>
          <w:rFonts w:ascii="Times New Roman" w:eastAsia="Times New Roman" w:hAnsi="Times New Roman" w:cs="Times New Roman"/>
          <w:i/>
        </w:rPr>
        <w:t>u</w:t>
      </w:r>
      <w:r w:rsidRPr="00413366">
        <w:rPr>
          <w:rFonts w:ascii="Times New Roman" w:eastAsia="Times New Roman" w:hAnsi="Times New Roman" w:cs="Times New Roman"/>
          <w:i/>
          <w:color w:val="000000"/>
        </w:rPr>
        <w:t>sing the UFCTI</w:t>
      </w:r>
      <w:r w:rsidRPr="00413366">
        <w:rPr>
          <w:rFonts w:ascii="Times New Roman" w:eastAsia="Times New Roman" w:hAnsi="Times New Roman" w:cs="Times New Roman"/>
          <w:color w:val="000000"/>
        </w:rPr>
        <w:t xml:space="preserve"> (No. AEC547). University of Florida. </w:t>
      </w:r>
      <w:hyperlink r:id="rId13">
        <w:r w:rsidRPr="00413366">
          <w:rPr>
            <w:rFonts w:ascii="Times New Roman" w:eastAsia="Times New Roman" w:hAnsi="Times New Roman" w:cs="Times New Roman"/>
            <w:color w:val="1155CC"/>
            <w:u w:val="single"/>
          </w:rPr>
          <w:t>https://edis.ifas.ufl.edu/pdf/WC/WC20900.pdf</w:t>
        </w:r>
      </w:hyperlink>
      <w:r w:rsidRPr="00413366">
        <w:rPr>
          <w:rFonts w:ascii="Times New Roman" w:eastAsia="Times New Roman" w:hAnsi="Times New Roman" w:cs="Times New Roman"/>
          <w:color w:val="000000"/>
        </w:rPr>
        <w:t xml:space="preserve"> </w:t>
      </w:r>
    </w:p>
    <w:p w14:paraId="07D10B19"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A" w14:textId="77777777" w:rsidR="006C06C5" w:rsidRPr="00413366" w:rsidRDefault="00000000">
      <w:pPr>
        <w:ind w:left="720" w:hanging="720"/>
        <w:rPr>
          <w:rFonts w:ascii="Times New Roman" w:eastAsia="Times New Roman" w:hAnsi="Times New Roman" w:cs="Times New Roman"/>
        </w:rPr>
      </w:pPr>
      <w:r w:rsidRPr="00413366">
        <w:rPr>
          <w:rFonts w:ascii="Times New Roman" w:eastAsia="Times New Roman" w:hAnsi="Times New Roman" w:cs="Times New Roman"/>
        </w:rPr>
        <w:t xml:space="preserve">Leal, A., Rumble, J. N., &amp; </w:t>
      </w: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xml:space="preserve">, A. J. (2017). Using Critical Thinking Styles to Inform Food Safety Behavior Communication Campaigns. </w:t>
      </w:r>
      <w:r w:rsidRPr="00413366">
        <w:rPr>
          <w:rFonts w:ascii="Times New Roman" w:eastAsia="Times New Roman" w:hAnsi="Times New Roman" w:cs="Times New Roman"/>
          <w:i/>
        </w:rPr>
        <w:t>Journal of Applied Communications</w:t>
      </w:r>
      <w:r w:rsidRPr="00413366">
        <w:rPr>
          <w:rFonts w:ascii="Times New Roman" w:eastAsia="Times New Roman" w:hAnsi="Times New Roman" w:cs="Times New Roman"/>
        </w:rPr>
        <w:t xml:space="preserve">, </w:t>
      </w:r>
      <w:r w:rsidRPr="00413366">
        <w:rPr>
          <w:rFonts w:ascii="Times New Roman" w:eastAsia="Times New Roman" w:hAnsi="Times New Roman" w:cs="Times New Roman"/>
          <w:i/>
        </w:rPr>
        <w:t>101</w:t>
      </w:r>
      <w:r w:rsidRPr="00413366">
        <w:rPr>
          <w:rFonts w:ascii="Times New Roman" w:eastAsia="Times New Roman" w:hAnsi="Times New Roman" w:cs="Times New Roman"/>
        </w:rPr>
        <w:t xml:space="preserve">(2). </w:t>
      </w:r>
      <w:hyperlink r:id="rId14">
        <w:r w:rsidRPr="00413366">
          <w:rPr>
            <w:rFonts w:ascii="Times New Roman" w:eastAsia="Times New Roman" w:hAnsi="Times New Roman" w:cs="Times New Roman"/>
            <w:color w:val="1155CC"/>
            <w:u w:val="single"/>
          </w:rPr>
          <w:t>https://doi.org/10.4148/1051-0834.1002</w:t>
        </w:r>
      </w:hyperlink>
      <w:r w:rsidRPr="00413366">
        <w:rPr>
          <w:rFonts w:ascii="Times New Roman" w:eastAsia="Times New Roman" w:hAnsi="Times New Roman" w:cs="Times New Roman"/>
        </w:rPr>
        <w:t xml:space="preserve"> </w:t>
      </w:r>
    </w:p>
    <w:p w14:paraId="07D10B1B"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C"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proofErr w:type="spellStart"/>
      <w:r w:rsidRPr="00413366">
        <w:rPr>
          <w:rFonts w:ascii="Times New Roman" w:eastAsia="Times New Roman" w:hAnsi="Times New Roman" w:cs="Times New Roman"/>
          <w:color w:val="000000"/>
        </w:rPr>
        <w:t>Popil</w:t>
      </w:r>
      <w:proofErr w:type="spellEnd"/>
      <w:r w:rsidRPr="00413366">
        <w:rPr>
          <w:rFonts w:ascii="Times New Roman" w:eastAsia="Times New Roman" w:hAnsi="Times New Roman" w:cs="Times New Roman"/>
          <w:color w:val="000000"/>
        </w:rPr>
        <w:t xml:space="preserve">, I. (2011). Promotion of critical thinking by using case studies as teaching method. </w:t>
      </w:r>
      <w:r w:rsidRPr="00413366">
        <w:rPr>
          <w:rFonts w:ascii="Times New Roman" w:eastAsia="Times New Roman" w:hAnsi="Times New Roman" w:cs="Times New Roman"/>
          <w:i/>
          <w:color w:val="000000"/>
        </w:rPr>
        <w:t>Nurse Education Today</w:t>
      </w:r>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i/>
          <w:color w:val="000000"/>
        </w:rPr>
        <w:t>31</w:t>
      </w:r>
      <w:r w:rsidRPr="00413366">
        <w:rPr>
          <w:rFonts w:ascii="Times New Roman" w:eastAsia="Times New Roman" w:hAnsi="Times New Roman" w:cs="Times New Roman"/>
          <w:color w:val="000000"/>
        </w:rPr>
        <w:t xml:space="preserve">(2), 204–207. </w:t>
      </w:r>
      <w:hyperlink r:id="rId15">
        <w:r w:rsidRPr="00413366">
          <w:rPr>
            <w:rFonts w:ascii="Times New Roman" w:eastAsia="Times New Roman" w:hAnsi="Times New Roman" w:cs="Times New Roman"/>
            <w:color w:val="1155CC"/>
            <w:u w:val="single"/>
          </w:rPr>
          <w:t>https://doi.org/10.1016/j.nedt.2010.06.002</w:t>
        </w:r>
      </w:hyperlink>
      <w:r w:rsidRPr="00413366">
        <w:rPr>
          <w:rFonts w:ascii="Times New Roman" w:eastAsia="Times New Roman" w:hAnsi="Times New Roman" w:cs="Times New Roman"/>
          <w:color w:val="000000"/>
        </w:rPr>
        <w:t xml:space="preserve"> </w:t>
      </w:r>
    </w:p>
    <w:p w14:paraId="07D10B1D"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1E"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rPr>
      </w:pPr>
      <w:r w:rsidRPr="00413366">
        <w:rPr>
          <w:rFonts w:ascii="Times New Roman" w:eastAsia="Times New Roman" w:hAnsi="Times New Roman" w:cs="Times New Roman"/>
        </w:rPr>
        <w:t xml:space="preserve">Putnam, B., </w:t>
      </w:r>
      <w:proofErr w:type="spellStart"/>
      <w:r w:rsidRPr="00413366">
        <w:rPr>
          <w:rFonts w:ascii="Times New Roman" w:eastAsia="Times New Roman" w:hAnsi="Times New Roman" w:cs="Times New Roman"/>
        </w:rPr>
        <w:t>Lamm</w:t>
      </w:r>
      <w:proofErr w:type="spellEnd"/>
      <w:r w:rsidRPr="00413366">
        <w:rPr>
          <w:rFonts w:ascii="Times New Roman" w:eastAsia="Times New Roman" w:hAnsi="Times New Roman" w:cs="Times New Roman"/>
        </w:rPr>
        <w:t xml:space="preserve">, A., &amp; Lundy, L. (2017). Using Critical Thinking Styles of Opinion Leaders to Drive Extension Communication. </w:t>
      </w:r>
      <w:r w:rsidRPr="00413366">
        <w:rPr>
          <w:rFonts w:ascii="Times New Roman" w:eastAsia="Times New Roman" w:hAnsi="Times New Roman" w:cs="Times New Roman"/>
          <w:i/>
        </w:rPr>
        <w:t>Journal of Agricultural Education</w:t>
      </w:r>
      <w:r w:rsidRPr="00413366">
        <w:rPr>
          <w:rFonts w:ascii="Times New Roman" w:eastAsia="Times New Roman" w:hAnsi="Times New Roman" w:cs="Times New Roman"/>
        </w:rPr>
        <w:t xml:space="preserve">, </w:t>
      </w:r>
      <w:r w:rsidRPr="00413366">
        <w:rPr>
          <w:rFonts w:ascii="Times New Roman" w:eastAsia="Times New Roman" w:hAnsi="Times New Roman" w:cs="Times New Roman"/>
          <w:i/>
        </w:rPr>
        <w:t>58</w:t>
      </w:r>
      <w:r w:rsidRPr="00413366">
        <w:rPr>
          <w:rFonts w:ascii="Times New Roman" w:eastAsia="Times New Roman" w:hAnsi="Times New Roman" w:cs="Times New Roman"/>
        </w:rPr>
        <w:t xml:space="preserve">(3), 323–337. </w:t>
      </w:r>
      <w:hyperlink r:id="rId16">
        <w:r w:rsidRPr="00413366">
          <w:rPr>
            <w:rFonts w:ascii="Times New Roman" w:eastAsia="Times New Roman" w:hAnsi="Times New Roman" w:cs="Times New Roman"/>
            <w:color w:val="1155CC"/>
            <w:u w:val="single"/>
          </w:rPr>
          <w:t>https://doi.org/10.5032/jae.2017.03323</w:t>
        </w:r>
      </w:hyperlink>
    </w:p>
    <w:p w14:paraId="07D10B1F"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20"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r w:rsidRPr="00413366">
        <w:rPr>
          <w:rFonts w:ascii="Times New Roman" w:eastAsia="Times New Roman" w:hAnsi="Times New Roman" w:cs="Times New Roman"/>
          <w:color w:val="000000"/>
        </w:rPr>
        <w:lastRenderedPageBreak/>
        <w:t xml:space="preserve">Quinn, C., Burbach, M. E., </w:t>
      </w:r>
      <w:proofErr w:type="spellStart"/>
      <w:r w:rsidRPr="00413366">
        <w:rPr>
          <w:rFonts w:ascii="Times New Roman" w:eastAsia="Times New Roman" w:hAnsi="Times New Roman" w:cs="Times New Roman"/>
          <w:color w:val="000000"/>
        </w:rPr>
        <w:t>Matkin</w:t>
      </w:r>
      <w:proofErr w:type="spellEnd"/>
      <w:r w:rsidRPr="00413366">
        <w:rPr>
          <w:rFonts w:ascii="Times New Roman" w:eastAsia="Times New Roman" w:hAnsi="Times New Roman" w:cs="Times New Roman"/>
          <w:color w:val="000000"/>
        </w:rPr>
        <w:t xml:space="preserve">, G. S., &amp; Flores, K. (2009). Critical </w:t>
      </w:r>
      <w:r w:rsidRPr="00413366">
        <w:rPr>
          <w:rFonts w:ascii="Times New Roman" w:eastAsia="Times New Roman" w:hAnsi="Times New Roman" w:cs="Times New Roman"/>
        </w:rPr>
        <w:t>t</w:t>
      </w:r>
      <w:r w:rsidRPr="00413366">
        <w:rPr>
          <w:rFonts w:ascii="Times New Roman" w:eastAsia="Times New Roman" w:hAnsi="Times New Roman" w:cs="Times New Roman"/>
          <w:color w:val="000000"/>
        </w:rPr>
        <w:t xml:space="preserve">hinking for </w:t>
      </w:r>
      <w:r w:rsidRPr="00413366">
        <w:rPr>
          <w:rFonts w:ascii="Times New Roman" w:eastAsia="Times New Roman" w:hAnsi="Times New Roman" w:cs="Times New Roman"/>
        </w:rPr>
        <w:t>n</w:t>
      </w:r>
      <w:r w:rsidRPr="00413366">
        <w:rPr>
          <w:rFonts w:ascii="Times New Roman" w:eastAsia="Times New Roman" w:hAnsi="Times New Roman" w:cs="Times New Roman"/>
          <w:color w:val="000000"/>
        </w:rPr>
        <w:t xml:space="preserve">atural </w:t>
      </w:r>
      <w:r w:rsidRPr="00413366">
        <w:rPr>
          <w:rFonts w:ascii="Times New Roman" w:eastAsia="Times New Roman" w:hAnsi="Times New Roman" w:cs="Times New Roman"/>
        </w:rPr>
        <w:t>r</w:t>
      </w:r>
      <w:r w:rsidRPr="00413366">
        <w:rPr>
          <w:rFonts w:ascii="Times New Roman" w:eastAsia="Times New Roman" w:hAnsi="Times New Roman" w:cs="Times New Roman"/>
          <w:color w:val="000000"/>
        </w:rPr>
        <w:t xml:space="preserve">esource, </w:t>
      </w:r>
      <w:r w:rsidRPr="00413366">
        <w:rPr>
          <w:rFonts w:ascii="Times New Roman" w:eastAsia="Times New Roman" w:hAnsi="Times New Roman" w:cs="Times New Roman"/>
        </w:rPr>
        <w:t>a</w:t>
      </w:r>
      <w:r w:rsidRPr="00413366">
        <w:rPr>
          <w:rFonts w:ascii="Times New Roman" w:eastAsia="Times New Roman" w:hAnsi="Times New Roman" w:cs="Times New Roman"/>
          <w:color w:val="000000"/>
        </w:rPr>
        <w:t xml:space="preserve">gricultural, and </w:t>
      </w:r>
      <w:r w:rsidRPr="00413366">
        <w:rPr>
          <w:rFonts w:ascii="Times New Roman" w:eastAsia="Times New Roman" w:hAnsi="Times New Roman" w:cs="Times New Roman"/>
        </w:rPr>
        <w:t>e</w:t>
      </w:r>
      <w:r w:rsidRPr="00413366">
        <w:rPr>
          <w:rFonts w:ascii="Times New Roman" w:eastAsia="Times New Roman" w:hAnsi="Times New Roman" w:cs="Times New Roman"/>
          <w:color w:val="000000"/>
        </w:rPr>
        <w:t xml:space="preserve">nvironmental </w:t>
      </w:r>
      <w:r w:rsidRPr="00413366">
        <w:rPr>
          <w:rFonts w:ascii="Times New Roman" w:eastAsia="Times New Roman" w:hAnsi="Times New Roman" w:cs="Times New Roman"/>
        </w:rPr>
        <w:t>e</w:t>
      </w:r>
      <w:r w:rsidRPr="00413366">
        <w:rPr>
          <w:rFonts w:ascii="Times New Roman" w:eastAsia="Times New Roman" w:hAnsi="Times New Roman" w:cs="Times New Roman"/>
          <w:color w:val="000000"/>
        </w:rPr>
        <w:t xml:space="preserve">thics </w:t>
      </w:r>
      <w:r w:rsidRPr="00413366">
        <w:rPr>
          <w:rFonts w:ascii="Times New Roman" w:eastAsia="Times New Roman" w:hAnsi="Times New Roman" w:cs="Times New Roman"/>
        </w:rPr>
        <w:t>e</w:t>
      </w:r>
      <w:r w:rsidRPr="00413366">
        <w:rPr>
          <w:rFonts w:ascii="Times New Roman" w:eastAsia="Times New Roman" w:hAnsi="Times New Roman" w:cs="Times New Roman"/>
          <w:color w:val="000000"/>
        </w:rPr>
        <w:t xml:space="preserve">ducation. </w:t>
      </w:r>
      <w:r w:rsidRPr="00413366">
        <w:rPr>
          <w:rFonts w:ascii="Times New Roman" w:eastAsia="Times New Roman" w:hAnsi="Times New Roman" w:cs="Times New Roman"/>
          <w:i/>
          <w:color w:val="000000"/>
        </w:rPr>
        <w:t>Journal of Natural Resources and Life Sciences Education</w:t>
      </w:r>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i/>
          <w:color w:val="000000"/>
        </w:rPr>
        <w:t>38</w:t>
      </w:r>
      <w:r w:rsidRPr="00413366">
        <w:rPr>
          <w:rFonts w:ascii="Times New Roman" w:eastAsia="Times New Roman" w:hAnsi="Times New Roman" w:cs="Times New Roman"/>
          <w:color w:val="000000"/>
        </w:rPr>
        <w:t xml:space="preserve">(1), 221–227. </w:t>
      </w:r>
      <w:hyperlink r:id="rId17">
        <w:r w:rsidRPr="00413366">
          <w:rPr>
            <w:rFonts w:ascii="Times New Roman" w:eastAsia="Times New Roman" w:hAnsi="Times New Roman" w:cs="Times New Roman"/>
            <w:color w:val="1155CC"/>
            <w:u w:val="single"/>
          </w:rPr>
          <w:t>https://doi.org/10.4195/jnrlse.2009.0028</w:t>
        </w:r>
      </w:hyperlink>
      <w:r w:rsidRPr="00413366">
        <w:rPr>
          <w:rFonts w:ascii="Times New Roman" w:eastAsia="Times New Roman" w:hAnsi="Times New Roman" w:cs="Times New Roman"/>
          <w:color w:val="000000"/>
        </w:rPr>
        <w:t xml:space="preserve"> </w:t>
      </w:r>
    </w:p>
    <w:p w14:paraId="07D10B21"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22"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color w:val="000000"/>
        </w:rPr>
      </w:pPr>
      <w:r w:rsidRPr="00413366">
        <w:rPr>
          <w:rFonts w:ascii="Times New Roman" w:eastAsia="Times New Roman" w:hAnsi="Times New Roman" w:cs="Times New Roman"/>
          <w:color w:val="000000"/>
        </w:rPr>
        <w:t>Snyder, L. G., &amp; Snyder, M. J. (</w:t>
      </w:r>
      <w:r w:rsidRPr="00413366">
        <w:rPr>
          <w:rFonts w:ascii="Times New Roman" w:eastAsia="Times New Roman" w:hAnsi="Times New Roman" w:cs="Times New Roman"/>
        </w:rPr>
        <w:t>2008</w:t>
      </w:r>
      <w:r w:rsidRPr="00413366">
        <w:rPr>
          <w:rFonts w:ascii="Times New Roman" w:eastAsia="Times New Roman" w:hAnsi="Times New Roman" w:cs="Times New Roman"/>
          <w:color w:val="000000"/>
        </w:rPr>
        <w:t xml:space="preserve">). Teaching </w:t>
      </w:r>
      <w:r w:rsidRPr="00413366">
        <w:rPr>
          <w:rFonts w:ascii="Times New Roman" w:eastAsia="Times New Roman" w:hAnsi="Times New Roman" w:cs="Times New Roman"/>
        </w:rPr>
        <w:t>c</w:t>
      </w:r>
      <w:r w:rsidRPr="00413366">
        <w:rPr>
          <w:rFonts w:ascii="Times New Roman" w:eastAsia="Times New Roman" w:hAnsi="Times New Roman" w:cs="Times New Roman"/>
          <w:color w:val="000000"/>
        </w:rPr>
        <w:t xml:space="preserve">ritical </w:t>
      </w:r>
      <w:r w:rsidRPr="00413366">
        <w:rPr>
          <w:rFonts w:ascii="Times New Roman" w:eastAsia="Times New Roman" w:hAnsi="Times New Roman" w:cs="Times New Roman"/>
        </w:rPr>
        <w:t>t</w:t>
      </w:r>
      <w:r w:rsidRPr="00413366">
        <w:rPr>
          <w:rFonts w:ascii="Times New Roman" w:eastAsia="Times New Roman" w:hAnsi="Times New Roman" w:cs="Times New Roman"/>
          <w:color w:val="000000"/>
        </w:rPr>
        <w:t xml:space="preserve">hinking and </w:t>
      </w:r>
      <w:proofErr w:type="gramStart"/>
      <w:r w:rsidRPr="00413366">
        <w:rPr>
          <w:rFonts w:ascii="Times New Roman" w:eastAsia="Times New Roman" w:hAnsi="Times New Roman" w:cs="Times New Roman"/>
        </w:rPr>
        <w:t>p</w:t>
      </w:r>
      <w:r w:rsidRPr="00413366">
        <w:rPr>
          <w:rFonts w:ascii="Times New Roman" w:eastAsia="Times New Roman" w:hAnsi="Times New Roman" w:cs="Times New Roman"/>
          <w:color w:val="000000"/>
        </w:rPr>
        <w:t xml:space="preserve">roblem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olving</w:t>
      </w:r>
      <w:proofErr w:type="gramEnd"/>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kills. </w:t>
      </w:r>
      <w:r w:rsidRPr="00413366">
        <w:rPr>
          <w:rFonts w:ascii="Times New Roman" w:eastAsia="Times New Roman" w:hAnsi="Times New Roman" w:cs="Times New Roman"/>
          <w:i/>
          <w:color w:val="000000"/>
        </w:rPr>
        <w:t>The Delta Pi Epsilon Journal,</w:t>
      </w:r>
      <w:r w:rsidRPr="00413366">
        <w:rPr>
          <w:rFonts w:ascii="Times New Roman" w:eastAsia="Times New Roman" w:hAnsi="Times New Roman" w:cs="Times New Roman"/>
          <w:i/>
        </w:rPr>
        <w:t xml:space="preserve"> 50</w:t>
      </w:r>
      <w:r w:rsidRPr="00413366">
        <w:rPr>
          <w:rFonts w:ascii="Times New Roman" w:eastAsia="Times New Roman" w:hAnsi="Times New Roman" w:cs="Times New Roman"/>
        </w:rPr>
        <w:t>(2), 90-99</w:t>
      </w:r>
      <w:r w:rsidRPr="00413366">
        <w:rPr>
          <w:rFonts w:ascii="Times New Roman" w:eastAsia="Times New Roman" w:hAnsi="Times New Roman" w:cs="Times New Roman"/>
          <w:color w:val="000000"/>
        </w:rPr>
        <w:t xml:space="preserve">. </w:t>
      </w:r>
      <w:hyperlink r:id="rId18">
        <w:r w:rsidRPr="00413366">
          <w:rPr>
            <w:rFonts w:ascii="Times New Roman" w:eastAsia="Times New Roman" w:hAnsi="Times New Roman" w:cs="Times New Roman"/>
            <w:color w:val="1155CC"/>
            <w:u w:val="single"/>
          </w:rPr>
          <w:t>https://eric.ed.gov/?id=EJ826495</w:t>
        </w:r>
      </w:hyperlink>
      <w:r w:rsidRPr="00413366">
        <w:rPr>
          <w:rFonts w:ascii="Times New Roman" w:eastAsia="Times New Roman" w:hAnsi="Times New Roman" w:cs="Times New Roman"/>
          <w:color w:val="000000"/>
        </w:rPr>
        <w:t xml:space="preserve"> </w:t>
      </w:r>
    </w:p>
    <w:p w14:paraId="07D10B23"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24" w14:textId="553978F9" w:rsidR="006C06C5" w:rsidRPr="00413366" w:rsidRDefault="00000000">
      <w:pPr>
        <w:pBdr>
          <w:top w:val="nil"/>
          <w:left w:val="nil"/>
          <w:bottom w:val="nil"/>
          <w:right w:val="nil"/>
          <w:between w:val="nil"/>
        </w:pBdr>
        <w:ind w:left="720" w:hanging="720"/>
        <w:rPr>
          <w:rFonts w:ascii="Times New Roman" w:eastAsia="Times New Roman" w:hAnsi="Times New Roman" w:cs="Times New Roman"/>
        </w:rPr>
      </w:pPr>
      <w:proofErr w:type="spellStart"/>
      <w:r w:rsidRPr="00413366">
        <w:rPr>
          <w:rFonts w:ascii="Times New Roman" w:eastAsia="Times New Roman" w:hAnsi="Times New Roman" w:cs="Times New Roman"/>
        </w:rPr>
        <w:t>Tavakol</w:t>
      </w:r>
      <w:proofErr w:type="spellEnd"/>
      <w:r w:rsidRPr="00413366">
        <w:rPr>
          <w:rFonts w:ascii="Times New Roman" w:eastAsia="Times New Roman" w:hAnsi="Times New Roman" w:cs="Times New Roman"/>
        </w:rPr>
        <w:t xml:space="preserve">, M. &amp; </w:t>
      </w:r>
      <w:proofErr w:type="spellStart"/>
      <w:r w:rsidRPr="00413366">
        <w:rPr>
          <w:rFonts w:ascii="Times New Roman" w:eastAsia="Times New Roman" w:hAnsi="Times New Roman" w:cs="Times New Roman"/>
        </w:rPr>
        <w:t>Dennick</w:t>
      </w:r>
      <w:proofErr w:type="spellEnd"/>
      <w:r w:rsidRPr="00413366">
        <w:rPr>
          <w:rFonts w:ascii="Times New Roman" w:eastAsia="Times New Roman" w:hAnsi="Times New Roman" w:cs="Times New Roman"/>
        </w:rPr>
        <w:t xml:space="preserve">, R. (2011). Making sense of Cronbach’s alpha. </w:t>
      </w:r>
      <w:r w:rsidRPr="00413366">
        <w:rPr>
          <w:rFonts w:ascii="Times New Roman" w:eastAsia="Times New Roman" w:hAnsi="Times New Roman" w:cs="Times New Roman"/>
          <w:i/>
        </w:rPr>
        <w:t>International Journal of Medical Education</w:t>
      </w:r>
      <w:r w:rsidRPr="00413366">
        <w:rPr>
          <w:rFonts w:ascii="Times New Roman" w:eastAsia="Times New Roman" w:hAnsi="Times New Roman" w:cs="Times New Roman"/>
        </w:rPr>
        <w:t xml:space="preserve">, </w:t>
      </w:r>
      <w:r w:rsidRPr="00413366">
        <w:rPr>
          <w:rFonts w:ascii="Times New Roman" w:eastAsia="Times New Roman" w:hAnsi="Times New Roman" w:cs="Times New Roman"/>
          <w:i/>
        </w:rPr>
        <w:t>2</w:t>
      </w:r>
      <w:r w:rsidRPr="00413366">
        <w:rPr>
          <w:rFonts w:ascii="Times New Roman" w:eastAsia="Times New Roman" w:hAnsi="Times New Roman" w:cs="Times New Roman"/>
        </w:rPr>
        <w:t xml:space="preserve">, 53-55. </w:t>
      </w:r>
      <w:hyperlink r:id="rId19" w:history="1">
        <w:r w:rsidR="00995110" w:rsidRPr="002D29A8">
          <w:rPr>
            <w:rStyle w:val="Hyperlink"/>
            <w:rFonts w:ascii="Times New Roman" w:eastAsia="Times New Roman" w:hAnsi="Times New Roman" w:cs="Times New Roman"/>
          </w:rPr>
          <w:t>https://doi.org/10.5116/ijme.4dfb.8dfd</w:t>
        </w:r>
      </w:hyperlink>
      <w:r w:rsidR="00995110">
        <w:rPr>
          <w:rFonts w:ascii="Times New Roman" w:eastAsia="Times New Roman" w:hAnsi="Times New Roman" w:cs="Times New Roman"/>
        </w:rPr>
        <w:t xml:space="preserve"> </w:t>
      </w:r>
    </w:p>
    <w:p w14:paraId="07D10B25"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rPr>
      </w:pPr>
    </w:p>
    <w:p w14:paraId="07D10B26" w14:textId="77777777" w:rsidR="006C06C5" w:rsidRPr="00413366" w:rsidRDefault="00000000">
      <w:pPr>
        <w:pBdr>
          <w:top w:val="nil"/>
          <w:left w:val="nil"/>
          <w:bottom w:val="nil"/>
          <w:right w:val="nil"/>
          <w:between w:val="nil"/>
        </w:pBdr>
        <w:ind w:left="720" w:hanging="720"/>
        <w:rPr>
          <w:rFonts w:ascii="Times New Roman" w:eastAsia="Times New Roman" w:hAnsi="Times New Roman" w:cs="Times New Roman"/>
          <w:b/>
        </w:rPr>
      </w:pPr>
      <w:r w:rsidRPr="00413366">
        <w:rPr>
          <w:rFonts w:ascii="Times New Roman" w:eastAsia="Times New Roman" w:hAnsi="Times New Roman" w:cs="Times New Roman"/>
          <w:color w:val="000000"/>
        </w:rPr>
        <w:t xml:space="preserve">White, T. K., Whitaker, P., </w:t>
      </w:r>
      <w:proofErr w:type="spellStart"/>
      <w:r w:rsidRPr="00413366">
        <w:rPr>
          <w:rFonts w:ascii="Times New Roman" w:eastAsia="Times New Roman" w:hAnsi="Times New Roman" w:cs="Times New Roman"/>
          <w:color w:val="000000"/>
        </w:rPr>
        <w:t>Gonya</w:t>
      </w:r>
      <w:proofErr w:type="spellEnd"/>
      <w:r w:rsidRPr="00413366">
        <w:rPr>
          <w:rFonts w:ascii="Times New Roman" w:eastAsia="Times New Roman" w:hAnsi="Times New Roman" w:cs="Times New Roman"/>
          <w:color w:val="000000"/>
        </w:rPr>
        <w:t xml:space="preserve">, T., Hein, R., </w:t>
      </w:r>
      <w:proofErr w:type="spellStart"/>
      <w:r w:rsidRPr="00413366">
        <w:rPr>
          <w:rFonts w:ascii="Times New Roman" w:eastAsia="Times New Roman" w:hAnsi="Times New Roman" w:cs="Times New Roman"/>
          <w:color w:val="000000"/>
        </w:rPr>
        <w:t>Kroening</w:t>
      </w:r>
      <w:proofErr w:type="spellEnd"/>
      <w:r w:rsidRPr="00413366">
        <w:rPr>
          <w:rFonts w:ascii="Times New Roman" w:eastAsia="Times New Roman" w:hAnsi="Times New Roman" w:cs="Times New Roman"/>
          <w:color w:val="000000"/>
        </w:rPr>
        <w:t xml:space="preserve">, D., Lee, K., Lee, L., </w:t>
      </w:r>
      <w:proofErr w:type="spellStart"/>
      <w:r w:rsidRPr="00413366">
        <w:rPr>
          <w:rFonts w:ascii="Times New Roman" w:eastAsia="Times New Roman" w:hAnsi="Times New Roman" w:cs="Times New Roman"/>
          <w:color w:val="000000"/>
        </w:rPr>
        <w:t>Lukowiak</w:t>
      </w:r>
      <w:proofErr w:type="spellEnd"/>
      <w:r w:rsidRPr="00413366">
        <w:rPr>
          <w:rFonts w:ascii="Times New Roman" w:eastAsia="Times New Roman" w:hAnsi="Times New Roman" w:cs="Times New Roman"/>
          <w:color w:val="000000"/>
        </w:rPr>
        <w:t xml:space="preserve">, A., &amp; Hayes, E. (2009). The </w:t>
      </w:r>
      <w:r w:rsidRPr="00413366">
        <w:rPr>
          <w:rFonts w:ascii="Times New Roman" w:eastAsia="Times New Roman" w:hAnsi="Times New Roman" w:cs="Times New Roman"/>
        </w:rPr>
        <w:t>u</w:t>
      </w:r>
      <w:r w:rsidRPr="00413366">
        <w:rPr>
          <w:rFonts w:ascii="Times New Roman" w:eastAsia="Times New Roman" w:hAnsi="Times New Roman" w:cs="Times New Roman"/>
          <w:color w:val="000000"/>
        </w:rPr>
        <w:t xml:space="preserve">se of </w:t>
      </w:r>
      <w:r w:rsidRPr="00413366">
        <w:rPr>
          <w:rFonts w:ascii="Times New Roman" w:eastAsia="Times New Roman" w:hAnsi="Times New Roman" w:cs="Times New Roman"/>
        </w:rPr>
        <w:t>i</w:t>
      </w:r>
      <w:r w:rsidRPr="00413366">
        <w:rPr>
          <w:rFonts w:ascii="Times New Roman" w:eastAsia="Times New Roman" w:hAnsi="Times New Roman" w:cs="Times New Roman"/>
          <w:color w:val="000000"/>
        </w:rPr>
        <w:t xml:space="preserve">nterrupted </w:t>
      </w:r>
      <w:r w:rsidRPr="00413366">
        <w:rPr>
          <w:rFonts w:ascii="Times New Roman" w:eastAsia="Times New Roman" w:hAnsi="Times New Roman" w:cs="Times New Roman"/>
        </w:rPr>
        <w:t>c</w:t>
      </w:r>
      <w:r w:rsidRPr="00413366">
        <w:rPr>
          <w:rFonts w:ascii="Times New Roman" w:eastAsia="Times New Roman" w:hAnsi="Times New Roman" w:cs="Times New Roman"/>
          <w:color w:val="000000"/>
        </w:rPr>
        <w:t xml:space="preserve">ase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tudies to </w:t>
      </w:r>
      <w:r w:rsidRPr="00413366">
        <w:rPr>
          <w:rFonts w:ascii="Times New Roman" w:eastAsia="Times New Roman" w:hAnsi="Times New Roman" w:cs="Times New Roman"/>
        </w:rPr>
        <w:t>e</w:t>
      </w:r>
      <w:r w:rsidRPr="00413366">
        <w:rPr>
          <w:rFonts w:ascii="Times New Roman" w:eastAsia="Times New Roman" w:hAnsi="Times New Roman" w:cs="Times New Roman"/>
          <w:color w:val="000000"/>
        </w:rPr>
        <w:t xml:space="preserve">nhance </w:t>
      </w:r>
      <w:r w:rsidRPr="00413366">
        <w:rPr>
          <w:rFonts w:ascii="Times New Roman" w:eastAsia="Times New Roman" w:hAnsi="Times New Roman" w:cs="Times New Roman"/>
        </w:rPr>
        <w:t>c</w:t>
      </w:r>
      <w:r w:rsidRPr="00413366">
        <w:rPr>
          <w:rFonts w:ascii="Times New Roman" w:eastAsia="Times New Roman" w:hAnsi="Times New Roman" w:cs="Times New Roman"/>
          <w:color w:val="000000"/>
        </w:rPr>
        <w:t xml:space="preserve">ritical </w:t>
      </w:r>
      <w:r w:rsidRPr="00413366">
        <w:rPr>
          <w:rFonts w:ascii="Times New Roman" w:eastAsia="Times New Roman" w:hAnsi="Times New Roman" w:cs="Times New Roman"/>
        </w:rPr>
        <w:t>t</w:t>
      </w:r>
      <w:r w:rsidRPr="00413366">
        <w:rPr>
          <w:rFonts w:ascii="Times New Roman" w:eastAsia="Times New Roman" w:hAnsi="Times New Roman" w:cs="Times New Roman"/>
          <w:color w:val="000000"/>
        </w:rPr>
        <w:t xml:space="preserve">hinking </w:t>
      </w:r>
      <w:r w:rsidRPr="00413366">
        <w:rPr>
          <w:rFonts w:ascii="Times New Roman" w:eastAsia="Times New Roman" w:hAnsi="Times New Roman" w:cs="Times New Roman"/>
        </w:rPr>
        <w:t>s</w:t>
      </w:r>
      <w:r w:rsidRPr="00413366">
        <w:rPr>
          <w:rFonts w:ascii="Times New Roman" w:eastAsia="Times New Roman" w:hAnsi="Times New Roman" w:cs="Times New Roman"/>
          <w:color w:val="000000"/>
        </w:rPr>
        <w:t xml:space="preserve">kills in </w:t>
      </w:r>
      <w:r w:rsidRPr="00413366">
        <w:rPr>
          <w:rFonts w:ascii="Times New Roman" w:eastAsia="Times New Roman" w:hAnsi="Times New Roman" w:cs="Times New Roman"/>
        </w:rPr>
        <w:t>b</w:t>
      </w:r>
      <w:r w:rsidRPr="00413366">
        <w:rPr>
          <w:rFonts w:ascii="Times New Roman" w:eastAsia="Times New Roman" w:hAnsi="Times New Roman" w:cs="Times New Roman"/>
          <w:color w:val="000000"/>
        </w:rPr>
        <w:t xml:space="preserve">iology. </w:t>
      </w:r>
      <w:r w:rsidRPr="00413366">
        <w:rPr>
          <w:rFonts w:ascii="Times New Roman" w:eastAsia="Times New Roman" w:hAnsi="Times New Roman" w:cs="Times New Roman"/>
          <w:i/>
          <w:color w:val="000000"/>
        </w:rPr>
        <w:t>Journal of Microbiology &amp; Biology Education</w:t>
      </w:r>
      <w:r w:rsidRPr="00413366">
        <w:rPr>
          <w:rFonts w:ascii="Times New Roman" w:eastAsia="Times New Roman" w:hAnsi="Times New Roman" w:cs="Times New Roman"/>
          <w:color w:val="000000"/>
        </w:rPr>
        <w:t xml:space="preserve">, </w:t>
      </w:r>
      <w:r w:rsidRPr="00413366">
        <w:rPr>
          <w:rFonts w:ascii="Times New Roman" w:eastAsia="Times New Roman" w:hAnsi="Times New Roman" w:cs="Times New Roman"/>
          <w:i/>
          <w:color w:val="000000"/>
        </w:rPr>
        <w:t>10</w:t>
      </w:r>
      <w:r w:rsidRPr="00413366">
        <w:rPr>
          <w:rFonts w:ascii="Times New Roman" w:eastAsia="Times New Roman" w:hAnsi="Times New Roman" w:cs="Times New Roman"/>
          <w:color w:val="000000"/>
        </w:rPr>
        <w:t xml:space="preserve">(1), 25–31. </w:t>
      </w:r>
      <w:hyperlink r:id="rId20">
        <w:r w:rsidRPr="00413366">
          <w:rPr>
            <w:rFonts w:ascii="Times New Roman" w:eastAsia="Times New Roman" w:hAnsi="Times New Roman" w:cs="Times New Roman"/>
            <w:color w:val="1155CC"/>
            <w:u w:val="single"/>
          </w:rPr>
          <w:t>https://doi.org/10.1128/jmbe.v10.96</w:t>
        </w:r>
      </w:hyperlink>
    </w:p>
    <w:p w14:paraId="07D10B27"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b/>
        </w:rPr>
      </w:pPr>
    </w:p>
    <w:p w14:paraId="07D10B28" w14:textId="77777777" w:rsidR="006C06C5" w:rsidRPr="00413366" w:rsidRDefault="006C06C5">
      <w:pPr>
        <w:pBdr>
          <w:top w:val="nil"/>
          <w:left w:val="nil"/>
          <w:bottom w:val="nil"/>
          <w:right w:val="nil"/>
          <w:between w:val="nil"/>
        </w:pBdr>
        <w:ind w:left="720" w:hanging="720"/>
        <w:rPr>
          <w:rFonts w:ascii="Times New Roman" w:eastAsia="Times New Roman" w:hAnsi="Times New Roman" w:cs="Times New Roman"/>
          <w:b/>
          <w:color w:val="CC0000"/>
        </w:rPr>
      </w:pPr>
    </w:p>
    <w:sectPr w:rsidR="006C06C5" w:rsidRPr="00413366">
      <w:headerReference w:type="default" r:id="rId21"/>
      <w:footerReference w:type="even" r:id="rId22"/>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FE000" w14:textId="77777777" w:rsidR="007D6596" w:rsidRDefault="007D6596">
      <w:r>
        <w:separator/>
      </w:r>
    </w:p>
  </w:endnote>
  <w:endnote w:type="continuationSeparator" w:id="0">
    <w:p w14:paraId="16E82FD6" w14:textId="77777777" w:rsidR="007D6596" w:rsidRDefault="007D6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0B2B" w14:textId="77777777" w:rsidR="006C06C5"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7D10B2C" w14:textId="77777777" w:rsidR="006C06C5" w:rsidRDefault="006C06C5">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0B2D" w14:textId="4E87F474" w:rsidR="006C06C5" w:rsidRDefault="00000000">
    <w:pPr>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6C2BA7">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07D10B2E" w14:textId="77777777" w:rsidR="006C06C5" w:rsidRDefault="006C06C5">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2C8B3" w14:textId="77777777" w:rsidR="007D6596" w:rsidRDefault="007D6596">
      <w:r>
        <w:separator/>
      </w:r>
    </w:p>
  </w:footnote>
  <w:footnote w:type="continuationSeparator" w:id="0">
    <w:p w14:paraId="654C075E" w14:textId="77777777" w:rsidR="007D6596" w:rsidRDefault="007D6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0B2A" w14:textId="77777777" w:rsidR="006C06C5" w:rsidRDefault="006C06C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6C5"/>
    <w:rsid w:val="000018C5"/>
    <w:rsid w:val="00022A98"/>
    <w:rsid w:val="0008110E"/>
    <w:rsid w:val="000C68C3"/>
    <w:rsid w:val="002310D9"/>
    <w:rsid w:val="00325269"/>
    <w:rsid w:val="00327553"/>
    <w:rsid w:val="003572F3"/>
    <w:rsid w:val="003F41F9"/>
    <w:rsid w:val="00404C86"/>
    <w:rsid w:val="00413366"/>
    <w:rsid w:val="00524FB1"/>
    <w:rsid w:val="006C06C5"/>
    <w:rsid w:val="006C2BA7"/>
    <w:rsid w:val="0078167D"/>
    <w:rsid w:val="007C04CE"/>
    <w:rsid w:val="007C4BD1"/>
    <w:rsid w:val="007D6596"/>
    <w:rsid w:val="007D676B"/>
    <w:rsid w:val="008E373D"/>
    <w:rsid w:val="009037D5"/>
    <w:rsid w:val="00995110"/>
    <w:rsid w:val="00A7704A"/>
    <w:rsid w:val="00A91329"/>
    <w:rsid w:val="00C81038"/>
    <w:rsid w:val="00CA6114"/>
    <w:rsid w:val="00D1123C"/>
    <w:rsid w:val="00D639EF"/>
    <w:rsid w:val="00D7234B"/>
    <w:rsid w:val="00D758E8"/>
    <w:rsid w:val="00DA4CEE"/>
    <w:rsid w:val="00E57F3A"/>
    <w:rsid w:val="00FE1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D109B3"/>
  <w15:docId w15:val="{CB182F38-797F-0C4E-AA9D-04F0BBB8C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2D0590"/>
    <w:pPr>
      <w:tabs>
        <w:tab w:val="center" w:pos="4680"/>
        <w:tab w:val="right" w:pos="9360"/>
      </w:tabs>
    </w:pPr>
  </w:style>
  <w:style w:type="character" w:customStyle="1" w:styleId="FooterChar">
    <w:name w:val="Footer Char"/>
    <w:basedOn w:val="DefaultParagraphFont"/>
    <w:link w:val="Footer"/>
    <w:uiPriority w:val="99"/>
    <w:rsid w:val="002D0590"/>
  </w:style>
  <w:style w:type="character" w:styleId="PageNumber">
    <w:name w:val="page number"/>
    <w:basedOn w:val="DefaultParagraphFont"/>
    <w:uiPriority w:val="99"/>
    <w:semiHidden/>
    <w:unhideWhenUsed/>
    <w:rsid w:val="002D0590"/>
  </w:style>
  <w:style w:type="paragraph" w:styleId="ListParagraph">
    <w:name w:val="List Paragraph"/>
    <w:basedOn w:val="Normal"/>
    <w:uiPriority w:val="34"/>
    <w:qFormat/>
    <w:rsid w:val="002D0590"/>
    <w:pPr>
      <w:ind w:left="720"/>
      <w:contextualSpacing/>
    </w:pPr>
  </w:style>
  <w:style w:type="table" w:styleId="TableGrid">
    <w:name w:val="Table Grid"/>
    <w:basedOn w:val="TableNormal"/>
    <w:uiPriority w:val="39"/>
    <w:rsid w:val="00A36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A770D"/>
    <w:rPr>
      <w:sz w:val="16"/>
      <w:szCs w:val="16"/>
    </w:rPr>
  </w:style>
  <w:style w:type="paragraph" w:styleId="CommentText">
    <w:name w:val="annotation text"/>
    <w:basedOn w:val="Normal"/>
    <w:link w:val="CommentTextChar"/>
    <w:uiPriority w:val="99"/>
    <w:semiHidden/>
    <w:unhideWhenUsed/>
    <w:rsid w:val="00DA770D"/>
    <w:rPr>
      <w:sz w:val="20"/>
      <w:szCs w:val="20"/>
    </w:rPr>
  </w:style>
  <w:style w:type="character" w:customStyle="1" w:styleId="CommentTextChar">
    <w:name w:val="Comment Text Char"/>
    <w:basedOn w:val="DefaultParagraphFont"/>
    <w:link w:val="CommentText"/>
    <w:uiPriority w:val="99"/>
    <w:semiHidden/>
    <w:rsid w:val="00DA770D"/>
    <w:rPr>
      <w:sz w:val="20"/>
      <w:szCs w:val="20"/>
    </w:rPr>
  </w:style>
  <w:style w:type="paragraph" w:styleId="CommentSubject">
    <w:name w:val="annotation subject"/>
    <w:basedOn w:val="CommentText"/>
    <w:next w:val="CommentText"/>
    <w:link w:val="CommentSubjectChar"/>
    <w:uiPriority w:val="99"/>
    <w:semiHidden/>
    <w:unhideWhenUsed/>
    <w:rsid w:val="00DA770D"/>
    <w:rPr>
      <w:b/>
      <w:bCs/>
    </w:rPr>
  </w:style>
  <w:style w:type="character" w:customStyle="1" w:styleId="CommentSubjectChar">
    <w:name w:val="Comment Subject Char"/>
    <w:basedOn w:val="CommentTextChar"/>
    <w:link w:val="CommentSubject"/>
    <w:uiPriority w:val="99"/>
    <w:semiHidden/>
    <w:rsid w:val="00DA770D"/>
    <w:rPr>
      <w:b/>
      <w:bCs/>
      <w:sz w:val="20"/>
      <w:szCs w:val="20"/>
    </w:rPr>
  </w:style>
  <w:style w:type="paragraph" w:styleId="Bibliography">
    <w:name w:val="Bibliography"/>
    <w:basedOn w:val="Normal"/>
    <w:next w:val="Normal"/>
    <w:uiPriority w:val="37"/>
    <w:unhideWhenUsed/>
    <w:rsid w:val="00582CC3"/>
    <w:pPr>
      <w:spacing w:line="480" w:lineRule="auto"/>
      <w:ind w:left="720" w:hanging="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character" w:styleId="Hyperlink">
    <w:name w:val="Hyperlink"/>
    <w:basedOn w:val="DefaultParagraphFont"/>
    <w:uiPriority w:val="99"/>
    <w:unhideWhenUsed/>
    <w:rsid w:val="00995110"/>
    <w:rPr>
      <w:color w:val="0563C1" w:themeColor="hyperlink"/>
      <w:u w:val="single"/>
    </w:rPr>
  </w:style>
  <w:style w:type="character" w:styleId="UnresolvedMention">
    <w:name w:val="Unresolved Mention"/>
    <w:basedOn w:val="DefaultParagraphFont"/>
    <w:uiPriority w:val="99"/>
    <w:semiHidden/>
    <w:unhideWhenUsed/>
    <w:rsid w:val="00995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07/s10460-011-9336-8" TargetMode="External"/><Relationship Id="rId13" Type="http://schemas.openxmlformats.org/officeDocument/2006/relationships/hyperlink" Target="https://edis.ifas.ufl.edu/pdf/WC/WC20900.pdf" TargetMode="External"/><Relationship Id="rId18" Type="http://schemas.openxmlformats.org/officeDocument/2006/relationships/hyperlink" Target="https://eric.ed.gov/?id=EJ826495"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org/10.5032/jae.2019.03097" TargetMode="External"/><Relationship Id="rId12" Type="http://schemas.openxmlformats.org/officeDocument/2006/relationships/hyperlink" Target="https://doi.org/10.5032/jae.2018.04211" TargetMode="External"/><Relationship Id="rId17" Type="http://schemas.openxmlformats.org/officeDocument/2006/relationships/hyperlink" Target="https://doi.org/10.4195/jnrlse.2009.002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5032/jae.2017.03323" TargetMode="External"/><Relationship Id="rId20" Type="http://schemas.openxmlformats.org/officeDocument/2006/relationships/hyperlink" Target="https://doi.org/10.1128/jmbe.v10.9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10.2307/2649129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nedt.2010.06.002" TargetMode="External"/><Relationship Id="rId23" Type="http://schemas.openxmlformats.org/officeDocument/2006/relationships/footer" Target="footer2.xml"/><Relationship Id="rId10" Type="http://schemas.openxmlformats.org/officeDocument/2006/relationships/hyperlink" Target="https://tigerprints.clemson.edu/joe/vol55/iss1/24" TargetMode="External"/><Relationship Id="rId19" Type="http://schemas.openxmlformats.org/officeDocument/2006/relationships/hyperlink" Target="https://doi.org/10.5116/ijme.4dfb.8dfd" TargetMode="External"/><Relationship Id="rId4" Type="http://schemas.openxmlformats.org/officeDocument/2006/relationships/webSettings" Target="webSettings.xml"/><Relationship Id="rId9" Type="http://schemas.openxmlformats.org/officeDocument/2006/relationships/hyperlink" Target="https://doi.org/10.1016/j.healthplace.2013.07.008" TargetMode="External"/><Relationship Id="rId14" Type="http://schemas.openxmlformats.org/officeDocument/2006/relationships/hyperlink" Target="https://doi.org/10.4148/1051-0834.100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CtetOP/8acBSygWoT54Ox2y9Zg==">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Burke</dc:creator>
  <cp:lastModifiedBy>Kelsey Hall</cp:lastModifiedBy>
  <cp:revision>2</cp:revision>
  <dcterms:created xsi:type="dcterms:W3CDTF">2022-09-01T21:32:00Z</dcterms:created>
  <dcterms:modified xsi:type="dcterms:W3CDTF">2022-09-01T21:32:00Z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zotero-version="6.0.7"&gt;&lt;session id="2qWQBN1J"/&gt;&lt;style id="http://www.zotero.org/styles/apa" locale="en-US" hasBibliography="1" bibliographyStyleHasBeenSet="1"/&gt;&lt;prefs&gt;&lt;pref name="fieldType" value="Field"/&gt;&lt;pref name="automaticJourna</vt:lpwstr>
  </property>
  <property fmtid="{D5CDD505-2E9C-101B-9397-08002B2CF9AE}" pid="3" name="ZOTERO_PREF_2">
    <vt:lpwstr>lAbbreviations" value="true"/&gt;&lt;/prefs&gt;&lt;/data&gt;</vt:lpwstr>
  </property>
</Properties>
</file>